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bidi w:val="0"/>
        <w:jc w:val="center"/>
        <w:rPr>
          <w:b/>
          <w:bCs/>
          <w:sz w:val="36"/>
          <w:szCs w:val="36"/>
        </w:rPr>
      </w:pPr>
      <w:bookmarkStart w:id="0" w:name="_GoBack"/>
      <w:r>
        <w:rPr>
          <w:rFonts w:hint="eastAsia"/>
          <w:b/>
          <w:bCs/>
          <w:sz w:val="36"/>
          <w:szCs w:val="36"/>
        </w:rPr>
        <w:t>分布式光伏项目施工方案</w:t>
      </w:r>
    </w:p>
    <w:bookmarkEnd w:id="0"/>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b/>
          <w:bCs/>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hint="eastAsia"/>
          <w:b/>
          <w:bCs/>
          <w:sz w:val="28"/>
          <w:szCs w:val="28"/>
        </w:rPr>
        <w:t>一、工程概况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hint="eastAsia"/>
          <w:b/>
          <w:bCs/>
          <w:sz w:val="28"/>
          <w:szCs w:val="28"/>
        </w:rPr>
        <w:t>1.1项目概况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为落实国务院节能减排战略部署，加快太阳能光电技术的推广应用。XX养殖场50MWp分布式光伏发电项目，该项目为施工总承包项目</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本工程拟建分布式光伏项目主要利用XX养殖场10个养殖场屋顶：其中包含1个4.5MW发电单元；2个3.5MW发电单元，2个1.49MW发电单元</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1个8.2MW发电单元，1个10.5MW发电单元，2个5.12MW发电单元，1个6.58MW发电单元，共计50MWp。本项目土建方案为在养殖场上部新增结构门式钢架作为光伏组件支架，光伏组件于新建门式刚架上采用5度倾角，人字形铺设。施工范围包括：负责该项目的设备及材料采购</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运输、施工、安装、调试、人员培训及技术服务。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工程名称：</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工程地点：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建设单位：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施工单位：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本项目的运营模式为“自发自用，余电上网”。</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项目范围包括：50MWp光伏发电系统和10kV并网等配套设施。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1.2项目重点和难点分析</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本工程和普通光伏项目不同，主要特点和难点如下：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①养殖场分散，不能连续施工，需要经常转场施工。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pgSz w:w="11910" w:h="16840"/>
          <w:pgMar w:top="1431" w:right="1701" w:bottom="1417" w:left="1730" w:header="0" w:footer="0" w:gutter="0"/>
          <w:cols w:num="1" w:space="720"/>
        </w:sectPr>
      </w:pPr>
      <w:r>
        <w:rPr>
          <w:rFonts w:asciiTheme="minorEastAsia" w:eastAsiaTheme="minorEastAsia" w:hAnsiTheme="minorEastAsia" w:cstheme="minorEastAsia" w:hint="eastAsia"/>
          <w:sz w:val="28"/>
          <w:szCs w:val="28"/>
        </w:rPr>
        <w:t>②施工窗口期短，施工作业不能影响养殖场的正常生产，不能对养殖场现有的管道、排水造成影响。每个施工窗口期必须把分项工程施工完整完成，不能施工到一半停工，从而留下安全隐患。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③施工作业面狭窄，大型机械不能展开，谷仓等障碍物阻挡造成机械设备无法进入作业。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④高低跨区域施工作业难度大，机械无法进入，基础施工必须避免造成养殖场损坏。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⑤主要施工难点在于门式钢架基础施工和门式钢架吊装施工。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⑥高空作业密集，现场施工条件复杂，安全风险大。针对工程特点和难点制订以下措施：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①工期方面：计划采取流水作业，将每个养殖场划分为AB两块区域，第一个施工窗口期进行A区基础施工，第二个施工窗口期A区进行门式钢架安装、B区进行门式钢架基础施工，第三个窗口期A区进行光伏组件安装、B区进行门式钢架安装。门式钢架施工完成之后先进行检修通道施工，光伏组件搬运可以利用检修通道进行，整个工程大概需要5个养殖窗口期进行施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②基础施工方面：养殖场外围基础施工较方便，但是靠山体区域</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谷仓挡住的区域、高低跨区域施工作业面非常狭窄，施工难度非常大</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计划通过协调，将养殖场部分地方拆除，采取小型机械进入养殖场进行基础施工，施工完成后必须迅速恢复养殖场拆除部分，避免影响养殖场生产。1、施工过程中采取措施，在每个施工窗口期必须把分项工程施工完整完成，不能施工到一半停工，从而留下安全隐患。2、机械进入养殖场内部采取铺路钢板等措施以保证不破坏养殖场地面。3、基础型式通过设计验算承载力，高低跨区域将基础形式变更为条型基础或者圈梁的型式，承载力足够的情况下将基础放在上跨施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30" w:header="0" w:footer="0" w:gutter="0"/>
          <w:pgNumType w:start="2"/>
          <w:cols w:num="1" w:space="720"/>
          <w:titlePg w:val="0"/>
        </w:sectPr>
      </w:pPr>
      <w:r>
        <w:rPr>
          <w:rFonts w:asciiTheme="minorEastAsia" w:eastAsiaTheme="minorEastAsia" w:hAnsiTheme="minorEastAsia" w:cstheme="minorEastAsia" w:hint="eastAsia"/>
          <w:sz w:val="28"/>
          <w:szCs w:val="28"/>
        </w:rPr>
        <w:t>③门式钢架施工方面：同样是施工作业面非常狭窄，大型机械无法展开，钢柱钢梁吊装非常困难，计划将养殖场部分地方拆除，采取小型机械进入养殖场进行吊装。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④构件预制：钢构件委托专业化钢构件厂进行工业化预制，钢筋模板等在场外选择合适的地点进行预制，施工期运输到施工现场。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⑤交通运输方面：养殖场都比较偏僻，道路是乡村道路。通过现场踏勘确定交通道路承载力是否能满足机械设备、材料的运输要求，如不能满足采取补强措施。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⑥协调：1、通过适当协调施工窗口期，以避免多个养殖场同时进入施工窗口期，同时在施工作业不能停止的情况下协调养殖窗口期</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2、工程施工期间和养殖场清理进行合理协调，避免工程施工影响养殖场清理，同时也避免养殖场清理影响到施工进度。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⑦工人宿舍选址：由于养殖场都比较偏僻，附近只有一些小村庄</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施工高峰期大概有200人，分三个地方作业，一个地方也有将近六七十人。工人宿舍通过现场调查选择合适的位置，选择距离数个养殖场较近的位置，要有利于施工转场，同时要满足基本生活条件。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⑧安全方面：建立健全安全管理制度，落实常态化、日常化检查制度，杜绝各种习惯性违章。强化员工入场安全培训和专项培训，增强员工的安全意识</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⑨夜间施工：由于施工窗口期短，不可避免要进行夜间施工，通过跟当地政府、村民充分沟通协调，避免造成阻工等现象。建立合理的加班制度，制定相应激励措施，加大资源投入，建立可靠的后勤保障制度。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hint="eastAsia"/>
          <w:b/>
          <w:bCs/>
          <w:sz w:val="28"/>
          <w:szCs w:val="28"/>
        </w:rPr>
        <w:t>二、施工组织机构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30" w:header="0" w:footer="0" w:gutter="0"/>
          <w:pgNumType w:start="3"/>
          <w:cols w:num="1" w:space="720"/>
          <w:titlePg w:val="0"/>
        </w:sectPr>
      </w:pPr>
      <w:r>
        <w:rPr>
          <w:rFonts w:asciiTheme="minorEastAsia" w:eastAsiaTheme="minorEastAsia" w:hAnsiTheme="minorEastAsia" w:cstheme="minorEastAsia" w:hint="eastAsia"/>
          <w:sz w:val="28"/>
          <w:szCs w:val="28"/>
        </w:rPr>
        <w:t>为了优质高效地完成本项目施工任务，由集团公司成立专家指导组，选派有丰富施工经验的项目经理及施工技术人员，由公司充分授权，使其具有足够的决策能力、协调能力，并抽调现场操作经验丰富的施工班组，组成精干高效的项目经理部，以成熟可靠的施工技术，严谨科学的施工组织，确保工期可控。</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抽调从事过类似工程相关专业的、有相当施工经验的技术管理人员和技术工人，按专业组建施工队伍承担本合同工程项目的施工任务</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30" w:header="0" w:footer="0" w:gutter="0"/>
          <w:pgNumType w:start="4"/>
          <w:cols w:num="1" w:space="720"/>
          <w:titlePg w:val="0"/>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项目组织机构如下图：</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pict>
          <v:group id="_x0000_s1026" o:spid="_x0000_i1025" style="width:421.55pt;height:299pt" coordsize="8430,5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o:spid="_x0000_s1026" type="#_x0000_t75" style="width:8430;height:5980;position:absolute" coordsize="21600,21600" filled="f" stroked="f">
              <v:imagedata r:id="rId5" o:title=""/>
              <o:lock v:ext="edit" aspectratio="t"/>
            </v:shape>
            <v:shapetype id="_x0000_t202" coordsize="21600,21600" o:spt="202" path="m,l,21600r21600,l21600,xe">
              <v:stroke joinstyle="miter"/>
              <v:path gradientshapeok="t" o:connecttype="rect"/>
            </v:shapetype>
            <v:shape id="_x0000_s1028" o:spid="_x0000_s1027" type="#_x0000_t202" style="width:7314;height:5560;left:930;position:absolute;top:207" coordsize="21600,21600" filled="f" stroked="f">
              <o:lock v:ext="edit" aspectratio="f"/>
              <v:textbox inset="0,0,0,0">
                <w:txbxContent>
                  <w:p>
                    <w:pPr>
                      <w:spacing w:before="20" w:line="221" w:lineRule="auto"/>
                      <w:ind w:left="2460"/>
                      <w:rPr>
                        <w:rFonts w:ascii="宋体" w:eastAsia="宋体" w:hAnsi="宋体" w:cs="宋体"/>
                        <w:sz w:val="14"/>
                        <w:szCs w:val="14"/>
                      </w:rPr>
                    </w:pPr>
                    <w:r>
                      <w:rPr>
                        <w:rFonts w:ascii="宋体" w:eastAsia="宋体" w:hAnsi="宋体" w:cs="宋体"/>
                        <w:spacing w:val="9"/>
                        <w:sz w:val="14"/>
                        <w:szCs w:val="14"/>
                      </w:rPr>
                      <w:t>公司</w:t>
                    </w:r>
                  </w:p>
                  <w:p>
                    <w:pPr>
                      <w:spacing w:line="441" w:lineRule="auto"/>
                    </w:pPr>
                  </w:p>
                  <w:p>
                    <w:pPr>
                      <w:spacing w:before="46" w:line="241" w:lineRule="exact"/>
                      <w:ind w:left="2399"/>
                      <w:rPr>
                        <w:rFonts w:ascii="黑体" w:eastAsia="黑体" w:hAnsi="黑体" w:cs="黑体"/>
                        <w:sz w:val="14"/>
                        <w:szCs w:val="14"/>
                      </w:rPr>
                    </w:pPr>
                    <w:r>
                      <w:rPr>
                        <w:rFonts w:ascii="黑体" w:eastAsia="黑体" w:hAnsi="黑体" w:cs="黑体"/>
                        <w:spacing w:val="4"/>
                        <w:position w:val="7"/>
                        <w:sz w:val="14"/>
                        <w:szCs w:val="14"/>
                      </w:rPr>
                      <w:t>项目部</w:t>
                    </w:r>
                  </w:p>
                  <w:p>
                    <w:pPr>
                      <w:spacing w:line="220" w:lineRule="auto"/>
                      <w:ind w:left="2339"/>
                      <w:rPr>
                        <w:rFonts w:ascii="宋体" w:eastAsia="宋体" w:hAnsi="宋体" w:cs="宋体"/>
                        <w:sz w:val="14"/>
                        <w:szCs w:val="14"/>
                      </w:rPr>
                    </w:pPr>
                    <w:r>
                      <w:rPr>
                        <w:rFonts w:ascii="宋体" w:eastAsia="宋体" w:hAnsi="宋体" w:cs="宋体"/>
                        <w:spacing w:val="-2"/>
                        <w:sz w:val="14"/>
                        <w:szCs w:val="14"/>
                      </w:rPr>
                      <w:t>项目经理</w:t>
                    </w:r>
                  </w:p>
                  <w:p>
                    <w:pPr>
                      <w:spacing w:line="285" w:lineRule="auto"/>
                    </w:pPr>
                  </w:p>
                  <w:p>
                    <w:pPr>
                      <w:spacing w:before="46" w:line="219" w:lineRule="auto"/>
                      <w:ind w:left="3409"/>
                      <w:rPr>
                        <w:rFonts w:ascii="宋体" w:eastAsia="宋体" w:hAnsi="宋体" w:cs="宋体"/>
                        <w:sz w:val="14"/>
                        <w:szCs w:val="14"/>
                      </w:rPr>
                    </w:pPr>
                    <w:r>
                      <w:rPr>
                        <w:rFonts w:ascii="宋体" w:eastAsia="宋体" w:hAnsi="宋体" w:cs="宋体"/>
                        <w:spacing w:val="-2"/>
                        <w:sz w:val="14"/>
                        <w:szCs w:val="14"/>
                      </w:rPr>
                      <w:t>项目副经理</w:t>
                    </w:r>
                  </w:p>
                  <w:p>
                    <w:pPr>
                      <w:spacing w:line="297" w:lineRule="auto"/>
                    </w:pPr>
                  </w:p>
                  <w:p>
                    <w:pPr>
                      <w:spacing w:line="297" w:lineRule="auto"/>
                    </w:pPr>
                  </w:p>
                  <w:p>
                    <w:pPr>
                      <w:spacing w:before="45" w:line="246" w:lineRule="exact"/>
                      <w:ind w:left="79"/>
                      <w:rPr>
                        <w:rFonts w:ascii="宋体" w:eastAsia="宋体" w:hAnsi="宋体" w:cs="宋体"/>
                        <w:sz w:val="14"/>
                        <w:szCs w:val="14"/>
                      </w:rPr>
                    </w:pPr>
                    <w:r>
                      <w:rPr>
                        <w:rFonts w:ascii="宋体" w:eastAsia="宋体" w:hAnsi="宋体" w:cs="宋体"/>
                        <w:spacing w:val="5"/>
                        <w:position w:val="8"/>
                        <w:sz w:val="14"/>
                        <w:szCs w:val="14"/>
                      </w:rPr>
                      <w:t>采购部</w:t>
                    </w:r>
                  </w:p>
                  <w:p>
                    <w:pPr>
                      <w:spacing w:line="236" w:lineRule="auto"/>
                      <w:ind w:left="20"/>
                      <w:rPr>
                        <w:rFonts w:ascii="STXinwei" w:eastAsia="STXinwei" w:hAnsi="STXinwei" w:cs="STXinwei"/>
                        <w:sz w:val="14"/>
                        <w:szCs w:val="14"/>
                      </w:rPr>
                    </w:pPr>
                    <w:r>
                      <w:rPr>
                        <w:rFonts w:ascii="STXinwei" w:eastAsia="STXinwei" w:hAnsi="STXinwei" w:cs="STXinwei"/>
                        <w:spacing w:val="5"/>
                        <w:sz w:val="14"/>
                        <w:szCs w:val="14"/>
                      </w:rPr>
                      <w:t>采购经理</w:t>
                    </w:r>
                  </w:p>
                  <w:p>
                    <w:pPr>
                      <w:spacing w:line="245" w:lineRule="auto"/>
                    </w:pPr>
                  </w:p>
                  <w:p>
                    <w:pPr>
                      <w:spacing w:line="245" w:lineRule="auto"/>
                    </w:pPr>
                  </w:p>
                  <w:p>
                    <w:pPr>
                      <w:spacing w:line="245" w:lineRule="auto"/>
                    </w:pPr>
                  </w:p>
                  <w:p>
                    <w:pPr>
                      <w:spacing w:line="245" w:lineRule="auto"/>
                    </w:pPr>
                  </w:p>
                  <w:p>
                    <w:pPr>
                      <w:spacing w:before="46" w:line="237" w:lineRule="auto"/>
                      <w:ind w:left="2809"/>
                      <w:rPr>
                        <w:rFonts w:ascii="仿宋" w:eastAsia="仿宋" w:hAnsi="仿宋" w:cs="仿宋"/>
                        <w:sz w:val="14"/>
                        <w:szCs w:val="14"/>
                      </w:rPr>
                    </w:pPr>
                    <w:r>
                      <w:rPr>
                        <w:rFonts w:ascii="黑体" w:eastAsia="黑体" w:hAnsi="黑体" w:cs="黑体"/>
                        <w:spacing w:val="4"/>
                        <w:position w:val="-1"/>
                        <w:sz w:val="14"/>
                        <w:szCs w:val="14"/>
                      </w:rPr>
                      <w:t>控制部</w:t>
                    </w:r>
                    <w:r>
                      <w:rPr>
                        <w:rFonts w:ascii="黑体" w:eastAsia="黑体" w:hAnsi="黑体" w:cs="黑体"/>
                        <w:spacing w:val="14"/>
                        <w:position w:val="-1"/>
                        <w:sz w:val="14"/>
                        <w:szCs w:val="14"/>
                      </w:rPr>
                      <w:t xml:space="preserve">    </w:t>
                    </w:r>
                    <w:r>
                      <w:rPr>
                        <w:rFonts w:ascii="宋体" w:eastAsia="宋体" w:hAnsi="宋体" w:cs="宋体"/>
                        <w:spacing w:val="4"/>
                        <w:sz w:val="14"/>
                        <w:szCs w:val="14"/>
                      </w:rPr>
                      <w:t xml:space="preserve">施工部    </w:t>
                    </w:r>
                    <w:r>
                      <w:rPr>
                        <w:rFonts w:ascii="宋体" w:eastAsia="宋体" w:hAnsi="宋体" w:cs="宋体"/>
                        <w:spacing w:val="4"/>
                        <w:position w:val="1"/>
                        <w:sz w:val="14"/>
                        <w:szCs w:val="14"/>
                      </w:rPr>
                      <w:t xml:space="preserve">质检部    </w:t>
                    </w:r>
                    <w:r>
                      <w:rPr>
                        <w:rFonts w:ascii="黑体" w:eastAsia="黑体" w:hAnsi="黑体" w:cs="黑体"/>
                        <w:spacing w:val="4"/>
                        <w:sz w:val="14"/>
                        <w:szCs w:val="14"/>
                      </w:rPr>
                      <w:t xml:space="preserve">安管部    </w:t>
                    </w:r>
                    <w:r>
                      <w:rPr>
                        <w:rFonts w:ascii="仿宋" w:eastAsia="仿宋" w:hAnsi="仿宋" w:cs="仿宋"/>
                        <w:spacing w:val="4"/>
                        <w:sz w:val="14"/>
                        <w:szCs w:val="14"/>
                      </w:rPr>
                      <w:t>财务部    办公室</w:t>
                    </w:r>
                  </w:p>
                  <w:p>
                    <w:pPr>
                      <w:spacing w:line="253" w:lineRule="auto"/>
                    </w:pPr>
                  </w:p>
                  <w:p>
                    <w:pPr>
                      <w:spacing w:line="253" w:lineRule="auto"/>
                    </w:pPr>
                  </w:p>
                  <w:p>
                    <w:pPr>
                      <w:spacing w:line="253" w:lineRule="auto"/>
                    </w:pPr>
                  </w:p>
                  <w:p>
                    <w:pPr>
                      <w:spacing w:line="254" w:lineRule="auto"/>
                    </w:pPr>
                  </w:p>
                  <w:p>
                    <w:pPr>
                      <w:spacing w:line="254" w:lineRule="auto"/>
                    </w:pPr>
                  </w:p>
                  <w:p>
                    <w:pPr>
                      <w:spacing w:before="46" w:line="238" w:lineRule="auto"/>
                      <w:ind w:left="6828" w:right="20" w:hanging="229"/>
                      <w:rPr>
                        <w:rFonts w:ascii="宋体" w:eastAsia="宋体" w:hAnsi="宋体" w:cs="宋体"/>
                        <w:sz w:val="14"/>
                        <w:szCs w:val="14"/>
                      </w:rPr>
                    </w:pPr>
                    <w:r>
                      <w:rPr>
                        <w:rFonts w:ascii="宋体" w:eastAsia="宋体" w:hAnsi="宋体" w:cs="宋体"/>
                        <w:spacing w:val="-2"/>
                        <w:sz w:val="14"/>
                        <w:szCs w:val="14"/>
                      </w:rPr>
                      <w:t>调试试验施</w:t>
                    </w:r>
                    <w:r>
                      <w:rPr>
                        <w:rFonts w:ascii="宋体" w:eastAsia="宋体" w:hAnsi="宋体" w:cs="宋体"/>
                        <w:spacing w:val="2"/>
                        <w:sz w:val="14"/>
                        <w:szCs w:val="14"/>
                      </w:rPr>
                      <w:t xml:space="preserve"> </w:t>
                    </w:r>
                    <w:r>
                      <w:rPr>
                        <w:rFonts w:ascii="宋体" w:eastAsia="宋体" w:hAnsi="宋体" w:cs="宋体"/>
                        <w:spacing w:val="-2"/>
                        <w:sz w:val="14"/>
                        <w:szCs w:val="14"/>
                      </w:rPr>
                      <w:t>工队</w:t>
                    </w:r>
                  </w:p>
                </w:txbxContent>
              </v:textbox>
            </v:shape>
            <v:shape id="_x0000_s1029" o:spid="_x0000_s1028" type="#_x0000_t202" style="width:728;height:360;left:160;position:absolute;top:5444" coordsize="21600,21600" filled="f" stroked="f">
              <o:lock v:ext="edit" aspectratio="f"/>
              <v:textbox inset="0,0,0,0">
                <w:txbxContent>
                  <w:p>
                    <w:pPr>
                      <w:spacing w:before="19" w:line="229" w:lineRule="auto"/>
                      <w:ind w:left="69" w:right="20" w:hanging="49"/>
                      <w:rPr>
                        <w:rFonts w:ascii="宋体" w:eastAsia="宋体" w:hAnsi="宋体" w:cs="宋体"/>
                        <w:sz w:val="14"/>
                        <w:szCs w:val="14"/>
                      </w:rPr>
                    </w:pPr>
                    <w:r>
                      <w:rPr>
                        <w:rFonts w:ascii="仿宋" w:eastAsia="仿宋" w:hAnsi="仿宋" w:cs="仿宋"/>
                        <w:spacing w:val="-3"/>
                        <w:sz w:val="14"/>
                        <w:szCs w:val="14"/>
                      </w:rPr>
                      <w:t>工程设备村</w:t>
                    </w:r>
                    <w:r>
                      <w:rPr>
                        <w:rFonts w:ascii="仿宋" w:eastAsia="仿宋" w:hAnsi="仿宋" w:cs="仿宋"/>
                        <w:spacing w:val="1"/>
                        <w:sz w:val="14"/>
                        <w:szCs w:val="14"/>
                      </w:rPr>
                      <w:t xml:space="preserve"> </w:t>
                    </w:r>
                    <w:r>
                      <w:rPr>
                        <w:rFonts w:ascii="宋体" w:eastAsia="宋体" w:hAnsi="宋体" w:cs="宋体"/>
                        <w:spacing w:val="-2"/>
                        <w:sz w:val="14"/>
                        <w:szCs w:val="14"/>
                      </w:rPr>
                      <w:t>料采购组</w:t>
                    </w:r>
                  </w:p>
                </w:txbxContent>
              </v:textbox>
            </v:shape>
            <v:shape id="_x0000_s1030" o:spid="_x0000_s1029" type="#_x0000_t202" style="width:590;height:365;left:1620;position:absolute;top:5443" coordsize="21600,21600" filled="f" stroked="f">
              <o:lock v:ext="edit" aspectratio="f"/>
              <v:textbox inset="0,0,0,0">
                <w:txbxContent>
                  <w:p>
                    <w:pPr>
                      <w:spacing w:before="20" w:line="230" w:lineRule="auto"/>
                      <w:ind w:left="80" w:right="20" w:hanging="60"/>
                      <w:rPr>
                        <w:rFonts w:ascii="黑体" w:eastAsia="黑体" w:hAnsi="黑体" w:cs="黑体"/>
                        <w:sz w:val="14"/>
                        <w:szCs w:val="14"/>
                      </w:rPr>
                    </w:pPr>
                    <w:r>
                      <w:rPr>
                        <w:rFonts w:ascii="STXinwei" w:eastAsia="STXinwei" w:hAnsi="STXinwei" w:cs="STXinwei"/>
                        <w:spacing w:val="-3"/>
                        <w:sz w:val="14"/>
                        <w:szCs w:val="14"/>
                      </w:rPr>
                      <w:t>机械设备</w:t>
                    </w:r>
                    <w:r>
                      <w:rPr>
                        <w:rFonts w:ascii="STXinwei" w:eastAsia="STXinwei" w:hAnsi="STXinwei" w:cs="STXinwei"/>
                        <w:sz w:val="14"/>
                        <w:szCs w:val="14"/>
                      </w:rPr>
                      <w:t xml:space="preserve"> </w:t>
                    </w:r>
                    <w:r>
                      <w:rPr>
                        <w:rFonts w:ascii="黑体" w:eastAsia="黑体" w:hAnsi="黑体" w:cs="黑体"/>
                        <w:spacing w:val="5"/>
                        <w:sz w:val="14"/>
                        <w:szCs w:val="14"/>
                      </w:rPr>
                      <w:t>供应组</w:t>
                    </w:r>
                  </w:p>
                </w:txbxContent>
              </v:textbox>
            </v:shape>
            <v:shape id="_x0000_s1031" o:spid="_x0000_s1030" type="#_x0000_t202" style="width:720;height:186;left:3400;position:absolute;top:5420" coordsize="21600,21600" filled="f" stroked="f">
              <o:lock v:ext="edit" aspectratio="f"/>
              <v:textbox inset="0,0,0,0">
                <w:txbxContent>
                  <w:p>
                    <w:pPr>
                      <w:spacing w:before="20" w:line="236" w:lineRule="auto"/>
                      <w:ind w:left="20"/>
                      <w:rPr>
                        <w:rFonts w:ascii="STXinwei" w:eastAsia="STXinwei" w:hAnsi="STXinwei" w:cs="STXinwei"/>
                        <w:sz w:val="14"/>
                        <w:szCs w:val="14"/>
                      </w:rPr>
                    </w:pPr>
                    <w:r>
                      <w:rPr>
                        <w:rFonts w:ascii="STXinwei" w:eastAsia="STXinwei" w:hAnsi="STXinwei" w:cs="STXinwei"/>
                        <w:spacing w:val="-4"/>
                        <w:sz w:val="14"/>
                        <w:szCs w:val="14"/>
                      </w:rPr>
                      <w:t>土建施工队</w:t>
                    </w:r>
                  </w:p>
                </w:txbxContent>
              </v:textbox>
            </v:shape>
            <v:shape id="_x0000_s1032" o:spid="_x0000_s1031" type="#_x0000_t202" style="width:730;height:182;left:5319;position:absolute;top:5416" coordsize="21600,21600" filled="f" stroked="f">
              <o:lock v:ext="edit" aspectratio="f"/>
              <v:textbox inset="0,0,0,0">
                <w:txbxContent>
                  <w:p>
                    <w:pPr>
                      <w:spacing w:before="20" w:line="223" w:lineRule="auto"/>
                      <w:ind w:left="20"/>
                      <w:rPr>
                        <w:rFonts w:ascii="黑体" w:eastAsia="黑体" w:hAnsi="黑体" w:cs="黑体"/>
                        <w:sz w:val="14"/>
                        <w:szCs w:val="14"/>
                      </w:rPr>
                    </w:pPr>
                    <w:r>
                      <w:rPr>
                        <w:rFonts w:ascii="黑体" w:eastAsia="黑体" w:hAnsi="黑体" w:cs="黑体"/>
                        <w:spacing w:val="-2"/>
                        <w:sz w:val="14"/>
                        <w:szCs w:val="14"/>
                      </w:rPr>
                      <w:t>安装施工队</w:t>
                    </w:r>
                  </w:p>
                </w:txbxContent>
              </v:textbox>
            </v:shape>
            <v:shape id="_x0000_s1033" o:spid="_x0000_s1032" type="#_x0000_t202" style="width:595;height:182;left:6290;position:absolute;top:2635" coordsize="21600,21600" filled="f" stroked="f">
              <o:lock v:ext="edit" aspectratio="f"/>
              <v:textbox inset="0,0,0,0">
                <w:txbxContent>
                  <w:p>
                    <w:pPr>
                      <w:spacing w:before="19" w:line="222" w:lineRule="auto"/>
                      <w:ind w:left="20"/>
                      <w:rPr>
                        <w:rFonts w:ascii="黑体" w:eastAsia="黑体" w:hAnsi="黑体" w:cs="黑体"/>
                        <w:sz w:val="14"/>
                        <w:szCs w:val="14"/>
                      </w:rPr>
                    </w:pPr>
                    <w:r>
                      <w:rPr>
                        <w:rFonts w:ascii="黑体" w:eastAsia="黑体" w:hAnsi="黑体" w:cs="黑体"/>
                        <w:spacing w:val="-2"/>
                        <w:sz w:val="14"/>
                        <w:szCs w:val="14"/>
                      </w:rPr>
                      <w:t>项目总工</w:t>
                    </w:r>
                  </w:p>
                </w:txbxContent>
              </v:textbox>
            </v:shape>
            <w10:anchorlock/>
          </v:group>
        </w:pic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b/>
          <w:bCs/>
          <w:sz w:val="28"/>
          <w:szCs w:val="28"/>
        </w:rPr>
      </w:pPr>
      <w:r>
        <w:rPr>
          <w:rFonts w:asciiTheme="minorEastAsia" w:eastAsiaTheme="minorEastAsia" w:hAnsiTheme="minorEastAsia" w:cstheme="minorEastAsia" w:hint="eastAsia"/>
          <w:b/>
          <w:bCs/>
          <w:sz w:val="28"/>
          <w:szCs w:val="28"/>
        </w:rPr>
        <w:t>三、施工方案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3.1施工准备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3.1.1技术准备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1)项目部总工组织各级技术人员熟悉、审查施工图纸和有关的技术资料。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针对主要设备和重要工序，组织编制施工安全技术方案和作业指导书。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2)工程开工前，技术人员对全体施工人员进行施工技术交底，主要内容包括工程特点、主要施工方案、施工安全和保证工程质量的主要措施，并应进行考试。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3.1.2物资准备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pgSz w:w="11910" w:h="16840"/>
          <w:pgMar w:top="1431" w:right="1701" w:bottom="1417" w:left="1655" w:header="0" w:footer="0" w:gutter="0"/>
          <w:pgNumType w:start="5"/>
          <w:cols w:num="1" w:space="720"/>
        </w:sectPr>
      </w:pPr>
      <w:r>
        <w:rPr>
          <w:rFonts w:asciiTheme="minorEastAsia" w:eastAsiaTheme="minorEastAsia" w:hAnsiTheme="minorEastAsia" w:cstheme="minorEastAsia" w:hint="eastAsia"/>
          <w:sz w:val="28"/>
          <w:szCs w:val="28"/>
        </w:rPr>
        <w:t>编制《施工所需物料明细表》、《施工所需工具清单》、《安全措施保护工具清单》等，制定《现场施工手册》指导施工。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根据物料明细表进行物料准备，外协外购件应考虑供货周期等，提前准备申购、联系厂家，以免耽误工期。</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开工前设立材料站，对砂、石、水泥、钢材等材料进行检验(见证取样、送检),选择合格的分包商，做好自供材料的采购供应。</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3.1.3作业队伍准备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选择施工组织能力及责任心强的同志担任施工队长，划分施工任务段选择施工班组驻地。各施工班组选择有经验的职工担任安监、质检员</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项目部在施工人员进驻工地前组织并请公司专业人员对所有参加本工程施工的人员进行全面的安全、质量、技术培训和考核。</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3.2施工方案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3.2.1测量方案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基础定位测量点较多，包括光伏阵列、箱变基础等，施工面较广</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测量放样工作较繁琐，工作量大。为保证本工程平面位置的放样及高程准确，根据工程特点，作如下测量方案。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在专业测绘人员定点后施工放线测量由经过培训合格的专业放线员负责施测。所有的GPS、全站仪、水平仪、经纬仪等工具均定期及时送计量部门检验合格后使用，同时安排专人保管并加强维护保养，以及保护各种仪器、工具等处于良好的工作状态。测量控制点根据要求尽量布置在建筑物附近，做到控制面广，定位、放线方便，距建筑物有一定距离，并距土方开挖线5m以外，以便于长期保存。</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3.2.2基础施工方案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土建施工本着先地下、后地上的顺序，同时配电设备基础以及其余零米以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655" w:header="0" w:footer="0" w:gutter="0"/>
          <w:pgNumType w:start="6"/>
          <w:cols w:num="1" w:space="720"/>
          <w:titlePg w:val="0"/>
        </w:sectPr>
      </w:pPr>
      <w:r>
        <w:rPr>
          <w:rFonts w:asciiTheme="minorEastAsia" w:eastAsiaTheme="minorEastAsia" w:hAnsiTheme="minorEastAsia" w:cstheme="minorEastAsia" w:hint="eastAsia"/>
          <w:sz w:val="28"/>
          <w:szCs w:val="28"/>
        </w:rPr>
        <w:t>下设施。基础施工完后即回填，原则上要求影响起重设备行走的部位先回填。起重机械行走时要采取切实可行的措施保护其下部的设备基础及预埋件。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(一)、刚架基础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方案一、刚架基础选用常规钢筋混凝土独立基础+短柱型式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基础采用柱下独立基础型式，独立基础埋深约1.5m。当基础开挖至设计标高遇软弱土层时，采用换填砂垫层型式进行地基处理，换填深度不小于500mm,换填垫层应分层压实，压实系数0.97。</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方案二、刚架基础选用条形或圈梁混凝土基础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根据地勘资料经设计验算承载力，高低跨等施工作业面狭窄区域在承载力能够满足的情况下出具基础设计变更，由设计院确定基础埋深，根据最终基础设计图纸进行施工。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(二)、预制舱、箱变基础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本项目每个养殖场内新增预制舱一座、箱式变压器一台，根据设备要求设置钢筋混凝土基础，基础型式为筏板基础。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(三)土方工程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1、施工概述</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场地平整及土方施工必须执行《建筑地基基础工程施工质量验收标准》(GB50202-2018)的有关规定。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箱变基础的基坑开挖深度根据现场的实际地形调整，箱变基础开挖土方采用反铲挖掘机开挖。用于回填的土方临时堆放于附近，待混凝土浇筑并养护后进行土方回填。</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基础土方回填由蛙式打夯机与小型振动碾夯实。</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电缆直埋和接地工程的土方开挖主要采用0.6m³的反铲挖掘机和人工开挖。因作业面较为狭窄，细砂回填、土方回填主要采用蛙式打夯机和小型振动碾分层夯实。</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655" w:header="0" w:footer="0" w:gutter="0"/>
          <w:pgNumType w:start="7"/>
          <w:cols w:num="1" w:space="720"/>
          <w:titlePg w:val="0"/>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刚架基础根据本工程特点，工作面足够的区域采用反铲挖掘机开挖，机械开挖至垫层标高以上100mm后，采用人工挖至设计标高。工作面狭窄区域采用人工配合小型机具开挖至设计标高。土方开挖前，先放好基础边线和土方开挖线，并将其引到基槽以外不会被破坏的地方</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开挖时注意底局部预留100厚土层，待验槽后浇筑垫层时挖除以防止因基底长时间暴露而受扰动。开挖基槽时如发现土层与地质报告不符或发现不良地基，如暗沟、暗升、暗塘、墓穴及人防施等，应立即通知建设单位地质勘探部门、设计院等有关部门人员到现场研究解决。</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土方开挖时，施工测量人员严格控制标高，严禁超挖。</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2、土方平衡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工程土方开挖主要是箱变基础、刚架基础等；回填主要是箱变基础的基坑回填、刚架基础回填等，本工程土方工程优先采用自平衡方，开挖土方就近用于回填，多余土方就近用于局部场地整平、场内道路边坡的填筑。</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3、土石方开挖</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①采用小型机械配合人工直接开挖，土方临时堆放于附近。</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②开挖时应注意保护测量控制定位桩、水准基桩，防止被机械碰撞损坏。开挖应按拟定的顺序，从上至下分层分段依次进行，严禁乱挖乱运乱卸。土方开挖期间，随时观察和检查土质、地下水位等变化情况</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作好原始记录，如遇异常情况，应及时通知并会同监理、设计及业主进行处理。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③开挖边坡土方，严禁切割坡脚，以防导致边坡失稳，当坡度陡于五分之一时，不得在边坡上侧推土。</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④机械挖土应分层进行，合理放坡，防止塌方、滑坡等造成机械倾翻、掩埋等事故。设专人指挥，严禁在陡坡上转弯。正车上坡和倒车下坡的坡度不得超过35°,横坡不得超过10°。</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⑤夜间作业时，机上及工作地点必须有足够的照明设施，防止超挖。</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655" w:header="0" w:footer="0" w:gutter="0"/>
          <w:pgNumType w:start="8"/>
          <w:cols w:num="1" w:space="720"/>
          <w:titlePg w:val="0"/>
        </w:sectPr>
      </w:pPr>
      <w:r>
        <w:rPr>
          <w:rFonts w:asciiTheme="minorEastAsia" w:eastAsiaTheme="minorEastAsia" w:hAnsiTheme="minorEastAsia" w:cstheme="minorEastAsia" w:hint="eastAsia"/>
          <w:sz w:val="28"/>
          <w:szCs w:val="28"/>
        </w:rPr>
        <w:t>4、土方回填</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①土料要求与含水量控制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回填土为本现场开挖区内土料，适宜作回填土，草皮、耕植土、淤泥和淤泥质土不能作为回填土。</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填土土料含水量的大小，直接影响到碾压质量，含水量过小，碾压不实；含水量过大，则易成橡皮土。</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土料含水量一般以手握成团，落地开花为适宜。当含水量过大，应采取翻松、晾干、风干、换土回填、掺入干土或其它吸水性材料等措施；如土料过干，则应预先洒水湿润，每1m²铺好的土需补充的水量按下式计算：</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V=p;(wop-w)/(1+w)</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式中V——单位体积内需补充的水量(L);</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w——土的天然含水量(%)(以小数计);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wop——土的最优含水量(%)(以小数计);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px——填土碾压前的密度(kg/m3)。</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当含水量小时，亦可采取增加碾压遍数的措施。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在气候干燥时，须采取加速挖土、运土、平土和碾压过程，以减少土的水分散失。</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②填土压实</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A.填土压实的基本要求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回填土选用蛙式打夯机与小型振动碾夯实。</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根据机械性能和《建筑施工手册》(第五版),采用分层铺土，分层碾压的施工方法。每层铺土厚度250~350mm,每层碾压遍数4遍，并经取样试验达到设计规定的压实系数，否则必须增加碾压遍数直到合格为止。</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655" w:header="0" w:footer="0" w:gutter="0"/>
          <w:pgNumType w:start="9"/>
          <w:cols w:num="1" w:space="720"/>
          <w:titlePg w:val="0"/>
        </w:sectPr>
      </w:pPr>
      <w:r>
        <w:rPr>
          <w:rFonts w:asciiTheme="minorEastAsia" w:eastAsiaTheme="minorEastAsia" w:hAnsiTheme="minorEastAsia" w:cstheme="minorEastAsia" w:hint="eastAsia"/>
          <w:sz w:val="28"/>
          <w:szCs w:val="28"/>
        </w:rPr>
        <w:t>B.填土压实的方法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为保证每层铺土厚度均匀，在填土工作面用小木桩标出每层铺土厚度和压实后高度，作为铺填厚度的标志。</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对大面积填方，其碾压顺序应由边缘逐渐压向中央，循环进行，对狭窄面积填方，应从两侧压至中央。机械碾压回填，在碾压之前宜先用轻型推土机推平，低速碾压4～5遍，使表面平实，避免碾轮下陷</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采用振动平碾压实时，应先静压，而后振压。碾压机械压实填方时</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应控制行车速度，一般平碾、振动不超过2km/h,并控制压实遍数。</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回填时，应注意妥善保护定位桩、轴线桩、标高桩，防止碰撞损坏或下沉。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夜间作业，应合理安排施工顺序，设置足够照明，汽车卸土专人指挥。非机电设备操作人员不准擅自动用机电设备，使用蛙式打夯机时，要两人操作，其中一人负责移动胶皮线，操作夯机人员，必须戴绝缘手套，以防触电，打夯时要精神集中，两机平行操作不小于3m,在同一夯行路线上，前后距离不得小于10m。</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(四)、钢筋工程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钢筋在场外选择合适的钢筋加工场进行制作成型，施工期运输到施工现场。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1)钢筋进场后，先进行钢筋原材料抽检，试验合格后才能进行钢筋原材料加工。钢筋的级别、直径必须符合设计要求，有出厂证明书及复试报告单。钢</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筋还有化学复试单，其化学成分满足焊接要求，并有可焊性试验</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2)钢筋的加工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a.钢筋在加工前应洁净、无损伤，油渍、漆污在使用前清理干净</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655" w:header="0" w:footer="0" w:gutter="0"/>
          <w:pgNumType w:start="10"/>
          <w:cols w:num="1" w:space="720"/>
          <w:titlePg w:val="0"/>
        </w:sectPr>
      </w:pPr>
      <w:r>
        <w:rPr>
          <w:rFonts w:asciiTheme="minorEastAsia" w:eastAsiaTheme="minorEastAsia" w:hAnsiTheme="minorEastAsia" w:cstheme="minorEastAsia" w:hint="eastAsia"/>
          <w:sz w:val="28"/>
          <w:szCs w:val="28"/>
        </w:rPr>
        <w:t>b.钢筋在调直机上调直后，其表面不得有明显擦伤，抗拉强度不得低于设计强度。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c.当钢筋采用电弧焊、电渣压力焊及闪光对焊时，在施工前要求焊工对焊件进行试焊，并经检验合格方可采用。施工过程中所采用的焊条牌号、焊机、施焊人员、电源、电压及其它焊接参数与试焊件的必须一致。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d.钢筋切断时，钢筋和切断机刀口要成垂线，并严格执行操作规程，确保安全。在切断过程中，如发现钢筋有劈裂、缩头或严重的弯头，必须切除。</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e.φ12及以下的盘圆筋采用冷拉法进行调直，对于I级筋冷拉率控制在4%以下，冷拉后钢筋应平直，无局部曲折，对于死弯等局部应进行切除处理。对于粗钢筋的局部弯曲可用钢筋弯曲机调直，决不可采用人工锤击调直。钢筋的除锈采用机械除锈结合人工除锈的方法，并在施工中注意加强对钢筋的保护工作，对于绑扎成型的钢筋应及时浇筑混凝土，以免锈蚀后不易清除干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f.钢筋绑扎完后，严禁施工机械的油污等污染钢筋，如果钢筋被油污污染可采用适当浓度的洗涤液进行清洗，并用清水冲洗干净。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g.钢筋的接头宜设置在受力较小处。同一纵向受力钢筋不宜设置两个或两个以上接头。接头末端至钢筋弯起点的距离不小于钢筋直径的10倍。当受力钢筋采用机械连接接头或焊接接头时，设置在同一构件内的接头宜相互错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h.安装电线管、暖卫管线或其他设施时，不得任意切断和移动钢筋。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i.浇筑混凝土前，必须对竖向插筋加套管或进行围挡保护，以防止钢筋被污染。</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j.绑扎好的钢筋在浇筑混凝土以前应进行全面检查，办理隐蔽工程检查手续，经监理检查验收合格后方可进入下道工序。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655" w:header="0" w:footer="0" w:gutter="0"/>
          <w:pgNumType w:start="11"/>
          <w:cols w:num="1" w:space="720"/>
          <w:titlePg w:val="0"/>
        </w:sectPr>
      </w:pPr>
      <w:r>
        <w:rPr>
          <w:rFonts w:asciiTheme="minorEastAsia" w:eastAsiaTheme="minorEastAsia" w:hAnsiTheme="minorEastAsia" w:cstheme="minorEastAsia" w:hint="eastAsia"/>
          <w:sz w:val="28"/>
          <w:szCs w:val="28"/>
        </w:rPr>
        <w:t>(五)、模板工程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模板尽量在场外选择合适的模板加工场进行制作成型，施工期运输到施工现场，现场拼装、就位和设支撑。</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1)外露部分主要采用覆膜竹胶板作为的成型模具，模板表面达到清水标准要求，确保混凝土外观工艺质量。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2)模板施工严格按翻样图纸在模板加工场进行制作成型，现场拼装、就位和设支撑，模板安装就位后，由技术员、施工员按平整度及端面尺寸、标高、垂直度进行复核验收。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3)柱、梁阳角部位采用角钢定位固定，确保成型混凝土的工艺质量。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4)支完模板后，保持模内清洁，防止掉入砖头、石子、木屑等杂物。</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5)吊运模板、龙骨、或钢筋时，不得碰撞已安装好的模板，以防模板变形。</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6)模板支撑系统为独立的系统，禁止与脚手架、接料平台、物料提升机及外用电梯等相连接。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7)拆模时必须避免振动和损坏混凝土。</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8)底模及其支架拆除时的混凝土强度符合设计及技术规格书的要求，当设计无具体要求时，混凝土强度符合下表的规定。</w:t>
      </w:r>
    </w:p>
    <w:tbl>
      <w:tblPr>
        <w:tblStyle w:val="TableNormal00"/>
        <w:tblW w:w="85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193"/>
        <w:gridCol w:w="1408"/>
        <w:gridCol w:w="5968"/>
      </w:tblGrid>
      <w:tr>
        <w:tblPrEx>
          <w:tblW w:w="85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871"/>
        </w:trPr>
        <w:tc>
          <w:tcPr>
            <w:tcW w:w="1193"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构件类型</w:t>
            </w:r>
          </w:p>
        </w:tc>
        <w:tc>
          <w:tcPr>
            <w:tcW w:w="140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构件跨度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(m)</w:t>
            </w:r>
          </w:p>
        </w:tc>
        <w:tc>
          <w:tcPr>
            <w:tcW w:w="596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达到设计的混凝土立方体抗压强度标准值的百分率(%)</w:t>
            </w:r>
          </w:p>
        </w:tc>
      </w:tr>
      <w:tr>
        <w:tblPrEx>
          <w:tblW w:w="8569" w:type="dxa"/>
          <w:tblInd w:w="5" w:type="dxa"/>
          <w:tblLayout w:type="fixed"/>
          <w:tblCellMar>
            <w:top w:w="0" w:type="dxa"/>
            <w:left w:w="0" w:type="dxa"/>
            <w:bottom w:w="0" w:type="dxa"/>
            <w:right w:w="0" w:type="dxa"/>
          </w:tblCellMar>
        </w:tblPrEx>
        <w:trPr>
          <w:trHeight w:val="448"/>
        </w:trPr>
        <w:tc>
          <w:tcPr>
            <w:tcW w:w="1193"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板</w:t>
            </w:r>
          </w:p>
        </w:tc>
        <w:tc>
          <w:tcPr>
            <w:tcW w:w="140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w:t>
            </w:r>
          </w:p>
        </w:tc>
        <w:tc>
          <w:tcPr>
            <w:tcW w:w="596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≥50</w:t>
            </w:r>
          </w:p>
        </w:tc>
      </w:tr>
      <w:tr>
        <w:tblPrEx>
          <w:tblW w:w="8569" w:type="dxa"/>
          <w:tblInd w:w="5" w:type="dxa"/>
          <w:tblLayout w:type="fixed"/>
          <w:tblCellMar>
            <w:top w:w="0" w:type="dxa"/>
            <w:left w:w="0" w:type="dxa"/>
            <w:bottom w:w="0" w:type="dxa"/>
            <w:right w:w="0" w:type="dxa"/>
          </w:tblCellMar>
        </w:tblPrEx>
        <w:trPr>
          <w:trHeight w:val="447"/>
        </w:trPr>
        <w:tc>
          <w:tcPr>
            <w:tcW w:w="1193" w:type="dxa"/>
            <w:vMerge/>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p>
        </w:tc>
        <w:tc>
          <w:tcPr>
            <w:tcW w:w="140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&gt;2,≤8</w:t>
            </w:r>
          </w:p>
        </w:tc>
        <w:tc>
          <w:tcPr>
            <w:tcW w:w="596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≥75</w:t>
            </w:r>
          </w:p>
        </w:tc>
      </w:tr>
      <w:tr>
        <w:tblPrEx>
          <w:tblW w:w="8569" w:type="dxa"/>
          <w:tblInd w:w="5" w:type="dxa"/>
          <w:tblLayout w:type="fixed"/>
          <w:tblCellMar>
            <w:top w:w="0" w:type="dxa"/>
            <w:left w:w="0" w:type="dxa"/>
            <w:bottom w:w="0" w:type="dxa"/>
            <w:right w:w="0" w:type="dxa"/>
          </w:tblCellMar>
        </w:tblPrEx>
        <w:trPr>
          <w:trHeight w:val="443"/>
        </w:trPr>
        <w:tc>
          <w:tcPr>
            <w:tcW w:w="1193" w:type="dxa"/>
            <w:vMerg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p>
        </w:tc>
        <w:tc>
          <w:tcPr>
            <w:tcW w:w="140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&gt;8</w:t>
            </w:r>
          </w:p>
        </w:tc>
        <w:tc>
          <w:tcPr>
            <w:tcW w:w="596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≥100</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655" w:header="0" w:footer="0" w:gutter="0"/>
          <w:pgNumType w:start="12"/>
          <w:cols w:num="1" w:space="720"/>
          <w:titlePg w:val="0"/>
        </w:sectPr>
      </w:pPr>
    </w:p>
    <w:tbl>
      <w:tblPr>
        <w:tblStyle w:val="TableNormal01"/>
        <w:tblW w:w="8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193"/>
        <w:gridCol w:w="1408"/>
        <w:gridCol w:w="5978"/>
      </w:tblGrid>
      <w:tr>
        <w:tblPrEx>
          <w:tblW w:w="8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42"/>
        </w:trPr>
        <w:tc>
          <w:tcPr>
            <w:tcW w:w="1193" w:type="dxa"/>
            <w:vMerge w:val="restart"/>
            <w:tcBorders>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梁、拱、壳</w:t>
            </w:r>
          </w:p>
        </w:tc>
        <w:tc>
          <w:tcPr>
            <w:tcW w:w="140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≤8</w:t>
            </w:r>
          </w:p>
        </w:tc>
        <w:tc>
          <w:tcPr>
            <w:tcW w:w="597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≥75</w:t>
            </w:r>
          </w:p>
        </w:tc>
      </w:tr>
      <w:tr>
        <w:tblPrEx>
          <w:tblW w:w="8579" w:type="dxa"/>
          <w:tblInd w:w="5" w:type="dxa"/>
          <w:tblLayout w:type="fixed"/>
          <w:tblCellMar>
            <w:top w:w="0" w:type="dxa"/>
            <w:left w:w="0" w:type="dxa"/>
            <w:bottom w:w="0" w:type="dxa"/>
            <w:right w:w="0" w:type="dxa"/>
          </w:tblCellMar>
        </w:tblPrEx>
        <w:trPr>
          <w:trHeight w:val="437"/>
        </w:trPr>
        <w:tc>
          <w:tcPr>
            <w:tcW w:w="1193" w:type="dxa"/>
            <w:vMerge/>
            <w:tcBorders>
              <w:top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p>
        </w:tc>
        <w:tc>
          <w:tcPr>
            <w:tcW w:w="140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&gt;8</w:t>
            </w:r>
          </w:p>
        </w:tc>
        <w:tc>
          <w:tcPr>
            <w:tcW w:w="597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≥100</w:t>
            </w:r>
          </w:p>
        </w:tc>
      </w:tr>
      <w:tr>
        <w:tblPrEx>
          <w:tblW w:w="8579" w:type="dxa"/>
          <w:tblInd w:w="5" w:type="dxa"/>
          <w:tblLayout w:type="fixed"/>
          <w:tblCellMar>
            <w:top w:w="0" w:type="dxa"/>
            <w:left w:w="0" w:type="dxa"/>
            <w:bottom w:w="0" w:type="dxa"/>
            <w:right w:w="0" w:type="dxa"/>
          </w:tblCellMar>
        </w:tblPrEx>
        <w:trPr>
          <w:trHeight w:val="441"/>
        </w:trPr>
        <w:tc>
          <w:tcPr>
            <w:tcW w:w="1193"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悬臂构件</w:t>
            </w:r>
          </w:p>
        </w:tc>
        <w:tc>
          <w:tcPr>
            <w:tcW w:w="140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p>
        </w:tc>
        <w:tc>
          <w:tcPr>
            <w:tcW w:w="5978"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≥100</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9)拆除地下工程模板时，先检查基坑(槽)土壁情况，发现有松动</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龟裂等不安全因素时，必须采取防范措施后，方可下人作业，拆下的材料不得在离坑(槽)上口1m以内堆放，且随拆随运。</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(六)、混凝土工程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施工用混凝土全部采用商品混凝土，由混凝土搅拌车运到现场，施工作业面狭窄区域施工现场采取翻斗车进行二次运输。基础混凝土需一次浇筑成型，在浇筑过程中的混凝土浇筑结合面不允许产生初凝现象，即混凝土不能形成施工冷缝。</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混凝土主要用于箱变基础和门式刚架基础，施工量较小。混凝土施工需架设模板、绑扎钢筋并浇筑混凝土，混凝土在施工中要经常测量，以保证整体阵列的水平、间距精度。施工结束后混凝土表面必须立即遮盖并洒水养护，防止表面出现开裂。回填土要求压实，填至与地面水平。混凝土施工期应尽量避开冬季，确需冬季施工时，一定要采取严格保温措施。施工过程中，待混凝土强度达到28天龄期以上方可进行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3.2.3门式刚架施工方案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因原结构无法满足在既有养殖场屋面增设光伏组件的要求，且既有养殖场不具备进行加固改造的条件，因此在既有养殖场内另行新增钢结构支架，支架采用门式刚架型式，刚架顶部设置檩条作为光伏组件支架。门式刚架单跨跨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pgSz w:w="11910" w:h="16840"/>
          <w:pgMar w:top="1431" w:right="1701" w:bottom="1417" w:left="1750" w:header="0" w:footer="0" w:gutter="0"/>
          <w:pgNumType w:start="13"/>
          <w:cols w:num="1" w:space="720"/>
        </w:sectPr>
      </w:pPr>
      <w:r>
        <w:rPr>
          <w:rFonts w:asciiTheme="minorEastAsia" w:eastAsiaTheme="minorEastAsia" w:hAnsiTheme="minorEastAsia" w:cstheme="minorEastAsia" w:hint="eastAsia"/>
          <w:sz w:val="28"/>
          <w:szCs w:val="28"/>
        </w:rPr>
        <w:t>20~22m,柱高4~6m,下部每栋养殖场设置一跨，跨数约9~14跨，柱距6m</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1、基础基础准备：基础准备包括轴线测量、基础支撑面的准备、支撑表面标高与水平度的检查、地脚螺栓和伸出支撑面长度的量测等。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当基础顶面或支座直接作为柱的支撑面时，支撑面标高及水平度应符合规范规定，同时要求支撑面应平整，无蜂窝、孔洞、夹渣、疏松、裂纹及坑凸等外观缺陷。</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当基础顶面有预埋钢板作为柱的支撑面时，钢板顶面标高及水平度应符合规范的规定，同时要求钢板表面应平整，无焊疤、飞溅及水泥砂浆等污物。</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2、主要材料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钢材：材料应具有钢厂出具的质量证明书或检验报告：其化学成分、力学性能和其他质量要求必须符合国家现行标准规定。所有钢结构均应做防腐处理，钢构件(镀锌构件除外)应在出厂前涂醇酸底漆二道，漆膜厚度不得小于80um,面漆可在工地完成，构件涂层干漆膜总厚度不小于200um,檩条采用镀锌钢板，镀锌量275g/m2。</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钢材采用：Q235B、Q355B钢焊条：E43、E50</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螺栓：钢结构的连接采用高强螺栓，性能等级10.9级；檩条的连接用普通螺栓，性能等级4.6级。</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3、构件预制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全部构件委托专业化钢构件厂进行工业化预制。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主要构件外形尺寸偏差符合设计和国家有关标准规范的规定。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构件预制厂家要根据设计文件和国家有关标准规范进行检验和试验，并出具相关报告。</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4、钢柱安装吊装前准备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14"/>
          <w:cols w:num="1" w:space="720"/>
          <w:titlePg w:val="0"/>
        </w:sectPr>
      </w:pPr>
      <w:r>
        <w:rPr>
          <w:rFonts w:asciiTheme="minorEastAsia" w:eastAsiaTheme="minorEastAsia" w:hAnsiTheme="minorEastAsia" w:cstheme="minorEastAsia" w:hint="eastAsia"/>
          <w:sz w:val="28"/>
          <w:szCs w:val="28"/>
        </w:rPr>
        <w:t>①确定安装基准，在基础上做出柱子安装十字中心线，以便于柱子对位检查。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②在柱身上做好安装标记，主要包括十字中心线、垂直度检测线</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标高检测线等。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③安装前在柱身上绑扎吊索具、拖拉绳等，以便于安装。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5、钢柱吊装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根据现场实际情况选择吊装机械。</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方案一：工作面较充裕区域，通过汽车吊采用旋转法缓慢起吊钢柱，然后使柱子缓缓就位。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方案二：工作面狭窄区域，通过跟业主协调，拆除原养殖场部分位置，采用小型机械进入养殖场内进行吊装，吊装完成后恢复养殖场</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方案三：现场勘察，确定塔吊的安装位置，在基础施工阶段同时进行塔吊施工，采用塔吊进行吊装作业。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6、钢柱位置校正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①柱基标高调整。根据钢柱实际长度、柱底平整度来控制基础找平标高。具体做法：钢柱安装时，在柱底板下的地脚螺杆上加一个调整螺母，利用调整螺母控制柱子标高。</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②平面位置校正。在起重机不脱钩的情况下将柱底定位线与基础定位轴线对准缓慢落至标高位置，争取达到点线重合。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③柱身垂直度校正。优先采用缆风绳校正，用两台呈90°的经纬仪找垂直，在校正过程中不断调整底板下螺母，直至校正完毕，将预埋螺杆螺母拧上，缆风绳松开不受力，柱身呈自由状态，再用经纬仪复核，如有小偏差，调整下螺母，无误，将预埋螺杆螺母拧紧。对于不便采用无缆风绳校正的钢柱可采用可调撑杆校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7、钢屋架安装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15"/>
          <w:cols w:num="1" w:space="720"/>
          <w:titlePg w:val="0"/>
        </w:sectPr>
      </w:pPr>
      <w:r>
        <w:rPr>
          <w:rFonts w:asciiTheme="minorEastAsia" w:eastAsiaTheme="minorEastAsia" w:hAnsiTheme="minorEastAsia" w:cstheme="minorEastAsia" w:hint="eastAsia"/>
          <w:sz w:val="28"/>
          <w:szCs w:val="28"/>
        </w:rPr>
        <w:t>方案一：工作面较充裕区域，通过汽车吊采用旋转法缓慢起吊钢梁，然后使缓缓就位。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方案二：工作面狭窄区域，通过跟业主协调，拆除原养殖场部分位置，采用小型机械进入养殖场内进行吊装，吊装完成后恢复养殖场</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方案三：现场勘察，确定塔吊的安装位置，在基础施工阶段同时进行塔吊施工，采用塔吊进行吊装作业。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钢架的主要安装顺序为：屋面主梁安装——垂直、水平支撑体系安装——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檩条安装。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屋面梁安装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屋面梁出厂时是分段出厂的，每跨屋面梁一般分为两段或三段，每段屋面梁间为高强螺栓连接。安装前在地面拼装成整体，然后整体采用汽车吊进行吊装。工作面狭窄吊装困难区域，通过跟业主协调，拆除原养殖场部分位置，采用小型机械进入养殖场内进行吊装，吊装完成后恢复养殖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屋面梁总体随钢柱的安装顺序进行，相邻钢柱安装完毕后，及时连接之间的屋面梁使安装的构件及时形成稳定的框架，并且每天安装完的钢柱必须与钢梁连接起来，不能及时连接的应拉设缆风绳进行临时稳固。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8、高强度螺栓连接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高强度螺栓连接副必须由一个制造厂配套供货，出厂时必须提供质量证明文件，文件至少包括：出厂合格证、热处理检验报告和扭矩系数试验报告。安装使用前必须按供应批进行扭矩系数的复验，抗滑系数试验由具有资质的试验单位进行。</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进行高强度螺栓连接施工前，要对连接副结构进行全面检查，特别是对摩擦面处理质量进行逐一检查，不符合要求的禁止使用。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16"/>
          <w:cols w:num="1" w:space="720"/>
          <w:titlePg w:val="0"/>
        </w:sectPr>
      </w:pPr>
      <w:r>
        <w:rPr>
          <w:rFonts w:asciiTheme="minorEastAsia" w:eastAsiaTheme="minorEastAsia" w:hAnsiTheme="minorEastAsia" w:cstheme="minorEastAsia" w:hint="eastAsia"/>
          <w:sz w:val="28"/>
          <w:szCs w:val="28"/>
        </w:rPr>
        <w:t>高强度螺栓孔必须用钻孔的方法加工，钻孔后钢板表面应平整，孔边的飞边和毛刺等必须去除。</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对每一个连接接头，首先使用临时螺栓进行坚固定位，然后按安装顺序逐个用高强度螺栓替换临时螺栓。</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高强度螺栓应能自由穿入，严禁强行打入。如不能自由穿入，可以用铰刀修孔。</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采用扭矩法，首先进行初拧，初拧力矩取终拧力矩的40-60%,目的是使连接接触面贴紧。初拧后是复拧、终拧。初拧、复拧和终拧的次序，一般应由中心向两边或四周对称进行，每一阶段都要在螺栓头做明显的标记，避免产生漏拧、超拧等隐患。</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9、檩条安装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工程中每个组串单元由32块单晶硅电池组件组成电池板纵向布置，一个结构单元的长约15m。电池组件固定支架结合电池组件排列方式布置，采用横向檩条布置方案，单晶硅组件支架沿单元长度方向上每1m设置一道横向檩条，檩条用于直接承受电池组件的重量。檩条固定于夹具上，组件每条长边上有两个点与檩条连接，一块电池组件共有四个点与檩条固定。电池组件与檩条的连接采用螺栓连接，配加双面垫圈及弹簧垫。</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①整平。安装前对檩条支承进行检测和整平，对檩条逐根复查其平整度，安装的檩条间高差控制在设计要求范围内。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②弹线。檩条支承点应按设计要求的支承点位置固定，为此支承点应用线划出</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③固定。按设计要求进行焊接或螺栓固定，固定前再次调整位置，偏差应满足设计要求。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10、检修通道</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17"/>
          <w:cols w:num="1" w:space="720"/>
          <w:titlePg w:val="0"/>
        </w:sectPr>
      </w:pPr>
      <w:r>
        <w:rPr>
          <w:rFonts w:asciiTheme="minorEastAsia" w:eastAsiaTheme="minorEastAsia" w:hAnsiTheme="minorEastAsia" w:cstheme="minorEastAsia" w:hint="eastAsia"/>
          <w:sz w:val="28"/>
          <w:szCs w:val="28"/>
        </w:rPr>
        <w:t>本项目组件支架檐口处、山墙处及组件之间设置组件检修通道，通道利用轻钢薄壁檩条作为支撑，通道顶部设置镂空走道板，检修通道宽度约为0.5m,检修通道在檐口、山墙等临空处设置1.2m高护栏，同时养殖场墙面上设置上屋面竖向检修钢爬梯。</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drawing>
          <wp:inline distT="0" distB="0" distL="0" distR="0">
            <wp:extent cx="3149600" cy="303530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6"/>
                    <a:stretch>
                      <a:fillRect/>
                    </a:stretch>
                  </pic:blipFill>
                  <pic:spPr>
                    <a:xfrm>
                      <a:off x="0" y="0"/>
                      <a:ext cx="3149624" cy="3035321"/>
                    </a:xfrm>
                    <a:prstGeom prst="rect">
                      <a:avLst/>
                    </a:prstGeom>
                  </pic:spPr>
                </pic:pic>
              </a:graphicData>
            </a:graphic>
          </wp:inline>
        </w:drawing>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检修通道示意图</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3.2.4电池组件的安装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项目包含10座养殖场，每座养殖场布置为1个发电单元，总计10个发电单元。根据光伏布置情况，包含1个4.5MW发电单元；2个3.5MW发电单元，2个1.49MW发电单元，1个8.2MW发电单元，1个10.5MW发电单元，2个5.12MW发电单元，1个6.58MW发电单元，共计50MWp。光伏组件铺设于新建门式刚架上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每3 0块光伏组件组成1个组串，每24、25或2 6串接入1台2 2 5kW组串式逆变器，每13、14、15或17台组串式逆变器接1台箱变。</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18"/>
          <w:cols w:num="1" w:space="720"/>
          <w:titlePg w:val="0"/>
        </w:sectPr>
      </w:pPr>
      <w:r>
        <w:rPr>
          <w:rFonts w:asciiTheme="minorEastAsia" w:eastAsiaTheme="minorEastAsia" w:hAnsiTheme="minorEastAsia" w:cstheme="minorEastAsia" w:hint="eastAsia"/>
          <w:sz w:val="28"/>
          <w:szCs w:val="28"/>
        </w:rPr>
        <w:t>本工程中每个组串单元由30块单晶硅电池组件组成电池板纵向布置，一个结构单元的长约15m。电池组件固定支架结合电池组件排列方式布置，采用横向檩条布置方案，单晶硅组件支架沿单元长度方向上每1m设置一道横向檩条，檩条用于直接承受电池组件的重量。檩条固定于夹具上，组件每条长边上有两个点与檩条连接，一块电池组件共有四个点与檩条固定。电池组件与檩条的连接采用螺栓连接，配加双面垫圈及弹簧垫。</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光伏阵列采用人字形布置，不存在阵列间遮挡，在光伏阵列前后以及单元垂直方向上适当预留若干个0.5m以上空间，作为设备安装及电缆接线空间，同时在后期可作为检修通道。</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(1)电池板的安装及领取顺序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1)电池板组件安装采用中心先敷设，再逐步向四周安装的顺序。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进场的电池组件按照电流档位分类发货，分类安装，为防止出现光伏发电系统的“木桶效应”,每一组串的组件领取安装时必须领取同一分档的组件；安装組件时，组件之间黄绿接地线应与组件同步进行。</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2)电池板的进场检验</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太阳能电池板应无变形、玻璃无损坏、划伤及裂纹。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测量太阳能电池板在阳光下的开路电压，电池板输出端与标识正负应吻合。电池板正面玻璃无裂纹和损伤，背面无划伤毛刺等；安装之前在阳光下测量单块电池板的开路电压应符合要求。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3)电池板安装面的粗调</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电池板安装过程除了保证左右组件间的对齐外，还需要保证前后组件在一条直线上。初安装电池板不可将螺栓紧固，待检查完倾斜度后再整体紧固。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以放线绳为基准分别调整其余电池板固定杆，使其在一个平面内</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预紧固所有螺栓。</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4)太阳能电池板安装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19"/>
          <w:cols w:num="1" w:space="720"/>
          <w:titlePg w:val="0"/>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电池板在运输和保管过程中，应轻搬轻放，不得有强烈的冲击和振动，不得横置重压；光伏组件由地面吊至屋面时，首先地面吊装时选择布带进行单箱吊装；其次在屋面上选取承裁力最大的钢梁，或利用检修通道作为起吊至屋顶材料的堆放点，承载力必须进行验算满足要求，吊到堆放点后，立即将组件散开；搬必须两人抬运，必须两人抬着组件，严禁单人搬运组件；电池板的安装应自下而上逐块安装，螺杆的安装方向为自内向外，并紧固电池板螺栓。安装过程中必须轻拿轻放，以免破坏表面的保护玻璃及导致组件产生隐裂；电池板的联接螺栓应有弹簧垫圈和双面垫圈。并且在各项安装结束后进行补漆；电池板安装必须作到横平竖直，同方阵内的电池板间距必须按图纸要求进行施工；注意电池板的接线盒的方向符合设计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安装组件时，手戴上手套；需要按着组件时必须按在铝合金边框进行操作。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5)电池板调平</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将两根放线绳分别系于电池板方阵的上下两端，并将其绷紧。以放线绳为基准分别调整其余电池板，使其在一个平面内，紧固所有螺栓。</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组件的安装应符合下列规定：光伏组件安装应按照设计图纸进行</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組件固定螺栓的力矩值应符合制造厂或设计文件的规定。组件安装允许偏差应符合规定：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组件安装标准及检验方法。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6)隐裂检测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通过抽检对到货组件是否存在线性隐裂、十字隐裂、缺角、碎片</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电池混档、电池短路、隐黑线、黑芯片、工艺污染、虚焊等隐裂质量问题。如检测出上述问题的光伏板不得使用。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7)电池板接线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a.根据电站设计图纸确定电池板的接线方式。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b.电池板连线均应符合设计图纸的要求。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20"/>
          <w:cols w:num="1" w:space="720"/>
          <w:titlePg w:val="0"/>
        </w:sectPr>
      </w:pPr>
      <w:r>
        <w:rPr>
          <w:rFonts w:asciiTheme="minorEastAsia" w:eastAsiaTheme="minorEastAsia" w:hAnsiTheme="minorEastAsia" w:cstheme="minorEastAsia" w:hint="eastAsia"/>
          <w:sz w:val="28"/>
          <w:szCs w:val="28"/>
        </w:rPr>
        <w:t>c.接线采用多股铜芯线，接线前应先将线头搪锡处理。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d.接线时应注意勿将正负极接反，保证接线正确。每串电池板连接完毕后，应检查电池板串开路电压是否正确，连接无误后断开一块电池板的接线，保证后续工序的安全操作。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e.将电池板串与控制器的连接电缆连接，电缆的金属铠装应接地处理。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8)光伏系统安装质量要求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光伏阵列支架表面应平整，固定太阳能板的支架面必须调整在同一平面；各组件应对整齐并成一直线；倾角必须符合设计要求；构件连接螺栓必须加防松垫片并拧紧。</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光伏组件施工方案和质量要求：</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安装光伏组件前，应根据组件参数对每个光伏组件进行检查测试，其参数值应符合产品出厂指标。一般测试项目有：开路电压、短路电流。应挑选工作参数接近的组件在同一子方阵内。应挑选额定工作电流相等或相接近的组件进行串连。</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安装太阳光伏组件时，应轻拿轻放，防止硬物刮伤和撞击表面玻璃。组件在基架上的安装位置及接线盒排列方式应符合施工设计规定</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组件固定面与基架表面不吻合时，应用铁垫片垫平后方可紧固连接螺丝，严禁用紧拧连接螺丝的方法使其吻合，固定螺栓应加防松垫片并拧紧。方阵支架质量要求太阳光伏组件在基架上的安装应平整、直线</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组件与机架的连接螺丝应全部拧紧，按设计要求做好防松措施螺栓必须拧紧。</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3.2.5逆变器的安装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21"/>
          <w:cols w:num="1" w:space="720"/>
          <w:titlePg w:val="0"/>
        </w:sectPr>
      </w:pPr>
      <w:r>
        <w:rPr>
          <w:rFonts w:asciiTheme="minorEastAsia" w:eastAsiaTheme="minorEastAsia" w:hAnsiTheme="minorEastAsia" w:cstheme="minorEastAsia" w:hint="eastAsia"/>
          <w:sz w:val="28"/>
          <w:szCs w:val="28"/>
        </w:rPr>
        <w:t>本项目选用组串式逆变器，逆变器内不设隔离变压器。逆变器输出纯正弦波电流，具有“反孤岛”运行功能和无功补偿功能，具有完善的保护和自动同期功能。每台逆变器具有良好的人机界面和监控通讯功能，以便和监控中心组成网络，实现远端监控。</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逆变器就近采用支架布置于养殖场下方地面或门式刚架上方。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(1)逆变器进场检查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检查是否有运输损坏，若有损坏及时联系生产厂家，维修或更换</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(2)逆变器的安装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使用适当的工具进行安装，产品的重量参见技术数据。</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1)输入接线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逆变器的输入端位于机壳的下部，注意与光伏组件输出正极的连线输入位于底部的右侧，而与光伏组件输出负极的连线位于底部的左侧，接线时需要拧开防水端子，然后接入连线至保险丝插座，然后拧紧螺丝，固定好连线，最后拧紧外侧的防水端子。</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3)输出连线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输出包括汇流后直流正极、直流负极与地，上面备有四个端子共选择，接地线为黄绿线。接线时需要拧开防水端子，然后接入连线，然后拧紧螺丝，固定好连线，最后拧紧外侧的防水端子。</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4)输入断路器等级</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在任何电力系统中，微型断路器被用来配电和保护电子器件免受过电流的危害，如果不加保护，此过电流有可能导致电子器件失灵、过热、损坏甚至起火。如果微型断路器保护电流等级过大，无法提供保护功能，如果过小，则无法正常工作。因此在选择微型断路器时，需要根据光伏组件的额定等级以及相关标准要求而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微型断路器的最小等级可由光伏组件的短路电流计算而得。</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(3)逆变器注意事项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1)所有的操作和接线请专业电气或机械工程师操作。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2)安装时，除了接线端子外，请不要动机箱内部的其它部分。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22"/>
          <w:cols w:num="1" w:space="720"/>
          <w:titlePg w:val="0"/>
        </w:sectPr>
      </w:pPr>
      <w:r>
        <w:rPr>
          <w:rFonts w:asciiTheme="minorEastAsia" w:eastAsiaTheme="minorEastAsia" w:hAnsiTheme="minorEastAsia" w:cstheme="minorEastAsia" w:hint="eastAsia"/>
          <w:sz w:val="28"/>
          <w:szCs w:val="28"/>
        </w:rPr>
        <w:t>3)所有的操作和接线必须符合国家和当地的相关标准要求。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4)白天安装光伏组件时，应用不透光的材料遮住光伏组件，否则在太阳光下，光伏组件会产生很高的电压，可能导致电击危险。</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5)微型断路器承受来自逆变器和光伏阵列的高压。严禁在工作时拆装微型断路器。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3.2.6预制舱施工方案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本项目每个养殖场内新增预制舱一座、箱式变压器一台，根据设备求设置钢筋混凝土基础，基础型式为筏板基础。</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1、预制舱吊装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需采用吊装的方式运输、安装预制舱，预制舱底部设置吊件，作为起吊点。运输和安装过程中尤其应注意箱体的平衡。卸装过程，舱体落地位置准确，无明显错位。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根据舱体重量合理选择吊机规格，吊装前需对场地进行清场处理</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吊装实施的空间需求，应仔细检查吊装设备(钢丝绳、揽风绳、链条、吊钩),在起重作业范围内除信号员外其他人不得进入。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起吊应采用起吊梁，顶部采用2根支撑杆，根据舱体类型选择底部4、8点式吊装方式。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2、预制舱运输</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预制舱的运输平稳，固定方式要牢固，拆卸方式应简单，装卸均应。预制舱严禁倒置、侧放，直立。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运输采用3米宽标准平板车，车板高度1.2米，总体运输高度宜控制在4.4米以内。</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将预制舱放置在车上后，对舱体进行固定和包装防护，防止途中因雨水天气，对舱内设备，墙体材料，保温材料有任何损害。</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3、现场安装注意事项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23"/>
          <w:cols w:num="1" w:space="720"/>
          <w:titlePg w:val="0"/>
        </w:sectPr>
      </w:pPr>
      <w:r>
        <w:rPr>
          <w:rFonts w:asciiTheme="minorEastAsia" w:eastAsiaTheme="minorEastAsia" w:hAnsiTheme="minorEastAsia" w:cstheme="minorEastAsia" w:hint="eastAsia"/>
          <w:sz w:val="28"/>
          <w:szCs w:val="28"/>
        </w:rPr>
        <w:t>1)预制舱到达安装现场时，理应先有厂家工作人员进行现场检查</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以避免舱体在运输过程中发生形变，重点检查舱体门开关是否顺当，将外门打开进行开门操作若发现门缝错位、开闭卡涩，可将事先应急处理所提供的垫片对预制舱进行调整，直至预制舱外门开关顺畅、门缝密封防撞条紧密结合为止。</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相关厂家人员进入箱体内检查所有零部件及其连接处螺丝是否拧紧，避免在安装过程中会出现松动；在安装过程时注意在箱体外部添加一层防尘的覆薄膜，以防止大颗粒尘土及异物进入箱体内影响中控设备的运行；安装过程中应对照图纸检查是否相应的零件准备齐全</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若发现缺失立即联系厂家补发。</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3)设备就位后，要采取保护措施，防止杂物掉入设备内。在设备上方作业时，操作人员不得蹬踩设备，须带工具袋作业，防止工具、材料掉下砸伤设备。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4)在箱体安装就位后，要重点检查舱体是否预留出接地装置及接地导线，预制舱舱体外壳的接地线，应采用不小于40×4mm的镀锌扁钢。</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在舱体完成之后要注意要对舱体所有拐角拼接处进行清洁和防雨处理，可以使用耐候胶对接缝进行封堵。假如缝隙达到变形不易调整时，可使用发泡剂对缝隙填堵，等完全成功后再封上一层耐候胶，等整体干透后再附上装饰条，最后用螺栓固定牢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6)未安装好的电气管线及其支架，应注意保护，不得碰撞损伤。未安装的母线槽及附件，应妥善保管，不得乱堆乱放；安装好的母线应注意保护，不得碰撞损伤，不得在母线上放置重物。</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7)工作现场应设置各种安全设施、警戒线、宣传牌、警告牌等。做好试验、检测设备和工器具的调试、检查工作。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3.2.7箱变及配套电气设备安装方案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24"/>
          <w:cols w:num="1" w:space="720"/>
          <w:titlePg w:val="0"/>
        </w:sectPr>
      </w:pPr>
      <w:r>
        <w:rPr>
          <w:rFonts w:asciiTheme="minorEastAsia" w:eastAsiaTheme="minorEastAsia" w:hAnsiTheme="minorEastAsia" w:cstheme="minorEastAsia" w:hint="eastAsia"/>
          <w:sz w:val="28"/>
          <w:szCs w:val="28"/>
        </w:rPr>
        <w:t>箱变和配套电气设备通过汽车运抵施工场内，采用50t汽车吊将其吊到基础安装位置进行就位。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基础槽钢直接预埋在箱变内。箱变采用螺栓固定在槽钢上，并按箱变安装说明施工，安装接线须确保直流和交流导线分开。由于箱变内置有高敏感性电气设备，搬运时应非常小心。</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箱变安装在同一基础槽钢上，开箱检查后，用吊车吊到基础上，然后用人工将其移动到安装的基础槽钢上摆放好，等所有的盘柜就位摆放好后就进行找正，配电柜与基础槽钢采用螺栓固定方式，接地方式采用镀锌扁钢与室内接地母线连接。配电柜安装好后，再装配母线</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母线螺栓紧固扭矩符合相关标准规范要求，出入线做好防水措施。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3.2.8电缆施工方案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本项目含养殖场10座，养殖场皆为规模化建设，本分布式光伏发电项目并网方式为“自发自用，余电上网”。</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目前养殖场用电从10kV线路取电，经10kV杆上变压器降压至400V后通过400V架空线分配至各养殖场配电间。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本项目以10kV电压等级接入电网——每座养殖场光伏场区经逆变器逆变为800V交流电，通过ZC-YJHLV22-1.8/3kV-3x120电力电缆接入新建10kV箱式变电站(预制舱式)低压侧，经箱变升压至10kV后接入1 0kV架空线，原有1 0kV杆上变压器改接至10kV箱式变电站(预制舱式)内10kV母线上，总计1 0个并网点。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考虑节约占地原则，10kV预制仓至公网10kV架空线段拟采用利用原有水泥杆位置的方案。因无原有架空线相关设计参数，本工程考虑新建10回起自10kV预制舱始，终至10kV公网“T”接点止的10kV架空线路。因现阶段暂无T接点及1 0kV预制仓准确位置，根据T接点及10kV预制仓预计位置及现场实际情况，每回新建架空线长度约为950m-1550m,输送容量为3.2MW-4MW。杆塔采用钢筋混凝土电杆，导线选用JKLGYJ-95/15型架空绝缘导线。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25"/>
          <w:cols w:num="1" w:space="720"/>
          <w:titlePg w:val="0"/>
        </w:sectPr>
      </w:pPr>
      <w:r>
        <w:rPr>
          <w:rFonts w:asciiTheme="minorEastAsia" w:eastAsiaTheme="minorEastAsia" w:hAnsiTheme="minorEastAsia" w:cstheme="minorEastAsia" w:hint="eastAsia"/>
          <w:sz w:val="28"/>
          <w:szCs w:val="28"/>
        </w:rPr>
        <w:t>本项目最终的接入方式以电网公司的接入系统批复为准。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扩建后接线情况</w:t>
      </w:r>
    </w:p>
    <w:tbl>
      <w:tblPr>
        <w:tblStyle w:val="TableNormal02"/>
        <w:tblW w:w="5949" w:type="dxa"/>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021"/>
        <w:gridCol w:w="1467"/>
        <w:gridCol w:w="2461"/>
      </w:tblGrid>
      <w:tr>
        <w:tblPrEx>
          <w:tblW w:w="5949" w:type="dxa"/>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83"/>
        </w:trPr>
        <w:tc>
          <w:tcPr>
            <w:tcW w:w="202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安装容量(MWp)</w:t>
            </w:r>
          </w:p>
        </w:tc>
        <w:tc>
          <w:tcPr>
            <w:tcW w:w="1467"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回路数</w:t>
            </w:r>
          </w:p>
        </w:tc>
        <w:tc>
          <w:tcPr>
            <w:tcW w:w="246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箱变容量(KVA)</w:t>
            </w:r>
          </w:p>
        </w:tc>
      </w:tr>
      <w:tr>
        <w:tblPrEx>
          <w:tblW w:w="5949" w:type="dxa"/>
          <w:tblInd w:w="1210" w:type="dxa"/>
          <w:tblLayout w:type="fixed"/>
          <w:tblCellMar>
            <w:top w:w="0" w:type="dxa"/>
            <w:left w:w="0" w:type="dxa"/>
            <w:bottom w:w="0" w:type="dxa"/>
            <w:right w:w="0" w:type="dxa"/>
          </w:tblCellMar>
        </w:tblPrEx>
        <w:trPr>
          <w:trHeight w:val="459"/>
        </w:trPr>
        <w:tc>
          <w:tcPr>
            <w:tcW w:w="202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3.6036</w:t>
            </w:r>
          </w:p>
        </w:tc>
        <w:tc>
          <w:tcPr>
            <w:tcW w:w="1467"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11</w:t>
            </w:r>
          </w:p>
        </w:tc>
        <w:tc>
          <w:tcPr>
            <w:tcW w:w="246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2500</w:t>
            </w:r>
          </w:p>
        </w:tc>
      </w:tr>
      <w:tr>
        <w:tblPrEx>
          <w:tblW w:w="5949" w:type="dxa"/>
          <w:tblInd w:w="1210" w:type="dxa"/>
          <w:tblLayout w:type="fixed"/>
          <w:tblCellMar>
            <w:top w:w="0" w:type="dxa"/>
            <w:left w:w="0" w:type="dxa"/>
            <w:bottom w:w="0" w:type="dxa"/>
            <w:right w:w="0" w:type="dxa"/>
          </w:tblCellMar>
        </w:tblPrEx>
        <w:trPr>
          <w:trHeight w:val="468"/>
        </w:trPr>
        <w:tc>
          <w:tcPr>
            <w:tcW w:w="202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3.7752</w:t>
            </w:r>
          </w:p>
        </w:tc>
        <w:tc>
          <w:tcPr>
            <w:tcW w:w="1467"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11</w:t>
            </w:r>
          </w:p>
        </w:tc>
        <w:tc>
          <w:tcPr>
            <w:tcW w:w="246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2500</w:t>
            </w:r>
          </w:p>
        </w:tc>
      </w:tr>
      <w:tr>
        <w:tblPrEx>
          <w:tblW w:w="5949" w:type="dxa"/>
          <w:tblInd w:w="1210" w:type="dxa"/>
          <w:tblLayout w:type="fixed"/>
          <w:tblCellMar>
            <w:top w:w="0" w:type="dxa"/>
            <w:left w:w="0" w:type="dxa"/>
            <w:bottom w:w="0" w:type="dxa"/>
            <w:right w:w="0" w:type="dxa"/>
          </w:tblCellMar>
        </w:tblPrEx>
        <w:trPr>
          <w:trHeight w:val="459"/>
        </w:trPr>
        <w:tc>
          <w:tcPr>
            <w:tcW w:w="202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4.004</w:t>
            </w:r>
          </w:p>
        </w:tc>
        <w:tc>
          <w:tcPr>
            <w:tcW w:w="1467"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12</w:t>
            </w:r>
          </w:p>
        </w:tc>
        <w:tc>
          <w:tcPr>
            <w:tcW w:w="246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2800</w:t>
            </w:r>
          </w:p>
        </w:tc>
      </w:tr>
      <w:tr>
        <w:tblPrEx>
          <w:tblW w:w="5949" w:type="dxa"/>
          <w:tblInd w:w="1210" w:type="dxa"/>
          <w:tblLayout w:type="fixed"/>
          <w:tblCellMar>
            <w:top w:w="0" w:type="dxa"/>
            <w:left w:w="0" w:type="dxa"/>
            <w:bottom w:w="0" w:type="dxa"/>
            <w:right w:w="0" w:type="dxa"/>
          </w:tblCellMar>
        </w:tblPrEx>
        <w:trPr>
          <w:trHeight w:val="478"/>
        </w:trPr>
        <w:tc>
          <w:tcPr>
            <w:tcW w:w="202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4.4044</w:t>
            </w:r>
          </w:p>
        </w:tc>
        <w:tc>
          <w:tcPr>
            <w:tcW w:w="1467"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13</w:t>
            </w:r>
          </w:p>
        </w:tc>
        <w:tc>
          <w:tcPr>
            <w:tcW w:w="246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3000</w:t>
            </w:r>
          </w:p>
        </w:tc>
      </w:tr>
      <w:tr>
        <w:tblPrEx>
          <w:tblW w:w="5949" w:type="dxa"/>
          <w:tblInd w:w="1210" w:type="dxa"/>
          <w:tblLayout w:type="fixed"/>
          <w:tblCellMar>
            <w:top w:w="0" w:type="dxa"/>
            <w:left w:w="0" w:type="dxa"/>
            <w:bottom w:w="0" w:type="dxa"/>
            <w:right w:w="0" w:type="dxa"/>
          </w:tblCellMar>
        </w:tblPrEx>
        <w:trPr>
          <w:trHeight w:val="463"/>
        </w:trPr>
        <w:tc>
          <w:tcPr>
            <w:tcW w:w="202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5.4912</w:t>
            </w:r>
          </w:p>
        </w:tc>
        <w:tc>
          <w:tcPr>
            <w:tcW w:w="1467"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16</w:t>
            </w:r>
          </w:p>
        </w:tc>
        <w:tc>
          <w:tcPr>
            <w:tcW w:w="2461" w:type="dxa"/>
            <w:vAlign w:val="top"/>
          </w:tcPr>
          <w:p>
            <w:pPr>
              <w:keepNext w:val="0"/>
              <w:keepLines w:val="0"/>
              <w:pageBreakBefore w:val="0"/>
              <w:widowControl/>
              <w:kinsoku w:val="0"/>
              <w:wordWrap/>
              <w:overflowPunct/>
              <w:topLinePunct w:val="0"/>
              <w:autoSpaceDE w:val="0"/>
              <w:autoSpaceDN w:val="0"/>
              <w:bidi w:val="0"/>
              <w:adjustRightInd w:val="0"/>
              <w:snapToGrid w:val="0"/>
              <w:spacing w:line="360" w:lineRule="auto"/>
              <w:ind w:firstLineChars="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3700</w:t>
            </w:r>
          </w:p>
        </w:tc>
      </w:tr>
    </w:tbl>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本项目高压电力电缆采用穿管、直埋敷设。低压电力电缆及控制电缆在门式刚架上采用槽盒敷设，并通过槽盒敷设至地面，再通过直埋，过道路穿管的方式至箱变。</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电力电缆、控制电缆在槽盒中敷设时采用隔板隔离，电力电缆、控制电缆交叉时用防火隔板隔离。</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电缆防火延燃措施按国标GB 50217-2018《电力工程电缆设计标准》中电缆防火和阻止延燃措施设计。</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电缆采用阻燃电缆作为防火的主要措施。对电缆沟进各建筑物的入口及各开关柜，保护屏等底部的留孔，进行防火封堵，并在封堵处两侧各1米范围内的电缆外皮涂防火涂料，在电缆沟的分支处设置适当的阻火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电缆敷设时对电缆容易受损伤的地方，应采取保护措施，对于直埋电缆应每隔一定距离做好标识。电缆敷设完毕后，应保证整齐美观</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进入盘内的电缆其弯曲弧度应一致，对进入盘内的电缆及其它必须封堵的地方应进行封堵，在电缆集中区设有防鼠杀虫剂及灭火设施。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(一)整体汇线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①整体汇线前事先考虑好走线方向，线管要做到横平竖直。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sectPr>
          <w:type w:val="nextPage"/>
          <w:pgSz w:w="11910" w:h="16840"/>
          <w:pgMar w:top="1431" w:right="1701" w:bottom="1417" w:left="1750" w:header="0" w:footer="0" w:gutter="0"/>
          <w:pgNumType w:start="26"/>
          <w:cols w:num="1" w:space="720"/>
          <w:titlePg w:val="0"/>
        </w:sectPr>
      </w:pPr>
      <w:r>
        <w:rPr>
          <w:rFonts w:asciiTheme="minorEastAsia" w:eastAsiaTheme="minorEastAsia" w:hAnsiTheme="minorEastAsia" w:cstheme="minorEastAsia" w:hint="eastAsia"/>
          <w:sz w:val="28"/>
          <w:szCs w:val="28"/>
        </w:rPr>
        <w:t>②关掉电池的空气开关，线的颜色要分开，红色为正，黑色为负</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③连接太阳能电池板连线，同样要先断开开关。</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(二)电缆施工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(1)施工前的准备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1)交接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·安装交接：安装完成后与电气安装办理交接手续。</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·设备的交接：检查电缆型号、规格、长度应符合订货要求，附件应齐全，电缆外观不应受损，电缆封端应严密。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2)技术准备：</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·针对本工程特点编审详细的电缆施工作业指导书。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·及时组织人员实施图纸会审，执行会审程序。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·根据公司有关电缆施工工艺标准，结合本工程实际，编写电缆施工工艺卡，下发至施工人员并及时组织学习。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为确保接线美观、正确，接线人员在正式接线前一个月，进行实际操作培训，根据培训考核接线的质量(美观、正确的程度),选择正式接线人员。每块盘的接线定人定岗，挂牌作业。接线完毕后，除正常质检外，还要组织评比。</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(2)电缆敷设的条件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1)电缆敷设清册必须是最新版的。</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2)电缆敷设中所需要的设备、材料及有关附件准备齐全。</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3)敷设路径畅通。</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4)电缆敷设前已完成有关技术交底工作及人员分工安排。</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5)敷设路径中有可能损坏电缆的锐角，切割边缘，螺栓等用软布包好。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27"/>
          <w:cols w:num="1" w:space="720"/>
          <w:titlePg w:val="0"/>
        </w:sectPr>
      </w:pPr>
      <w:r>
        <w:rPr>
          <w:rFonts w:asciiTheme="minorEastAsia" w:eastAsiaTheme="minorEastAsia" w:hAnsiTheme="minorEastAsia" w:cstheme="minorEastAsia" w:hint="eastAsia"/>
          <w:sz w:val="28"/>
          <w:szCs w:val="28"/>
        </w:rPr>
        <w:t>6)电缆敷设前须对所用电缆进行绝缘检查，确保所用电缆绝缘良好。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7)对所要放的电缆长度可以先行现场实际丈量，以便合理选择电缆盘，防止浪费。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(3)电缆敷设</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1)为了确保敷设后的电缆整齐美观，应逐根敷设，在敷设时同层同方向电缆应尽可能一次敷设完毕，并遵循先长电缆后短电缆、先大截面后小截面电缆的敷设原则。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2)敷设过程中及时做好电缆敷设记录，主要是电缆的实际敷设长度、时间、电缆编号(电缆的起终点规格路径在电缆清册中已经开列),在剩余电缆盘中应标出剩余电缆数量，便于下次电缆敷设时合理选用</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电缆终端应有防潮密封措施。</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3)按照电缆的弯曲半径，整理排列好电缆，凡在转弯处，竖井处一般按间隔1.2m固定电缆，敷设过程中用临时绑带，严禁用铁丝固定电缆。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4)敷设中，任何情况下都不允许直接在地上拖电缆，防止电缆损坏。</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5)敷设电缆穿保护管时，在管口应加橡皮进行保护。</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6)要在每放完、整理好一根电缆后要进行全程检查，确保正确无损并挂好电缆临时号牌(在转弯处、电缆竖井处挂上正式号脾),待接线时一并换成正式号牌。</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7)每敷设完一批电缆，应及时对本批电缆进行100%的检查，如检查出问题，应及时处理或按我公司《不合格品检测程序》进行。</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(4)电力电缆头的制作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28"/>
          <w:cols w:num="1" w:space="720"/>
          <w:titlePg w:val="0"/>
        </w:sectPr>
      </w:pPr>
      <w:r>
        <w:rPr>
          <w:rFonts w:asciiTheme="minorEastAsia" w:eastAsiaTheme="minorEastAsia" w:hAnsiTheme="minorEastAsia" w:cstheme="minorEastAsia" w:hint="eastAsia"/>
          <w:sz w:val="28"/>
          <w:szCs w:val="28"/>
        </w:rPr>
        <w:t>1)制作电缆头之前，一定要把距接线箱5m内的电缆整理、排列好</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并用电缆绑带，按间距为800mm加以固定，转弯处以500mm间距加以固定，绑扎带在支架上要求成一条线，间距相等。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电缆在盘柜内的芯线一定要排列整齐，剥线芯绝缘时不能伤及导体，只能切割至2/3深度的绝缘层，然后用钳子撕掉，接线端子与电缆芯线接触长度不能太短或太长，要符合规定的要求，电缆芯线剥去绝缘层后的裸露导体长度应吻合线鼻子的深度，当鼻子压接好之后</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线鼻子与电缆芯线的护层之间的导体不能裸露。</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3)电缆头制作结束后，每根电缆要挂正式电缆号牌，所有号牌应统一标准。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(5)控制电缆二次接线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1)控制电缆整理盘内电缆整理，电缆放好后，先根据二次接线图</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以及盘内端子排列情况，确定电缆走向，避免电缆在盘内交叉，影响美观。对由电缆半层向上穿入盘柜的电缆应按电缆敷设的先后顺序排列(分排、分层),从电缆架开始，逐根进行整理，呈扁平状编排(对于盘内电缆较少时呈小股束编排),平行进入盘柜内；对于经电缆保护管进入盘柜内的电缆，必须先整理好才可进入保护管，严禁绞结状进入</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2)控制电缆头制作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电缆排列整齐美观，统一采用电缆热缩套做电缆头，电缆头颜色统一，长度为5公分(剖截面向上2公分，向下3公分),其每排电缆的电缆头应做在同一水平高度，且各排电缆头间距相等，一眼看上去，电缆呈阶梯状排列，正式电缆号牌使用封塑式，且悬挂整齐。</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3)电缆线芯号牌(套管式)穿套</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为统一标准，所用号牌的长度、规格应一致，并统一用微电脑打号机打印，字体大小一致，套管式号牌正面应标明端子号、回路编号</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反面标明芯线号、电缆编号。电缆芯线两端对线正确后再套上号牌</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4)盘内电缆芯线布线</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sectPr>
          <w:type w:val="nextPage"/>
          <w:pgSz w:w="11910" w:h="16840"/>
          <w:pgMar w:top="1431" w:right="1701" w:bottom="1417" w:left="1750" w:header="0" w:footer="0" w:gutter="0"/>
          <w:pgNumType w:start="29"/>
          <w:cols w:num="1" w:space="720"/>
          <w:titlePg w:val="0"/>
        </w:sect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电缆芯线采用线束法布线，面对盘柜门看：需接至离电缆入口距离最远处端子排的电缆芯线排列在盘的最内层，需接至离电缆入口近处端子排的电缆芯线排列在外层，前者形成主线束，后者形成分支线束。芯线成束绑扎间距应相等，扎线扎紧后结头置于线束背后，同一类盘的内部电缆扎线使用同一种材料。电缆芯线的各分支线束与主线束应成直角。电缆芯线从线束引至端子排做到水平(或垂直)均匀排列</w:t>
      </w:r>
      <w:r>
        <w:rPr>
          <w:rFonts w:asciiTheme="minorEastAsia" w:eastAsiaTheme="minorEastAsia" w:hAnsiTheme="minorEastAsia" w:cstheme="minorEastAsia" w:hint="eastAsia"/>
          <w:sz w:val="28"/>
          <w:szCs w:val="28"/>
          <w:lang w:eastAsia="zh-CN"/>
        </w:rPr>
        <w:t>，</w:t>
      </w:r>
      <w:r>
        <w:rPr>
          <w:rFonts w:asciiTheme="minorEastAsia" w:eastAsiaTheme="minorEastAsia" w:hAnsiTheme="minorEastAsia" w:cstheme="minorEastAsia" w:hint="eastAsia"/>
          <w:sz w:val="28"/>
          <w:szCs w:val="28"/>
        </w:rPr>
        <w:t>并弯成一个半圆弧，半圆弧统一使用模具弯制，如端子排离线槽距离较近，可统一采用“S”形弯曲后接入端子，“S”形弯曲圆弧大小须一致。备用芯线的长度以能达到盘内最远处接线端子为准，并用扎线扎紧固定好(以每根电缆的备用芯为一组，做好标记，以便备用)</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5)芯线与端子排的连接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rPr>
        <w:t>芯线接至端子，单芯线要弯圆，圆圈大小要与螺栓配套，合适一致，弯曲方向为螺丝旋紧方向，单芯线直接接入时剥皮要适中，多股软线用线鼻子压接。芯线与端子连接时，螺栓应加垫片，务必拧紧，一个端子一般接一根芯线，特殊情况最多允许接二根线，以保证连接可靠。各芯线的套管式号牌，应排列整齐，号码一律朝外，便于查看</w:t>
      </w:r>
      <w:r>
        <w:rPr>
          <w:rFonts w:asciiTheme="minorEastAsia" w:eastAsiaTheme="minorEastAsia" w:hAnsiTheme="minorEastAsia" w:cstheme="minorEastAsia" w:hint="eastAsia"/>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(6)电缆封堵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1)电缆封堵所用材料须符合标准、满足设计要求，防火材料涂刷要按设计规定的间距进行，防火包堆砌要严密、坚固。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2)户外端子箱与电缆沟的封堵，不但要采用防火包，而且必须将保护管由电缆沟配至端子箱，箱内采用堵泥封堵。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3)盘内电缆敷设、整理、接线完毕，即需进行盘内电缆的正式封堵工作。采用堵泥进行封堵施工时，最终应用刮刀修理堵泥平面，保证平面光滑，不含手指印。</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4)为了方便盘内清灰，盘内防火封堵时，对电缆数量不多的控制盘柜建议采用白色防火瓷砖的封堵工艺。</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sectPr>
          <w:type w:val="nextPage"/>
          <w:pgSz w:w="11910" w:h="16840"/>
          <w:pgMar w:top="1431" w:right="1701" w:bottom="1417" w:left="1750" w:header="0" w:footer="0" w:gutter="0"/>
          <w:pgNumType w:start="30"/>
          <w:cols w:num="1" w:space="720"/>
          <w:titlePg w:val="0"/>
        </w:sectPr>
      </w:pPr>
      <w:r>
        <w:rPr>
          <w:rFonts w:asciiTheme="minorEastAsia" w:eastAsiaTheme="minorEastAsia" w:hAnsiTheme="minorEastAsia" w:cstheme="minorEastAsia" w:hint="eastAsia"/>
          <w:sz w:val="28"/>
          <w:szCs w:val="28"/>
        </w:rPr>
        <w:t>(7)电缆和附件的现场管理</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按材料领用发放程序进行，特别对电缆盘的领用要进行控制，领用电缆时选择合适的电缆盘，避免造成电缆的浪费，为保证电缆施工的顺利进行，电缆技术人员应定期统计库存电缆以及现场库存电缆数量，发现缺货及时报材料计划。</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(8)安全文明施工、成品保护</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1)在现场应设置报警和灭火装置。</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2)施工作业指导书中应明确季节性施工安全注意事项。</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3)电缆敷设完毕后应及时清除杂物，盖好盖板，盖板盖好后应及时封。</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(三)直埋电缆施工</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(1)施工流程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pict>
          <v:group id="_x0000_s1034" o:spid="_x0000_i1033" style="width:147pt;height:330.05pt" coordsize="2940,6600">
            <v:shape id="_x0000_s1035" o:spid="_x0000_s1034" type="#_x0000_t75" style="width:2940;height:6600;position:absolute" coordsize="21600,21600" filled="f" stroked="f">
              <v:imagedata r:id="rId7" o:title=""/>
              <o:lock v:ext="edit" aspectratio="t"/>
            </v:shape>
            <v:shape id="_x0000_s1036" o:spid="_x0000_s1035" type="#_x0000_t202" style="width:2980;height:6640;left:-20;position:absolute;top:-20" coordsize="21600,21600" filled="f" stroked="f">
              <o:lock v:ext="edit" aspectratio="f"/>
              <v:textbox inset="0,0,0,0">
                <w:txbxContent>
                  <w:p>
                    <w:pPr>
                      <w:spacing w:before="251" w:line="221" w:lineRule="auto"/>
                      <w:ind w:left="979"/>
                      <w:rPr>
                        <w:rFonts w:ascii="宋体" w:eastAsia="宋体" w:hAnsi="宋体" w:cs="宋体"/>
                        <w:sz w:val="24"/>
                        <w:szCs w:val="24"/>
                      </w:rPr>
                    </w:pPr>
                    <w:r>
                      <w:rPr>
                        <w:rFonts w:ascii="宋体" w:eastAsia="宋体" w:hAnsi="宋体" w:cs="宋体"/>
                        <w:spacing w:val="7"/>
                        <w:sz w:val="24"/>
                        <w:szCs w:val="24"/>
                      </w:rPr>
                      <w:t>施工准备</w:t>
                    </w:r>
                  </w:p>
                  <w:p>
                    <w:pPr>
                      <w:spacing w:line="255" w:lineRule="auto"/>
                    </w:pPr>
                  </w:p>
                  <w:p>
                    <w:pPr>
                      <w:spacing w:line="256" w:lineRule="auto"/>
                    </w:pPr>
                  </w:p>
                  <w:p>
                    <w:pPr>
                      <w:spacing w:before="78" w:line="221" w:lineRule="auto"/>
                      <w:ind w:left="979"/>
                      <w:rPr>
                        <w:rFonts w:ascii="宋体" w:eastAsia="宋体" w:hAnsi="宋体" w:cs="宋体"/>
                        <w:sz w:val="24"/>
                        <w:szCs w:val="24"/>
                      </w:rPr>
                    </w:pPr>
                    <w:r>
                      <w:rPr>
                        <w:rFonts w:ascii="宋体" w:eastAsia="宋体" w:hAnsi="宋体" w:cs="宋体"/>
                        <w:spacing w:val="8"/>
                        <w:sz w:val="24"/>
                        <w:szCs w:val="24"/>
                      </w:rPr>
                      <w:t>土方开挖</w:t>
                    </w:r>
                  </w:p>
                  <w:p>
                    <w:pPr>
                      <w:spacing w:line="471" w:lineRule="auto"/>
                    </w:pPr>
                  </w:p>
                  <w:p>
                    <w:pPr>
                      <w:spacing w:before="78" w:line="220" w:lineRule="auto"/>
                      <w:ind w:left="739"/>
                      <w:rPr>
                        <w:rFonts w:ascii="宋体" w:eastAsia="宋体" w:hAnsi="宋体" w:cs="宋体"/>
                        <w:sz w:val="24"/>
                        <w:szCs w:val="24"/>
                      </w:rPr>
                    </w:pPr>
                    <w:r>
                      <w:rPr>
                        <w:rFonts w:ascii="宋体" w:eastAsia="宋体" w:hAnsi="宋体" w:cs="宋体"/>
                        <w:spacing w:val="7"/>
                        <w:sz w:val="24"/>
                        <w:szCs w:val="24"/>
                      </w:rPr>
                      <w:t>人工平整沟底</w:t>
                    </w:r>
                  </w:p>
                  <w:p>
                    <w:pPr>
                      <w:spacing w:line="452" w:lineRule="auto"/>
                    </w:pPr>
                  </w:p>
                  <w:p>
                    <w:pPr>
                      <w:spacing w:before="78" w:line="219" w:lineRule="auto"/>
                      <w:ind w:left="649"/>
                      <w:rPr>
                        <w:rFonts w:ascii="宋体" w:eastAsia="宋体" w:hAnsi="宋体" w:cs="宋体"/>
                        <w:sz w:val="24"/>
                        <w:szCs w:val="24"/>
                      </w:rPr>
                    </w:pPr>
                    <w:r>
                      <w:rPr>
                        <w:rFonts w:ascii="宋体" w:eastAsia="宋体" w:hAnsi="宋体" w:cs="宋体"/>
                        <w:spacing w:val="2"/>
                        <w:sz w:val="24"/>
                        <w:szCs w:val="24"/>
                      </w:rPr>
                      <w:t>回填中粗砂垫层</w:t>
                    </w:r>
                  </w:p>
                  <w:p>
                    <w:pPr>
                      <w:spacing w:line="474" w:lineRule="auto"/>
                    </w:pPr>
                  </w:p>
                  <w:p>
                    <w:pPr>
                      <w:spacing w:before="78" w:line="219" w:lineRule="auto"/>
                      <w:ind w:left="979"/>
                      <w:rPr>
                        <w:rFonts w:ascii="宋体" w:eastAsia="宋体" w:hAnsi="宋体" w:cs="宋体"/>
                        <w:sz w:val="24"/>
                        <w:szCs w:val="24"/>
                      </w:rPr>
                    </w:pPr>
                    <w:r>
                      <w:rPr>
                        <w:rFonts w:ascii="宋体" w:eastAsia="宋体" w:hAnsi="宋体" w:cs="宋体"/>
                        <w:spacing w:val="2"/>
                        <w:sz w:val="24"/>
                        <w:szCs w:val="24"/>
                      </w:rPr>
                      <w:t>电缆敷设</w:t>
                    </w:r>
                  </w:p>
                  <w:p>
                    <w:pPr>
                      <w:spacing w:line="474" w:lineRule="auto"/>
                    </w:pPr>
                  </w:p>
                  <w:p>
                    <w:pPr>
                      <w:spacing w:before="78" w:line="219" w:lineRule="auto"/>
                      <w:ind w:left="649"/>
                      <w:rPr>
                        <w:rFonts w:ascii="宋体" w:eastAsia="宋体" w:hAnsi="宋体" w:cs="宋体"/>
                        <w:sz w:val="24"/>
                        <w:szCs w:val="24"/>
                      </w:rPr>
                    </w:pPr>
                    <w:r>
                      <w:rPr>
                        <w:rFonts w:ascii="宋体" w:eastAsia="宋体" w:hAnsi="宋体" w:cs="宋体"/>
                        <w:spacing w:val="2"/>
                        <w:sz w:val="24"/>
                        <w:szCs w:val="24"/>
                      </w:rPr>
                      <w:t>二次回填中粗砂</w:t>
                    </w:r>
                  </w:p>
                  <w:p>
                    <w:pPr>
                      <w:spacing w:line="257" w:lineRule="auto"/>
                    </w:pPr>
                  </w:p>
                  <w:p>
                    <w:pPr>
                      <w:spacing w:line="257" w:lineRule="auto"/>
                    </w:pPr>
                  </w:p>
                  <w:p>
                    <w:pPr>
                      <w:spacing w:before="79" w:line="220" w:lineRule="auto"/>
                      <w:ind w:left="409"/>
                      <w:rPr>
                        <w:rFonts w:ascii="宋体" w:eastAsia="宋体" w:hAnsi="宋体" w:cs="宋体"/>
                        <w:sz w:val="24"/>
                        <w:szCs w:val="24"/>
                      </w:rPr>
                    </w:pPr>
                    <w:r>
                      <w:rPr>
                        <w:rFonts w:ascii="宋体" w:eastAsia="宋体" w:hAnsi="宋体" w:cs="宋体"/>
                        <w:spacing w:val="2"/>
                        <w:sz w:val="24"/>
                        <w:szCs w:val="24"/>
                      </w:rPr>
                      <w:t>土方回填、恢复地面</w:t>
                    </w:r>
                  </w:p>
                  <w:p>
                    <w:pPr>
                      <w:spacing w:line="256" w:lineRule="auto"/>
                    </w:pPr>
                  </w:p>
                  <w:p>
                    <w:pPr>
                      <w:spacing w:line="256" w:lineRule="auto"/>
                    </w:pPr>
                  </w:p>
                  <w:p>
                    <w:pPr>
                      <w:spacing w:before="78" w:line="219" w:lineRule="auto"/>
                      <w:ind w:left="979"/>
                      <w:rPr>
                        <w:rFonts w:ascii="宋体" w:eastAsia="宋体" w:hAnsi="宋体" w:cs="宋体"/>
                        <w:sz w:val="24"/>
                        <w:szCs w:val="24"/>
                      </w:rPr>
                    </w:pPr>
                    <w:r>
                      <w:rPr>
                        <w:rFonts w:ascii="宋体" w:eastAsia="宋体" w:hAnsi="宋体" w:cs="宋体"/>
                        <w:spacing w:val="7"/>
                        <w:sz w:val="24"/>
                        <w:szCs w:val="24"/>
                      </w:rPr>
                      <w:t>质量检验</w:t>
                    </w:r>
                  </w:p>
                </w:txbxContent>
              </v:textbox>
            </v:shape>
            <w10:anchorlock/>
          </v:group>
        </w:pic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t>(2)土方开挖</w:t>
      </w:r>
      <w:r>
        <w:rPr>
          <w:rFonts w:asciiTheme="minorEastAsia" w:eastAsiaTheme="minorEastAsia" w:hAnsiTheme="minorEastAsia" w:cstheme="minorEastAsia" w:hint="eastAsia"/>
          <w:sz w:val="28"/>
          <w:szCs w:val="28"/>
        </w:rPr>
        <w:br/>
      </w:r>
      <w:r>
        <w:rPr>
          <w:rFonts w:asciiTheme="minorEastAsia" w:eastAsiaTheme="minorEastAsia" w:hAnsiTheme="minorEastAsia" w:cstheme="minorEastAsia" w:hint="eastAsia"/>
          <w:sz w:val="28"/>
          <w:szCs w:val="28"/>
        </w:rPr>
        <w:br/>
      </w:r>
    </w:p>
    <w:p>
      <w:pPr>
        <w:kinsoku/>
        <w:autoSpaceDE/>
        <w:autoSpaceDN/>
        <w:adjustRightInd/>
        <w:snapToGrid/>
        <w:spacing w:line="240" w:lineRule="auto"/>
        <w:jc w:val="left"/>
        <w:textAlignment w:val="auto"/>
        <w:rPr>
          <w:rFonts w:ascii="SimSun" w:eastAsia="SimSun" w:hAnsi="SimSun" w:cs="SimSun"/>
          <w:b/>
          <w:bCs/>
          <w:snapToGrid/>
          <w:kern w:val="0"/>
          <w:sz w:val="30"/>
          <w:szCs w:val="30"/>
        </w:rPr>
      </w:pPr>
      <w:r>
        <w:rPr>
          <w:rFonts w:ascii="SimSun" w:eastAsia="SimSun" w:hAnsi="SimSun" w:cs="SimSun"/>
          <w:b/>
          <w:bCs/>
          <w:snapToGrid/>
          <w:kern w:val="0"/>
          <w:sz w:val="30"/>
          <w:szCs w:val="30"/>
        </w:rPr>
        <w:t>以上内容仅为本文档的试下载部分，为可阅读页数的一半内容。如要下载或阅读全文，请访问：</w:t>
      </w:r>
      <w:hyperlink r:id="rId8" w:history="1">
        <w:r>
          <w:rPr>
            <w:rFonts w:ascii="SimSun" w:eastAsia="SimSun" w:hAnsi="SimSun" w:cs="SimSun"/>
            <w:b/>
            <w:bCs/>
            <w:snapToGrid/>
            <w:color w:val="0000EE"/>
            <w:kern w:val="0"/>
            <w:sz w:val="30"/>
            <w:szCs w:val="30"/>
            <w:u w:val="single" w:color="0000EE"/>
          </w:rPr>
          <w:t>https://d.book118.com/317140120056006032</w:t>
        </w:r>
      </w:hyperlink>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asciiTheme="minorEastAsia" w:eastAsiaTheme="minorEastAsia" w:hAnsiTheme="minorEastAsia" w:cstheme="minorEastAsia" w:hint="eastAsia"/>
          <w:sz w:val="28"/>
          <w:szCs w:val="28"/>
        </w:rPr>
      </w:pPr>
    </w:p>
    <w:sectPr>
      <w:type w:val="nextPage"/>
      <w:pgSz w:w="11910" w:h="16840"/>
      <w:pgMar w:top="1431" w:right="1701" w:bottom="1417" w:left="1750" w:header="0" w:footer="0" w:gutter="0"/>
      <w:pgNumType w:start="31"/>
      <w:cols w:num="1" w:space="72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TXinwei">
    <w:altName w:val="GENISO"/>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STXingkai">
    <w:altName w:val="GENISO"/>
    <w:panose1 w:val="00000000000000000000"/>
    <w:charset w:val="00"/>
    <w:family w:val="auto"/>
    <w:pitch w:val="default"/>
    <w:sig w:usb0="00000000" w:usb1="00000000" w:usb2="00000000" w:usb3="00000000" w:csb0="00000001" w:csb1="00000000"/>
  </w:font>
  <w:font w:name="FZYaoTi">
    <w:altName w:val="GENISO"/>
    <w:panose1 w:val="00000000000000000000"/>
    <w:charset w:val="00"/>
    <w:family w:val="auto"/>
    <w:pitch w:val="default"/>
    <w:sig w:usb0="00000000" w:usb1="00000000" w:usb2="00000000" w:usb3="00000000" w:csb0="00000001" w:csb1="00000000"/>
  </w:font>
  <w:font w:name="GENISO">
    <w:panose1 w:val="02000400000000000000"/>
    <w:charset w:val="00"/>
    <w:family w:val="auto"/>
    <w:pitch w:val="default"/>
    <w:sig w:usb0="00000003" w:usb1="00000000" w:usb2="00000040" w:usb3="00000000" w:csb0="000001FF"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E93DE04"/>
    <w:multiLevelType w:val="singleLevel"/>
    <w:tmpl w:val="9E93DE04"/>
    <w:lvl w:ilvl="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noPunctuationKerning/>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CAC17F9"/>
  </w:rsids>
  <w:docVars>
    <w:docVar w:name="commondata" w:val="eyJoZGlkIjoiMDAzNzJhYjFjNDI3NmRjYjU4NmQyMjk1N2ZjYTBlNjAifQ=="/>
  </w:docVar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kinsoku w:val="0"/>
      <w:autoSpaceDE w:val="0"/>
      <w:autoSpaceDN w:val="0"/>
      <w:adjustRightInd w:val="0"/>
      <w:snapToGrid w:val="0"/>
      <w:spacing w:line="240" w:lineRule="auto"/>
      <w:jc w:val="left"/>
      <w:textAlignment w:val="baseline"/>
    </w:pPr>
    <w:rPr>
      <w:rFonts w:ascii="Arial" w:eastAsia="Arial" w:hAnsi="Arial" w:cs="Arial"/>
      <w:snapToGrid w:val="0"/>
      <w:color w:val="000000"/>
      <w:kern w:val="0"/>
      <w:sz w:val="21"/>
      <w:szCs w:val="21"/>
      <w:lang w:val="en-US" w:eastAsia="en-US"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autoRedefine/>
    <w:semiHidden/>
    <w:qFormat/>
    <w:rPr>
      <w:rFonts w:ascii="宋体" w:eastAsia="宋体" w:hAnsi="宋体" w:cs="宋体"/>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paragraph" w:customStyle="1" w:styleId="TableText">
    <w:name w:val="Table Text"/>
    <w:basedOn w:val="Normal"/>
    <w:semiHidden/>
    <w:qFormat/>
    <w:rPr>
      <w:rFonts w:ascii="宋体" w:eastAsia="宋体" w:hAnsi="宋体" w:cs="宋体"/>
      <w:sz w:val="23"/>
      <w:szCs w:val="23"/>
      <w:lang w:val="en-US" w:eastAsia="en-US" w:bidi="ar-SA"/>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 w:type="table" w:customStyle="1" w:styleId="TableNormal02">
    <w:name w:val="Table Normal_0_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yperlink" Target="https://d.book118.com/317140120056006032" TargetMode="External" /><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26"/>
    <customShpInfo spid="_x0000_s1035"/>
    <customShpInfo spid="_x0000_s1036"/>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40</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WPS_366424588</cp:lastModifiedBy>
  <cp:revision>0</cp:revision>
  <dcterms:created xsi:type="dcterms:W3CDTF">2024-01-09T16:39:00Z</dcterms:created>
  <dcterms:modified xsi:type="dcterms:W3CDTF">2024-01-09T09:23:03Z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2024-01-09T16:39:43Z</vt:filetime>
  </property>
  <property fmtid="{D5CDD505-2E9C-101B-9397-08002B2CF9AE}" pid="3" name="CRO">
    <vt:lpwstr>wqlLaW5nc29mdCBQREYgdG8gV1BTIDkw</vt:lpwstr>
  </property>
  <property fmtid="{D5CDD505-2E9C-101B-9397-08002B2CF9AE}" pid="4" name="ICV">
    <vt:lpwstr>844307F46C614805AC4A9882F867CB29_13</vt:lpwstr>
  </property>
  <property fmtid="{D5CDD505-2E9C-101B-9397-08002B2CF9AE}" pid="5" name="KSOProductBuildVer">
    <vt:lpwstr>2052-12.1.0.16120</vt:lpwstr>
  </property>
  <property fmtid="{D5CDD505-2E9C-101B-9397-08002B2CF9AE}" pid="6" name="UsrData">
    <vt:lpwstr>659d0635f23622001f8b2e9dwl</vt:lpwstr>
  </property>
</Properties>
</file>