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4982209</wp:posOffset>
            </wp:positionH>
            <wp:positionV relativeFrom="page">
              <wp:posOffset>5667375</wp:posOffset>
            </wp:positionV>
            <wp:extent cx="1396365" cy="31114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311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5014594</wp:posOffset>
            </wp:positionH>
            <wp:positionV relativeFrom="page">
              <wp:posOffset>6062344</wp:posOffset>
            </wp:positionV>
            <wp:extent cx="1364615" cy="11620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4615" cy="1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212" w:line="264" w:lineRule="auto"/>
        <w:ind w:left="3925" w:right="1551" w:hanging="2337"/>
        <w:outlineLvl w:val="0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color w:val="FFFFFF"/>
          <w:sz w:val="65"/>
          <w:szCs w:val="65"/>
          <w14:textOutline w14:w="11792">
            <w14:solidFill>
              <w14:srgbClr w14:val="FFFFFF"/>
            </w14:solidFill>
            <w14:prstDash w14:val="solid"/>
            <w14:miter w14:lim="10"/>
          </w14:textOutline>
        </w:rPr>
        <w:t>建立弹性供应链的医疗保健领导</w:t>
      </w:r>
      <w:r>
        <w:rPr>
          <w:rFonts w:ascii="SimSun" w:eastAsia="SimSun" w:hAnsi="SimSun" w:cs="SimSun"/>
          <w:color w:val="FFFFFF"/>
          <w:sz w:val="65"/>
          <w:szCs w:val="65"/>
        </w:rPr>
        <w:t xml:space="preserve"> </w:t>
      </w:r>
      <w:r>
        <w:rPr>
          <w:rFonts w:ascii="SimSun" w:eastAsia="SimSun" w:hAnsi="SimSun" w:cs="SimSun"/>
          <w:color w:val="FFFFFF"/>
          <w:spacing w:val="-11"/>
          <w:sz w:val="65"/>
          <w:szCs w:val="65"/>
          <w14:textOutline w14:w="11792">
            <w14:solidFill>
              <w14:srgbClr w14:val="FFFFFF"/>
            </w14:solidFill>
            <w14:prstDash w14:val="solid"/>
            <w14:miter w14:lim="10"/>
          </w14:textOutline>
        </w:rPr>
        <w:t>者的</w:t>
      </w:r>
      <w:r>
        <w:rPr>
          <w:rFonts w:ascii="SimSun" w:eastAsia="SimSun" w:hAnsi="SimSun" w:cs="SimSun"/>
          <w:color w:val="FFFFFF"/>
          <w:spacing w:val="-68"/>
          <w:sz w:val="65"/>
          <w:szCs w:val="65"/>
        </w:rPr>
        <w:t xml:space="preserve"> </w:t>
      </w:r>
      <w:r>
        <w:rPr>
          <w:rFonts w:ascii="Tahoma" w:eastAsia="Tahoma" w:hAnsi="Tahoma" w:cs="Tahoma"/>
          <w:b/>
          <w:bCs/>
          <w:color w:val="FFFFFF"/>
          <w:spacing w:val="-11"/>
          <w:sz w:val="65"/>
          <w:szCs w:val="65"/>
        </w:rPr>
        <w:t xml:space="preserve">10 </w:t>
      </w:r>
      <w:r>
        <w:rPr>
          <w:rFonts w:ascii="SimSun" w:eastAsia="SimSun" w:hAnsi="SimSun" w:cs="SimSun"/>
          <w:color w:val="FFFFFF"/>
          <w:spacing w:val="-11"/>
          <w:sz w:val="65"/>
          <w:szCs w:val="65"/>
          <w14:textOutline w14:w="11792">
            <w14:solidFill>
              <w14:srgbClr w14:val="FFFFFF"/>
            </w14:solidFill>
            <w14:prstDash w14:val="solid"/>
            <w14:miter w14:lim="10"/>
          </w14:textOutline>
        </w:rPr>
        <w:t>个必读</w:t>
      </w: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65" w:line="220" w:lineRule="auto"/>
        <w:ind w:left="154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color w:val="FFFFFF"/>
          <w:spacing w:val="12"/>
          <w:sz w:val="20"/>
          <w:szCs w:val="20"/>
        </w:rPr>
        <w:t>贝克的</w:t>
      </w:r>
    </w:p>
    <w:p>
      <w:pPr>
        <w:spacing w:before="95" w:line="220" w:lineRule="auto"/>
        <w:ind w:left="1552"/>
        <w:rPr>
          <w:rFonts w:ascii="SimSun" w:eastAsia="SimSun" w:hAnsi="SimSun" w:cs="SimSun"/>
          <w:sz w:val="41"/>
          <w:szCs w:val="41"/>
        </w:rPr>
      </w:pPr>
      <w:r>
        <w:rPr>
          <w:rFonts w:ascii="SimSun" w:eastAsia="SimSun" w:hAnsi="SimSun" w:cs="SimSun"/>
          <w:color w:val="FFFFFF"/>
          <w:spacing w:val="-23"/>
          <w:sz w:val="41"/>
          <w:szCs w:val="41"/>
          <w14:textOutline w14:w="7438">
            <w14:solidFill>
              <w14:srgbClr w14:val="FFFFFF"/>
            </w14:solidFill>
            <w14:prstDash w14:val="solid"/>
            <w14:miter w14:lim="10"/>
          </w14:textOutline>
        </w:rPr>
        <w:t>医院审核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spacing w:line="788" w:lineRule="exact"/>
        <w:ind w:firstLine="1519"/>
      </w:pPr>
      <w:r>
        <w:rPr>
          <w:position w:val="-15"/>
        </w:rPr>
        <w:pict>
          <v:shape id="_x0000_i1025" style="width:221.75pt;height:39.4pt;mso-position-horizontal-relative:char;mso-position-vertical-relative:line" coordorigin="0,0" coordsize="4435,788" path="m1132,9l4435,9m,777l4435,777e" filled="f" strokecolor="white" strokeweight="0.97pt">
            <w10:wrap type="none"/>
          </v:shape>
        </w:pict>
      </w:r>
    </w:p>
    <w:p>
      <w:pPr>
        <w:spacing w:line="788" w:lineRule="exact"/>
        <w:sectPr>
          <w:headerReference w:type="default" r:id="rId6"/>
          <w:pgSz w:w="12240" w:h="1584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53" w:lineRule="auto"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4859654</wp:posOffset>
            </wp:positionH>
            <wp:positionV relativeFrom="page">
              <wp:posOffset>8573769</wp:posOffset>
            </wp:positionV>
            <wp:extent cx="1156969" cy="25844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56969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4886325</wp:posOffset>
            </wp:positionH>
            <wp:positionV relativeFrom="page">
              <wp:posOffset>8900794</wp:posOffset>
            </wp:positionV>
            <wp:extent cx="1130934" cy="9588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093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pStyle w:val="BodyText"/>
        <w:spacing w:line="9984" w:lineRule="exact"/>
        <w:ind w:firstLine="1263"/>
      </w:pPr>
      <w:r>
        <w:rPr>
          <w:position w:val="-19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i1026" type="#_x0000_t202" style="width:491.85pt;height:505.25pt;mso-position-horizontal-relative:char;mso-position-vertical-relative:line" filled="f" stroked="f">
            <o:lock v:ext="edit" aspectratio="f"/>
            <v:textbox inset="0,0,0,0">
              <w:txbxContent>
                <w:sdt>
                  <w:sdtPr>
                    <w:rPr>
                      <w:rFonts w:ascii="Tahoma" w:eastAsia="Tahoma" w:hAnsi="Tahoma" w:cs="Tahoma"/>
                      <w:sz w:val="53"/>
                      <w:szCs w:val="53"/>
                    </w:rPr>
                    <w:id w:val="905831927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ascii="Tahoma" w:eastAsia="Tahoma" w:hAnsi="Tahoma" w:cs="Tahoma"/>
                      <w:sz w:val="22"/>
                      <w:szCs w:val="22"/>
                    </w:rPr>
                  </w:sdtEndPr>
                  <w:sdtContent>
                    <w:p>
                      <w:pPr>
                        <w:spacing w:before="61" w:line="188" w:lineRule="auto"/>
                        <w:ind w:left="2274"/>
                        <w:rPr>
                          <w:rFonts w:ascii="Tahoma" w:eastAsia="Tahoma" w:hAnsi="Tahoma" w:cs="Tahoma"/>
                          <w:sz w:val="53"/>
                          <w:szCs w:val="53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"/>
                          <w:sz w:val="53"/>
                          <w:szCs w:val="53"/>
                        </w:rPr>
                        <w:t>TABLE OF CONTENTS</w:t>
                      </w:r>
                    </w:p>
                    <w:p>
                      <w:pPr>
                        <w:spacing w:line="339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tabs>
                          <w:tab w:val="right" w:leader="dot" w:pos="9695"/>
                        </w:tabs>
                        <w:spacing w:before="66" w:line="189" w:lineRule="auto"/>
                        <w:ind w:left="71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>2018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3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z w:val="22"/>
                          <w:szCs w:val="22"/>
                        </w:rPr>
                        <w:tab/>
                      </w:r>
                      <w:hyperlink w:anchor="bookmark1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1"/>
                            <w:sz w:val="22"/>
                            <w:szCs w:val="22"/>
                          </w:rPr>
                          <w:t>4</w:t>
                        </w:r>
                      </w:hyperlink>
                    </w:p>
                    <w:p>
                      <w:pPr>
                        <w:spacing w:line="367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19" w:lineRule="auto"/>
                        <w:ind w:left="63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供应链效率低下可节省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2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23B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美元</w:t>
                      </w:r>
                    </w:p>
                    <w:p>
                      <w:pPr>
                        <w:tabs>
                          <w:tab w:val="right" w:leader="dot" w:pos="9695"/>
                        </w:tabs>
                        <w:spacing w:before="70" w:line="220" w:lineRule="auto"/>
                        <w:ind w:left="62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在桌子上医院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8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hyperlink w:anchor="bookmark2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1"/>
                            <w:sz w:val="22"/>
                            <w:szCs w:val="22"/>
                          </w:rPr>
                          <w:t>6</w:t>
                        </w:r>
                      </w:hyperlink>
                    </w:p>
                    <w:p>
                      <w:pPr>
                        <w:spacing w:line="355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1" w:line="220" w:lineRule="auto"/>
                        <w:ind w:left="82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5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山间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5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5"/>
                          <w:sz w:val="22"/>
                          <w:szCs w:val="22"/>
                        </w:rPr>
                        <w:t>SSM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2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5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47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5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提升和三位一体健康启动</w:t>
                      </w:r>
                    </w:p>
                    <w:p>
                      <w:pPr>
                        <w:tabs>
                          <w:tab w:val="right" w:leader="dot" w:pos="9695"/>
                        </w:tabs>
                        <w:spacing w:before="70" w:line="218" w:lineRule="auto"/>
                        <w:ind w:left="65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仿制药公司打击涨价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，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2"/>
                          <w:sz w:val="22"/>
                          <w:szCs w:val="22"/>
                        </w:rPr>
                        <w:t>shorts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2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51"/>
                          <w:sz w:val="22"/>
                          <w:szCs w:val="22"/>
                        </w:rPr>
                        <w:t xml:space="preserve"> </w:t>
                      </w:r>
                      <w:hyperlink w:anchor="bookmark3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>7</w:t>
                        </w:r>
                      </w:hyperlink>
                    </w:p>
                    <w:p>
                      <w:pPr>
                        <w:spacing w:line="357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19" w:lineRule="auto"/>
                        <w:ind w:left="66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亚马逊推动成为一家主要的医院供应商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6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：</w:t>
                      </w:r>
                    </w:p>
                    <w:p>
                      <w:pPr>
                        <w:tabs>
                          <w:tab w:val="right" w:leader="dot" w:pos="9695"/>
                        </w:tabs>
                        <w:spacing w:before="70" w:line="220" w:lineRule="auto"/>
                        <w:ind w:left="68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7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件事知道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5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hyperlink w:anchor="bookmark4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1"/>
                            <w:sz w:val="22"/>
                            <w:szCs w:val="22"/>
                          </w:rPr>
                          <w:t>9</w:t>
                        </w:r>
                      </w:hyperlink>
                    </w:p>
                    <w:p>
                      <w:pPr>
                        <w:spacing w:line="356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19" w:lineRule="auto"/>
                        <w:ind w:left="66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0"/>
                          <w:sz w:val="22"/>
                          <w:szCs w:val="22"/>
                        </w:rPr>
                        <w:t xml:space="preserve">6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关于供应链管理的经验教训</w:t>
                      </w:r>
                    </w:p>
                    <w:p>
                      <w:pPr>
                        <w:tabs>
                          <w:tab w:val="right" w:leader="dot" w:pos="9835"/>
                        </w:tabs>
                        <w:spacing w:before="71" w:line="220" w:lineRule="auto"/>
                        <w:ind w:left="65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0"/>
                          <w:sz w:val="22"/>
                          <w:szCs w:val="22"/>
                        </w:rPr>
                        <w:t>Intermountain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3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的理查德海滩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5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88"/>
                          <w:sz w:val="22"/>
                          <w:szCs w:val="22"/>
                        </w:rPr>
                        <w:t xml:space="preserve"> </w:t>
                      </w:r>
                      <w:hyperlink w:anchor="bookmark5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11"/>
                            <w:sz w:val="22"/>
                            <w:szCs w:val="22"/>
                          </w:rPr>
                          <w:t>11</w:t>
                        </w:r>
                      </w:hyperlink>
                    </w:p>
                    <w:p>
                      <w:pPr>
                        <w:spacing w:line="354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3" w:line="219" w:lineRule="auto"/>
                        <w:ind w:left="64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3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供应链的一天提示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3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3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实现的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4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3"/>
                          <w:sz w:val="22"/>
                          <w:szCs w:val="22"/>
                        </w:rPr>
                        <w:t xml:space="preserve">4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3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种方法</w:t>
                      </w:r>
                    </w:p>
                    <w:p>
                      <w:pPr>
                        <w:tabs>
                          <w:tab w:val="right" w:leader="dot" w:pos="9835"/>
                        </w:tabs>
                        <w:spacing w:before="70" w:line="219" w:lineRule="auto"/>
                        <w:ind w:left="63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干净、坚固的物品主人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66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88"/>
                          <w:sz w:val="22"/>
                          <w:szCs w:val="22"/>
                        </w:rPr>
                        <w:t xml:space="preserve"> </w:t>
                      </w:r>
                      <w:hyperlink w:anchor="bookmark6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11"/>
                            <w:sz w:val="22"/>
                            <w:szCs w:val="22"/>
                          </w:rPr>
                          <w:t>13</w:t>
                        </w:r>
                      </w:hyperlink>
                    </w:p>
                    <w:p>
                      <w:pPr>
                        <w:spacing w:line="357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20" w:lineRule="auto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>“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学习永无止境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，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改变永无止境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8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>”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2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38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医疗保健高管对领导者的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42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1"/>
                          <w:sz w:val="22"/>
                          <w:szCs w:val="22"/>
                        </w:rPr>
                        <w:t xml:space="preserve">8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句名言</w:t>
                      </w:r>
                    </w:p>
                    <w:p>
                      <w:pPr>
                        <w:tabs>
                          <w:tab w:val="right" w:leader="dot" w:pos="9835"/>
                        </w:tabs>
                        <w:spacing w:before="92" w:line="220" w:lineRule="auto"/>
                        <w:ind w:left="63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在时代变更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7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88"/>
                          <w:sz w:val="22"/>
                          <w:szCs w:val="22"/>
                        </w:rPr>
                        <w:t xml:space="preserve"> </w:t>
                      </w:r>
                      <w:hyperlink w:anchor="bookmark7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14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8"/>
                            <w:sz w:val="22"/>
                            <w:szCs w:val="22"/>
                          </w:rPr>
                          <w:t>6</w:t>
                        </w:r>
                      </w:hyperlink>
                    </w:p>
                    <w:p>
                      <w:pPr>
                        <w:spacing w:line="355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tabs>
                          <w:tab w:val="right" w:leader="dot" w:pos="9835"/>
                        </w:tabs>
                        <w:spacing w:before="73" w:line="220" w:lineRule="auto"/>
                        <w:ind w:left="67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7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见解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9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88"/>
                          <w:sz w:val="22"/>
                          <w:szCs w:val="22"/>
                        </w:rPr>
                        <w:t xml:space="preserve"> </w:t>
                      </w:r>
                      <w:hyperlink w:anchor="bookmark8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11"/>
                            <w:sz w:val="22"/>
                            <w:szCs w:val="22"/>
                          </w:rPr>
                          <w:t>19</w:t>
                        </w:r>
                      </w:hyperlink>
                    </w:p>
                    <w:p>
                      <w:pPr>
                        <w:spacing w:line="350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12" w:lineRule="auto"/>
                        <w:ind w:left="56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0"/>
                          <w:sz w:val="22"/>
                          <w:szCs w:val="22"/>
                        </w:rPr>
                        <w:t>John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13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color w:val="FFFFFF"/>
                          <w:spacing w:val="-10"/>
                          <w:sz w:val="22"/>
                          <w:szCs w:val="22"/>
                        </w:rPr>
                        <w:t xml:space="preserve">Noseworthy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博士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：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4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10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非常规医疗保健</w:t>
                      </w:r>
                    </w:p>
                    <w:p>
                      <w:pPr>
                        <w:tabs>
                          <w:tab w:val="right" w:leader="dot" w:pos="9835"/>
                        </w:tabs>
                        <w:spacing w:before="78" w:line="220" w:lineRule="auto"/>
                        <w:ind w:left="65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伙伴关系将激发创新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5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92"/>
                          <w:sz w:val="22"/>
                          <w:szCs w:val="22"/>
                        </w:rPr>
                        <w:t xml:space="preserve"> </w:t>
                      </w:r>
                      <w:hyperlink w:anchor="bookmark9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9"/>
                            <w:sz w:val="22"/>
                            <w:szCs w:val="22"/>
                          </w:rPr>
                          <w:t>20</w:t>
                        </w:r>
                      </w:hyperlink>
                    </w:p>
                    <w:p>
                      <w:pPr>
                        <w:spacing w:line="355" w:lineRule="auto"/>
                        <w:rPr>
                          <w:rFonts w:ascii="Arial"/>
                          <w:sz w:val="21"/>
                        </w:rPr>
                      </w:pPr>
                    </w:p>
                    <w:p>
                      <w:pPr>
                        <w:spacing w:before="72" w:line="219" w:lineRule="auto"/>
                        <w:ind w:left="66"/>
                        <w:rPr>
                          <w:rFonts w:ascii="SimSun" w:eastAsia="SimSun" w:hAnsi="SimSun" w:cs="SimSun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1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为什么供应链专业人士仍然需要</w:t>
                      </w:r>
                    </w:p>
                    <w:p>
                      <w:pPr>
                        <w:tabs>
                          <w:tab w:val="right" w:leader="dot" w:pos="9835"/>
                        </w:tabs>
                        <w:spacing w:before="71" w:line="220" w:lineRule="auto"/>
                        <w:ind w:left="65"/>
                        <w:rPr>
                          <w:rFonts w:ascii="Tahoma" w:eastAsia="Tahoma" w:hAnsi="Tahoma" w:cs="Tahoma"/>
                          <w:sz w:val="22"/>
                          <w:szCs w:val="22"/>
                        </w:rPr>
                      </w:pPr>
                      <w:r>
                        <w:rPr>
                          <w:rFonts w:ascii="SimSun" w:eastAsia="SimSun" w:hAnsi="SimSun" w:cs="SimSun"/>
                          <w:color w:val="FFFFFF"/>
                          <w:spacing w:val="-12"/>
                          <w:sz w:val="22"/>
                          <w:szCs w:val="22"/>
                          <w14:textOutline w14:w="3991">
                            <w14:solidFill>
                              <w14:srgbClr w14:val="FFFFFF"/>
                            </w14:solidFill>
                            <w14:prstDash w14:val="solid"/>
                            <w14:miter w14:lim="10"/>
                          </w14:textOutline>
                        </w:rPr>
                        <w:t>技术中的软技能时代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55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SimSun" w:eastAsia="SimSun" w:hAnsi="SimSun" w:cs="SimSun"/>
                          <w:color w:val="FFFFFF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SimSun" w:eastAsia="SimSun" w:hAnsi="SimSun" w:cs="SimSun"/>
                          <w:color w:val="FFFFFF"/>
                          <w:spacing w:val="-92"/>
                          <w:sz w:val="22"/>
                          <w:szCs w:val="22"/>
                        </w:rPr>
                        <w:t xml:space="preserve"> </w:t>
                      </w:r>
                      <w:hyperlink w:anchor="bookmark10" w:history="1"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11"/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rFonts w:ascii="Tahoma" w:eastAsia="Tahoma" w:hAnsi="Tahoma" w:cs="Tahoma"/>
                            <w:b/>
                            <w:bCs/>
                            <w:color w:val="FFFFFF"/>
                            <w:spacing w:val="-7"/>
                            <w:sz w:val="22"/>
                            <w:szCs w:val="22"/>
                          </w:rPr>
                          <w:t>2</w:t>
                        </w:r>
                      </w:hyperlink>
                    </w:p>
                  </w:sdtContent>
                </w:sdt>
              </w:txbxContent>
            </v:textbox>
            <w10:wrap type="none"/>
          </v:shape>
        </w:pict>
      </w:r>
    </w:p>
    <w:p>
      <w:pPr>
        <w:pStyle w:val="BodyText"/>
        <w:spacing w:line="271" w:lineRule="auto"/>
      </w:pPr>
    </w:p>
    <w:p>
      <w:pPr>
        <w:spacing w:before="52" w:line="220" w:lineRule="auto"/>
        <w:ind w:left="2638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color w:val="FFFFFF"/>
          <w:spacing w:val="9"/>
          <w:sz w:val="16"/>
          <w:szCs w:val="16"/>
        </w:rPr>
        <w:t>贝克的</w:t>
      </w:r>
    </w:p>
    <w:p>
      <w:pPr>
        <w:spacing w:before="83" w:line="220" w:lineRule="auto"/>
        <w:ind w:left="2647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color w:val="FFFFFF"/>
          <w:spacing w:val="-20"/>
          <w:sz w:val="35"/>
          <w:szCs w:val="35"/>
          <w14:textOutline w14:w="6350">
            <w14:solidFill>
              <w14:srgbClr w14:val="FFFFFF"/>
            </w14:solidFill>
            <w14:prstDash w14:val="solid"/>
            <w14:miter w14:lim="10"/>
          </w14:textOutline>
        </w:rPr>
        <w:t>医院审核</w:t>
      </w: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headerReference w:type="default" r:id="rId9"/>
          <w:pgSz w:w="12240" w:h="15840"/>
          <w:pgMar w:top="400" w:right="0" w:bottom="0" w:left="0" w:header="0" w:footer="0" w:gutter="0"/>
          <w:pgNumType w:start="2"/>
          <w:cols w:space="708"/>
        </w:sectPr>
      </w:pPr>
    </w:p>
    <w:p>
      <w:pPr>
        <w:spacing w:line="668" w:lineRule="exact"/>
        <w:ind w:firstLine="2618"/>
      </w:pPr>
      <w:r>
        <w:rPr>
          <w:position w:val="-13"/>
        </w:rPr>
        <w:pict>
          <v:shape id="_x0000_i1027" style="width:188pt;height:33.4pt;mso-position-horizontal-relative:char;mso-position-vertical-relative:line" coordorigin="0,0" coordsize="3760,668" path="m958,8l3759,8m,659l3759,659e" filled="f" strokecolor="white" strokeweight="0.82pt">
            <w10:wrap type="none"/>
          </v:shape>
        </w:pict>
      </w:r>
    </w:p>
    <w:p>
      <w:pPr>
        <w:spacing w:line="668" w:lineRule="exact"/>
        <w:sectPr>
          <w:headerReference w:type="default" r:id="rId10"/>
          <w:type w:val="nextPage"/>
          <w:pgSz w:w="12240" w:h="15840"/>
          <w:pgMar w:top="400" w:right="0" w:bottom="0" w:left="0" w:header="0" w:footer="0" w:gutter="0"/>
          <w:pgNumType w:start="3"/>
          <w:cols w:space="708"/>
          <w:titlePg w:val="0"/>
        </w:sectPr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spacing w:before="156" w:line="188" w:lineRule="auto"/>
        <w:ind w:left="3799"/>
        <w:rPr>
          <w:rFonts w:ascii="Tahoma" w:eastAsia="Tahoma" w:hAnsi="Tahoma" w:cs="Tahoma"/>
          <w:sz w:val="52"/>
          <w:szCs w:val="52"/>
        </w:rPr>
      </w:pPr>
      <w:r>
        <w:rPr>
          <w:rFonts w:ascii="Tahoma" w:eastAsia="Tahoma" w:hAnsi="Tahoma" w:cs="Tahoma"/>
          <w:b/>
          <w:bCs/>
          <w:color w:val="FFFFFF"/>
          <w:spacing w:val="-2"/>
          <w:sz w:val="52"/>
          <w:szCs w:val="52"/>
        </w:rPr>
        <w:t>INTRODUCTION</w:t>
      </w:r>
    </w:p>
    <w:p>
      <w:pPr>
        <w:spacing w:line="134" w:lineRule="exact"/>
      </w:pPr>
    </w:p>
    <w:p>
      <w:pPr>
        <w:spacing w:line="134" w:lineRule="exact"/>
        <w:sectPr>
          <w:headerReference w:type="default" r:id="rId11"/>
          <w:pgSz w:w="12240" w:h="15840"/>
          <w:pgMar w:top="400" w:right="0" w:bottom="0" w:left="0" w:header="0" w:footer="0" w:gutter="0"/>
          <w:pgNumType w:start="4"/>
          <w:cols w:num="1" w:space="708" w:equalWidth="0">
            <w:col w:w="12240" w:space="0"/>
          </w:cols>
        </w:sectPr>
      </w:pPr>
    </w:p>
    <w:p>
      <w:pPr>
        <w:spacing w:before="41" w:line="219" w:lineRule="auto"/>
        <w:ind w:left="1527"/>
        <w:rPr>
          <w:rFonts w:ascii="SimSun" w:eastAsia="SimSun" w:hAnsi="SimSun" w:cs="SimSun"/>
          <w:sz w:val="21"/>
          <w:szCs w:val="21"/>
        </w:rPr>
      </w:pPr>
      <w:r>
        <w:pict>
          <v:shape id="_x0000_s1028" type="#_x0000_t202" style="width:24.5pt;height:44.2pt;margin-top:5.08pt;margin-left:47.96pt;position:absolute;z-index:251662336" filled="f" stroked="f">
            <o:lock v:ext="edit" aspectratio="f"/>
            <v:textbox inset="0,0,0,0">
              <w:txbxContent>
                <w:p>
                  <w:pPr>
                    <w:spacing w:before="18" w:line="194" w:lineRule="auto"/>
                    <w:jc w:val="right"/>
                    <w:rPr>
                      <w:rFonts w:ascii="Trebuchet MS" w:eastAsia="Trebuchet MS" w:hAnsi="Trebuchet MS" w:cs="Trebuchet MS"/>
                      <w:sz w:val="90"/>
                      <w:szCs w:val="90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FFFFFF"/>
                      <w:spacing w:val="-69"/>
                      <w:w w:val="98"/>
                      <w:sz w:val="90"/>
                      <w:szCs w:val="90"/>
                    </w:rPr>
                    <w:t>F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-1"/>
          <w:sz w:val="21"/>
          <w:szCs w:val="21"/>
        </w:rPr>
        <w:t>新的医疗保健领域正准备像供应链一样受到破坏</w:t>
      </w:r>
    </w:p>
    <w:p>
      <w:pPr>
        <w:spacing w:before="167" w:line="105" w:lineRule="exact"/>
        <w:ind w:left="154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position w:val="1"/>
          <w:sz w:val="21"/>
          <w:szCs w:val="21"/>
        </w:rPr>
        <w:t>。</w:t>
      </w:r>
    </w:p>
    <w:p>
      <w:pPr>
        <w:pStyle w:val="BodyText"/>
        <w:spacing w:line="259" w:lineRule="auto"/>
      </w:pPr>
    </w:p>
    <w:p>
      <w:pPr>
        <w:spacing w:before="69" w:line="241" w:lineRule="auto"/>
        <w:ind w:left="1004" w:right="146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3"/>
          <w:sz w:val="21"/>
          <w:szCs w:val="21"/>
        </w:rPr>
        <w:t>在当今的医疗保健环境中 ，</w:t>
      </w:r>
      <w:r>
        <w:rPr>
          <w:rFonts w:ascii="SimSun" w:eastAsia="SimSun" w:hAnsi="SimSun" w:cs="SimSun"/>
          <w:color w:val="FFFFFF"/>
          <w:spacing w:val="-1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3"/>
          <w:sz w:val="21"/>
          <w:szCs w:val="21"/>
        </w:rPr>
        <w:t>独立医院越来越罕见 ，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这意味着平均医疗保健提供者供应链的复杂性正在增</w:t>
      </w:r>
      <w:r>
        <w:rPr>
          <w:rFonts w:ascii="SimSun" w:eastAsia="SimSun" w:hAnsi="SimSun" w:cs="SimSun"/>
          <w:color w:val="FFFFFF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加。卫生系统正在管理比以往任何时候都更广泛的非</w:t>
      </w:r>
      <w:r>
        <w:rPr>
          <w:rFonts w:ascii="SimSun" w:eastAsia="SimSun" w:hAnsi="SimSun" w:cs="SimSun"/>
          <w:color w:val="FFFFFF"/>
          <w:spacing w:val="3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21"/>
          <w:szCs w:val="21"/>
        </w:rPr>
        <w:t>急性站点组合 ，</w:t>
      </w:r>
      <w:r>
        <w:rPr>
          <w:rFonts w:ascii="SimSun" w:eastAsia="SimSun" w:hAnsi="SimSun" w:cs="SimSun"/>
          <w:color w:val="FFFFFF"/>
          <w:spacing w:val="-2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1"/>
          <w:sz w:val="21"/>
          <w:szCs w:val="21"/>
        </w:rPr>
        <w:t>护理环境从医生办公室和门诊服务中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4"/>
          <w:sz w:val="21"/>
          <w:szCs w:val="21"/>
        </w:rPr>
        <w:t>心到紧急和长期护理。</w:t>
      </w:r>
    </w:p>
    <w:p>
      <w:pPr>
        <w:spacing w:before="282" w:line="249" w:lineRule="auto"/>
        <w:ind w:left="1003" w:right="146" w:hanging="6"/>
        <w:jc w:val="both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color w:val="FFFFFF"/>
          <w:sz w:val="21"/>
          <w:szCs w:val="21"/>
        </w:rPr>
        <w:t>Amid    significant     con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solidation,</w:t>
      </w:r>
      <w:r>
        <w:rPr>
          <w:rFonts w:ascii="Trebuchet MS" w:eastAsia="Trebuchet MS" w:hAnsi="Trebuchet MS" w:cs="Trebuchet MS"/>
          <w:color w:val="FFFFFF"/>
          <w:spacing w:val="8"/>
          <w:sz w:val="21"/>
          <w:szCs w:val="21"/>
        </w:rPr>
        <w:t xml:space="preserve">  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supply</w:t>
      </w:r>
      <w:r>
        <w:rPr>
          <w:rFonts w:ascii="Trebuchet MS" w:eastAsia="Trebuchet MS" w:hAnsi="Trebuchet MS" w:cs="Trebuchet MS"/>
          <w:color w:val="FFFFFF"/>
          <w:spacing w:val="9"/>
          <w:sz w:val="21"/>
          <w:szCs w:val="21"/>
        </w:rPr>
        <w:t xml:space="preserve">  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chain</w:t>
      </w:r>
      <w:r>
        <w:rPr>
          <w:rFonts w:ascii="Trebuchet MS" w:eastAsia="Trebuchet MS" w:hAnsi="Trebuchet MS" w:cs="Trebuchet MS"/>
          <w:color w:val="FFFFFF"/>
          <w:spacing w:val="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management   has</w:t>
      </w:r>
      <w:r>
        <w:rPr>
          <w:rFonts w:ascii="Trebuchet MS" w:eastAsia="Trebuchet MS" w:hAnsi="Trebuchet MS" w:cs="Trebuchet MS"/>
          <w:color w:val="FFFFFF"/>
          <w:spacing w:val="11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become</w:t>
      </w:r>
      <w:r>
        <w:rPr>
          <w:rFonts w:ascii="Trebuchet MS" w:eastAsia="Trebuchet MS" w:hAnsi="Trebuchet MS" w:cs="Trebuchet MS"/>
          <w:color w:val="FFFFFF"/>
          <w:spacing w:val="7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less</w:t>
      </w:r>
      <w:r>
        <w:rPr>
          <w:rFonts w:ascii="Trebuchet MS" w:eastAsia="Trebuchet MS" w:hAnsi="Trebuchet MS" w:cs="Trebuchet MS"/>
          <w:color w:val="FFFFFF"/>
          <w:spacing w:val="5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FFFFFF"/>
          <w:spacing w:val="4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a</w:t>
      </w:r>
      <w:r>
        <w:rPr>
          <w:rFonts w:ascii="Trebuchet MS" w:eastAsia="Trebuchet MS" w:hAnsi="Trebuchet MS" w:cs="Trebuchet MS"/>
          <w:color w:val="FFFFFF"/>
          <w:spacing w:val="7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backroom</w:t>
      </w:r>
      <w:r>
        <w:rPr>
          <w:rFonts w:ascii="Trebuchet MS" w:eastAsia="Trebuchet MS" w:hAnsi="Trebuchet MS" w:cs="Trebuchet MS"/>
          <w:color w:val="FFFFFF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function  than  in  years  past.  Health  systems  must</w:t>
      </w:r>
      <w:r>
        <w:rPr>
          <w:rFonts w:ascii="Trebuchet MS" w:eastAsia="Trebuchet MS" w:hAnsi="Trebuchet MS" w:cs="Trebuchet MS"/>
          <w:color w:val="FFFFFF"/>
          <w:spacing w:val="8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deliver</w:t>
      </w:r>
      <w:r>
        <w:rPr>
          <w:rFonts w:ascii="Trebuchet MS" w:eastAsia="Trebuchet MS" w:hAnsi="Trebuchet MS" w:cs="Trebuchet MS"/>
          <w:color w:val="FFFFFF"/>
          <w:spacing w:val="40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medical</w:t>
      </w:r>
      <w:r>
        <w:rPr>
          <w:rFonts w:ascii="Trebuchet MS" w:eastAsia="Trebuchet MS" w:hAnsi="Trebuchet MS" w:cs="Trebuchet MS"/>
          <w:color w:val="FFFFFF"/>
          <w:spacing w:val="31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products</w:t>
      </w:r>
      <w:r>
        <w:rPr>
          <w:rFonts w:ascii="Trebuchet MS" w:eastAsia="Trebuchet MS" w:hAnsi="Trebuchet MS" w:cs="Trebuchet MS"/>
          <w:color w:val="FFFFFF"/>
          <w:spacing w:val="25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FFFFFF"/>
          <w:spacing w:val="24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services</w:t>
      </w:r>
      <w:r>
        <w:rPr>
          <w:rFonts w:ascii="Trebuchet MS" w:eastAsia="Trebuchet MS" w:hAnsi="Trebuchet MS" w:cs="Trebuchet MS"/>
          <w:color w:val="FFFFFF"/>
          <w:spacing w:val="25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to</w:t>
      </w:r>
      <w:r>
        <w:rPr>
          <w:rFonts w:ascii="Trebuchet MS" w:eastAsia="Trebuchet MS" w:hAnsi="Trebuchet MS" w:cs="Trebuchet MS"/>
          <w:color w:val="FFFFFF"/>
          <w:spacing w:val="31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patients</w:t>
      </w:r>
      <w:r>
        <w:rPr>
          <w:rFonts w:ascii="Trebuchet MS" w:eastAsia="Trebuchet MS" w:hAnsi="Trebuchet MS" w:cs="Trebuchet MS"/>
          <w:color w:val="FFFFFF"/>
          <w:spacing w:val="25"/>
          <w:w w:val="10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2"/>
          <w:sz w:val="21"/>
          <w:szCs w:val="21"/>
        </w:rPr>
        <w:t>in</w:t>
      </w:r>
      <w:r>
        <w:rPr>
          <w:rFonts w:ascii="Trebuchet MS" w:eastAsia="Trebuchet MS" w:hAnsi="Trebuchet MS" w:cs="Trebuchet MS"/>
          <w:color w:val="FFFFFF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a  complex</w:t>
      </w:r>
      <w:r>
        <w:rPr>
          <w:rFonts w:ascii="Trebuchet MS" w:eastAsia="Trebuchet MS" w:hAnsi="Trebuchet MS" w:cs="Trebuchet MS"/>
          <w:color w:val="FFFFFF"/>
          <w:spacing w:val="12"/>
          <w:sz w:val="21"/>
          <w:szCs w:val="21"/>
        </w:rPr>
        <w:t xml:space="preserve">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enive</w:t>
      </w:r>
      <w:r>
        <w:rPr>
          <w:rFonts w:ascii="Trebuchet MS" w:eastAsia="Trebuchet MS" w:hAnsi="Trebuchet MS" w:cs="Trebuchet MS"/>
          <w:color w:val="FFFFFF"/>
          <w:spacing w:val="11"/>
          <w:sz w:val="21"/>
          <w:szCs w:val="21"/>
        </w:rPr>
        <w:t xml:space="preserve">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environment</w:t>
      </w:r>
      <w:r>
        <w:rPr>
          <w:rFonts w:ascii="Trebuchet MS" w:eastAsia="Trebuchet MS" w:hAnsi="Trebuchet MS" w:cs="Trebuchet MS"/>
          <w:color w:val="FFFFFF"/>
          <w:spacing w:val="10"/>
          <w:sz w:val="21"/>
          <w:szCs w:val="21"/>
        </w:rPr>
        <w:t xml:space="preserve">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drived</w:t>
      </w:r>
      <w:r>
        <w:rPr>
          <w:rFonts w:ascii="Trebuchet MS" w:eastAsia="Trebuchet MS" w:hAnsi="Trebuchet MS" w:cs="Trebuchet MS"/>
          <w:color w:val="FFFFFF"/>
          <w:spacing w:val="14"/>
          <w:sz w:val="21"/>
          <w:szCs w:val="21"/>
        </w:rPr>
        <w:t xml:space="preserve">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by</w:t>
      </w:r>
      <w:r>
        <w:rPr>
          <w:rFonts w:ascii="Trebuchet MS" w:eastAsia="Trebuchet MS" w:hAnsi="Trebuchet MS" w:cs="Trebuchet MS"/>
          <w:color w:val="FFFFFF"/>
          <w:spacing w:val="12"/>
          <w:sz w:val="21"/>
          <w:szCs w:val="21"/>
        </w:rPr>
        <w:t xml:space="preserve"> 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incoring</w:t>
      </w:r>
      <w:r>
        <w:rPr>
          <w:rFonts w:ascii="Trebuchet MS" w:eastAsia="Trebuchet MS" w:hAnsi="Trebuchet MS" w:cs="Trebuchet MS"/>
          <w:color w:val="FFFFFF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z w:val="21"/>
          <w:szCs w:val="21"/>
        </w:rPr>
        <w:t>regulatory screasing, flue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nce and</w:t>
      </w:r>
      <w:r>
        <w:rPr>
          <w:rFonts w:ascii="Trebuchet MS" w:eastAsia="Trebuchet MS" w:hAnsi="Trebuchet MS" w:cs="Trebuchet MS"/>
          <w:color w:val="FFFFFF"/>
          <w:spacing w:val="1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FFFFFF"/>
          <w:spacing w:val="-1"/>
          <w:sz w:val="21"/>
          <w:szCs w:val="21"/>
        </w:rPr>
        <w:t>p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0" w:line="239" w:lineRule="auto"/>
        <w:ind w:left="1" w:right="994" w:firstLine="6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-2"/>
          <w:sz w:val="21"/>
          <w:szCs w:val="21"/>
        </w:rPr>
        <w:t>收购 ， 隐私规则和网络安全风险 ，</w:t>
      </w:r>
      <w:r>
        <w:rPr>
          <w:rFonts w:ascii="SimSun" w:eastAsia="SimSun" w:hAnsi="SimSun" w:cs="SimSun"/>
          <w:color w:val="FFFFFF"/>
          <w:spacing w:val="-1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2"/>
          <w:sz w:val="21"/>
          <w:szCs w:val="21"/>
        </w:rPr>
        <w:t>不断升级的定价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压力和侵蚀的利润率。为了应对这些挑战并保持准备</w:t>
      </w:r>
      <w:r>
        <w:rPr>
          <w:rFonts w:ascii="SimSun" w:eastAsia="SimSun" w:hAnsi="SimSun" w:cs="SimSun"/>
          <w:color w:val="FFFFFF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2"/>
          <w:sz w:val="21"/>
          <w:szCs w:val="21"/>
        </w:rPr>
        <w:t>,  卫生系统正在重新评估其当前的供应链流程和技术</w:t>
      </w:r>
      <w:r>
        <w:rPr>
          <w:rFonts w:ascii="SimSun" w:eastAsia="SimSun" w:hAnsi="SimSun" w:cs="SimSun"/>
          <w:color w:val="FFFFFF"/>
          <w:spacing w:val="10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1"/>
          <w:szCs w:val="21"/>
        </w:rPr>
        <w:t>,</w:t>
      </w:r>
      <w:r>
        <w:rPr>
          <w:rFonts w:ascii="SimSun" w:eastAsia="SimSun" w:hAnsi="SimSun" w:cs="SimSun"/>
          <w:color w:val="FFFFFF"/>
          <w:spacing w:val="22"/>
          <w:sz w:val="21"/>
          <w:szCs w:val="21"/>
        </w:rPr>
        <w:t xml:space="preserve">  </w:t>
      </w:r>
      <w:r>
        <w:rPr>
          <w:rFonts w:ascii="SimSun" w:eastAsia="SimSun" w:hAnsi="SimSun" w:cs="SimSun"/>
          <w:color w:val="FFFFFF"/>
          <w:spacing w:val="-5"/>
          <w:sz w:val="21"/>
          <w:szCs w:val="21"/>
        </w:rPr>
        <w:t>以确保它们是为长期价值和规模而设计的</w:t>
      </w:r>
    </w:p>
    <w:p>
      <w:pPr>
        <w:pStyle w:val="BodyText"/>
        <w:spacing w:line="257" w:lineRule="auto"/>
      </w:pPr>
    </w:p>
    <w:p>
      <w:pPr>
        <w:spacing w:before="69" w:line="242" w:lineRule="auto"/>
        <w:ind w:right="987" w:firstLine="1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这本电子书收录了贝克尔医院评论发表的关于快速发</w:t>
      </w:r>
      <w:r>
        <w:rPr>
          <w:rFonts w:ascii="SimSun" w:eastAsia="SimSun" w:hAnsi="SimSun" w:cs="SimSun"/>
          <w:color w:val="FFFFFF"/>
          <w:spacing w:val="11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展的供应链世界的 </w:t>
      </w:r>
      <w:r>
        <w:rPr>
          <w:rFonts w:ascii="Trebuchet MS" w:eastAsia="Trebuchet MS" w:hAnsi="Trebuchet MS" w:cs="Trebuchet MS"/>
          <w:color w:val="FFFFFF"/>
          <w:sz w:val="21"/>
          <w:szCs w:val="21"/>
        </w:rPr>
        <w:t xml:space="preserve">10 </w:t>
      </w:r>
      <w:r>
        <w:rPr>
          <w:rFonts w:ascii="SimSun" w:eastAsia="SimSun" w:hAnsi="SimSun" w:cs="SimSun"/>
          <w:color w:val="FFFFFF"/>
          <w:sz w:val="21"/>
          <w:szCs w:val="21"/>
        </w:rPr>
        <w:t>篇必读文章。文章涵</w:t>
      </w:r>
      <w:r>
        <w:rPr>
          <w:rFonts w:ascii="SimSun" w:eastAsia="SimSun" w:hAnsi="SimSun" w:cs="SimSun"/>
          <w:color w:val="FFFFFF"/>
          <w:spacing w:val="-1"/>
          <w:sz w:val="21"/>
          <w:szCs w:val="21"/>
        </w:rPr>
        <w:t>盖了一系列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主题，从新进入医疗保健行业到新的业务合作如何撼</w:t>
      </w:r>
      <w:r>
        <w:rPr>
          <w:rFonts w:ascii="SimSun" w:eastAsia="SimSun" w:hAnsi="SimSun" w:cs="SimSun"/>
          <w:color w:val="FFFFFF"/>
          <w:spacing w:val="13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7"/>
          <w:sz w:val="21"/>
          <w:szCs w:val="21"/>
        </w:rPr>
        <w:t>动传统的分销模式。读者将深入了解不断变化的监管</w:t>
      </w:r>
      <w:r>
        <w:rPr>
          <w:rFonts w:ascii="SimSun" w:eastAsia="SimSun" w:hAnsi="SimSun" w:cs="SimSun"/>
          <w:color w:val="FFFFFF"/>
          <w:spacing w:val="13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5"/>
          <w:sz w:val="21"/>
          <w:szCs w:val="21"/>
        </w:rPr>
        <w:t>环境，对技术创新的兴趣与日俱增，</w:t>
      </w:r>
      <w:r>
        <w:rPr>
          <w:rFonts w:ascii="SimSun" w:eastAsia="SimSun" w:hAnsi="SimSun" w:cs="SimSun"/>
          <w:color w:val="FFFFFF"/>
          <w:spacing w:val="-46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5"/>
          <w:sz w:val="21"/>
          <w:szCs w:val="21"/>
        </w:rPr>
        <w:t>以及对医院供应</w:t>
      </w:r>
      <w:r>
        <w:rPr>
          <w:rFonts w:ascii="SimSun" w:eastAsia="SimSun" w:hAnsi="SimSun" w:cs="SimSun"/>
          <w:color w:val="FFFFFF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-5"/>
          <w:sz w:val="21"/>
          <w:szCs w:val="21"/>
        </w:rPr>
        <w:t>链未来的思考。</w:t>
      </w:r>
    </w:p>
    <w:p>
      <w:pPr>
        <w:spacing w:line="242" w:lineRule="auto"/>
        <w:rPr>
          <w:rFonts w:ascii="SimSun" w:eastAsia="SimSun" w:hAnsi="SimSun" w:cs="SimSun"/>
          <w:sz w:val="21"/>
          <w:szCs w:val="21"/>
        </w:rPr>
        <w:sectPr>
          <w:headerReference w:type="default" r:id="rId12"/>
          <w:type w:val="continuous"/>
          <w:pgSz w:w="12240" w:h="15840"/>
          <w:pgMar w:top="400" w:right="0" w:bottom="0" w:left="0" w:header="0" w:footer="0" w:gutter="0"/>
          <w:pgNumType w:start="5"/>
          <w:cols w:num="2" w:space="708" w:equalWidth="0">
            <w:col w:w="6148" w:space="100"/>
            <w:col w:w="5993" w:space="0"/>
          </w:cols>
        </w:sectPr>
      </w:pPr>
    </w:p>
    <w:p>
      <w:pPr>
        <w:spacing w:line="6046" w:lineRule="exact"/>
      </w:pPr>
      <w:r>
        <w:pict>
          <v:rect id="_x0000_s1029" style="width:1pt;height:105.9pt;margin-top:414pt;margin-left:305pt;mso-position-horizontal-relative:page;mso-position-vertical-relative:page;position:absolute;z-index:251664384" o:allowincell="f" filled="t" fillcolor="#f4a11e" stroked="f"/>
        </w:pict>
      </w:r>
      <w:r>
        <w:pict>
          <v:rect id="_x0000_s1030" style="width:612pt;height:1.4pt;margin-top:294.6pt;margin-left:0;mso-position-horizontal-relative:page;mso-position-vertical-relative:page;position:absolute;z-index:251666432" o:allowincell="f" filled="t" fillcolor="#231f20" stroked="f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6715131</wp:posOffset>
            </wp:positionH>
            <wp:positionV relativeFrom="page">
              <wp:posOffset>9276080</wp:posOffset>
            </wp:positionV>
            <wp:extent cx="1057268" cy="782319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57268" cy="782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0"/>
        </w:rPr>
        <w:drawing>
          <wp:inline distT="0" distB="0" distL="0" distR="0">
            <wp:extent cx="7772393" cy="3839604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72393" cy="383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41" w:lineRule="auto"/>
      </w:pPr>
    </w:p>
    <w:p>
      <w:pPr>
        <w:spacing w:before="156" w:line="219" w:lineRule="auto"/>
        <w:ind w:left="965"/>
        <w:rPr>
          <w:rFonts w:ascii="SimSun" w:eastAsia="SimSun" w:hAnsi="SimSun" w:cs="SimSun"/>
          <w:sz w:val="48"/>
          <w:szCs w:val="48"/>
        </w:rPr>
      </w:pPr>
      <w:bookmarkStart w:id="0" w:name="bookmark1"/>
      <w:bookmarkEnd w:id="0"/>
      <w:r>
        <w:rPr>
          <w:rFonts w:ascii="SimSun" w:eastAsia="SimSun" w:hAnsi="SimSun" w:cs="SimSun"/>
          <w:color w:val="008CCB"/>
          <w:spacing w:val="-25"/>
          <w:sz w:val="48"/>
          <w:szCs w:val="48"/>
          <w14:textOutline w14:w="8708">
            <w14:solidFill>
              <w14:srgbClr w14:val="008CCB"/>
            </w14:solidFill>
            <w14:prstDash w14:val="solid"/>
            <w14:miter w14:lim="10"/>
          </w14:textOutline>
        </w:rPr>
        <w:t>调查</w:t>
      </w:r>
      <w:r>
        <w:rPr>
          <w:rFonts w:ascii="SimSun" w:eastAsia="SimSun" w:hAnsi="SimSun" w:cs="SimSun"/>
          <w:color w:val="008CCB"/>
          <w:spacing w:val="-25"/>
          <w:sz w:val="48"/>
          <w:szCs w:val="48"/>
        </w:rPr>
        <w:t xml:space="preserve"> </w:t>
      </w:r>
      <w:r>
        <w:rPr>
          <w:rFonts w:ascii="SimSun" w:eastAsia="SimSun" w:hAnsi="SimSun" w:cs="SimSun"/>
          <w:color w:val="008CCB"/>
          <w:spacing w:val="-25"/>
          <w:sz w:val="48"/>
          <w:szCs w:val="48"/>
          <w14:textOutline w14:w="8708">
            <w14:solidFill>
              <w14:srgbClr w14:val="008CCB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color w:val="008CCB"/>
          <w:spacing w:val="-79"/>
          <w:sz w:val="48"/>
          <w:szCs w:val="4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8CCB"/>
          <w:spacing w:val="-25"/>
          <w:sz w:val="48"/>
          <w:szCs w:val="48"/>
        </w:rPr>
        <w:t xml:space="preserve">2018 </w:t>
      </w:r>
      <w:r>
        <w:rPr>
          <w:rFonts w:ascii="SimSun" w:eastAsia="SimSun" w:hAnsi="SimSun" w:cs="SimSun"/>
          <w:color w:val="008CCB"/>
          <w:spacing w:val="-25"/>
          <w:sz w:val="48"/>
          <w:szCs w:val="48"/>
          <w14:textOutline w14:w="8708">
            <w14:solidFill>
              <w14:srgbClr w14:val="008CCB"/>
            </w14:solidFill>
            <w14:prstDash w14:val="solid"/>
            <w14:miter w14:lim="10"/>
          </w14:textOutline>
        </w:rPr>
        <w:t>年医疗保健供应链优先事项</w:t>
      </w:r>
    </w:p>
    <w:p>
      <w:pPr>
        <w:spacing w:before="452" w:line="163" w:lineRule="auto"/>
        <w:ind w:left="894"/>
        <w:rPr>
          <w:rFonts w:ascii="SimSun" w:eastAsia="SimSun" w:hAnsi="SimSun" w:cs="SimSun"/>
          <w:sz w:val="21"/>
          <w:szCs w:val="21"/>
        </w:rPr>
      </w:pPr>
      <w:r>
        <w:pict>
          <v:shape id="_x0000_s1031" type="#_x0000_t202" style="width:566.4pt;height:28.65pt;margin-top:35.66pt;margin-left:46.61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167" w:lineRule="auto"/>
                    <w:ind w:left="277"/>
                    <w:rPr>
                      <w:rFonts w:ascii="SimSun" w:eastAsia="SimSun" w:hAnsi="SimSun" w:cs="SimSun"/>
                      <w:sz w:val="21"/>
                      <w:szCs w:val="21"/>
                    </w:rPr>
                  </w:pPr>
                  <w:r>
                    <w:rPr>
                      <w:rFonts w:ascii="SimSun" w:eastAsia="SimSun" w:hAnsi="SimSun" w:cs="SimSun"/>
                      <w:color w:val="231F20"/>
                      <w:spacing w:val="-2"/>
                      <w:sz w:val="21"/>
                      <w:szCs w:val="21"/>
                    </w:rPr>
                    <w:t xml:space="preserve">链未来最关键的领域                                供应链成果时 </w:t>
                  </w:r>
                  <w:r>
                    <w:rPr>
                      <w:rFonts w:ascii="SimSun" w:eastAsia="SimSun" w:hAnsi="SimSun" w:cs="SimSun"/>
                      <w:color w:val="231F20"/>
                      <w:spacing w:val="-2"/>
                      <w:position w:val="2"/>
                      <w:sz w:val="21"/>
                      <w:szCs w:val="21"/>
                    </w:rPr>
                    <w:t>，</w:t>
                  </w:r>
                  <w:r>
                    <w:rPr>
                      <w:rFonts w:ascii="SimSun" w:eastAsia="SimSun" w:hAnsi="SimSun" w:cs="SimSun"/>
                      <w:color w:val="231F20"/>
                      <w:spacing w:val="-30"/>
                      <w:position w:val="2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231F20"/>
                      <w:spacing w:val="-2"/>
                      <w:sz w:val="21"/>
                      <w:szCs w:val="21"/>
                    </w:rPr>
                    <w:t>五个领域成为最重要的领</w:t>
                  </w:r>
                  <w:r>
                    <w:rPr>
                      <w:rFonts w:ascii="SimSun" w:eastAsia="SimSun" w:hAnsi="SimSun" w:cs="SimSun"/>
                      <w:color w:val="231F20"/>
                      <w:spacing w:val="-3"/>
                      <w:sz w:val="21"/>
                      <w:szCs w:val="21"/>
                    </w:rPr>
                    <w:t xml:space="preserve">域 ：              </w:t>
                  </w:r>
                </w:p>
                <w:p>
                  <w:pPr>
                    <w:spacing w:before="73" w:line="219" w:lineRule="auto"/>
                    <w:ind w:left="20"/>
                    <w:rPr>
                      <w:rFonts w:ascii="SimSun" w:eastAsia="SimSun" w:hAnsi="SimSun" w:cs="SimSun"/>
                      <w:sz w:val="21"/>
                      <w:szCs w:val="21"/>
                    </w:rPr>
                  </w:pPr>
                  <w:r>
                    <w:rPr>
                      <w:rFonts w:ascii="SimSun" w:eastAsia="SimSun" w:hAnsi="SimSun" w:cs="SimSun"/>
                      <w:color w:val="231F20"/>
                      <w:sz w:val="21"/>
                      <w:szCs w:val="21"/>
                    </w:rPr>
                    <w:t>根据全球医疗保健交易所对最佳</w:t>
                  </w:r>
                  <w:r>
                    <w:rPr>
                      <w:rFonts w:ascii="SimSun" w:eastAsia="SimSun" w:hAnsi="SimSun" w:cs="SimSun"/>
                      <w:color w:val="231F20"/>
                      <w:spacing w:val="-17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color w:val="231F20"/>
                      <w:sz w:val="21"/>
                      <w:szCs w:val="21"/>
                    </w:rPr>
                    <w:t xml:space="preserve">50 </w:t>
                  </w:r>
                  <w:r>
                    <w:rPr>
                      <w:rFonts w:ascii="SimSun" w:eastAsia="SimSun" w:hAnsi="SimSun" w:cs="SimSun"/>
                      <w:color w:val="231F20"/>
                      <w:sz w:val="21"/>
                      <w:szCs w:val="21"/>
                    </w:rPr>
                    <w:t>家提供商组织</w:t>
                  </w:r>
                </w:p>
              </w:txbxContent>
            </v:textbox>
          </v:shape>
        </w:pict>
      </w:r>
      <w:r>
        <w:rPr>
          <w:rFonts w:ascii="Tahoma" w:eastAsia="Tahoma" w:hAnsi="Tahoma" w:cs="Tahoma"/>
          <w:b/>
          <w:bCs/>
          <w:color w:val="00AEEF"/>
          <w:spacing w:val="-2"/>
          <w:position w:val="-45"/>
          <w:sz w:val="90"/>
          <w:szCs w:val="90"/>
        </w:rPr>
        <w:t>I</w:t>
      </w:r>
      <w:r>
        <w:rPr>
          <w:rFonts w:ascii="SimSun" w:eastAsia="SimSun" w:hAnsi="SimSun" w:cs="SimSun"/>
          <w:color w:val="231F20"/>
          <w:spacing w:val="-2"/>
          <w:position w:val="10"/>
          <w:sz w:val="21"/>
          <w:szCs w:val="21"/>
        </w:rPr>
        <w:t xml:space="preserve">改进数据驱动的决策是供应链领导者认为对供应  </w:t>
      </w:r>
      <w:r>
        <w:rPr>
          <w:rFonts w:ascii="SimSun" w:eastAsia="SimSun" w:hAnsi="SimSun" w:cs="SimSun"/>
          <w:color w:val="231F20"/>
          <w:spacing w:val="-3"/>
          <w:position w:val="10"/>
          <w:sz w:val="21"/>
          <w:szCs w:val="21"/>
        </w:rPr>
        <w:t xml:space="preserve">      当这些供应链领导者被要求确定</w:t>
      </w:r>
      <w:r>
        <w:rPr>
          <w:rFonts w:ascii="SimSun" w:eastAsia="SimSun" w:hAnsi="SimSun" w:cs="SimSun"/>
          <w:color w:val="231F20"/>
          <w:spacing w:val="-36"/>
          <w:position w:val="10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3"/>
          <w:position w:val="10"/>
          <w:sz w:val="21"/>
          <w:szCs w:val="21"/>
        </w:rPr>
        <w:t xml:space="preserve">2018 </w:t>
      </w:r>
      <w:r>
        <w:rPr>
          <w:rFonts w:ascii="SimSun" w:eastAsia="SimSun" w:hAnsi="SimSun" w:cs="SimSun"/>
          <w:color w:val="231F20"/>
          <w:spacing w:val="-3"/>
          <w:position w:val="10"/>
          <w:sz w:val="21"/>
          <w:szCs w:val="21"/>
        </w:rPr>
        <w:t>年需要的三个</w:t>
      </w:r>
    </w:p>
    <w:p>
      <w:pPr>
        <w:spacing w:before="105" w:line="216" w:lineRule="auto"/>
        <w:ind w:left="96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231F20"/>
          <w:spacing w:val="-4"/>
          <w:sz w:val="21"/>
          <w:szCs w:val="21"/>
        </w:rPr>
        <w:t>的调查 ，</w:t>
      </w:r>
      <w:r>
        <w:rPr>
          <w:rFonts w:ascii="SimSun" w:eastAsia="SimSun" w:hAnsi="SimSun" w:cs="SimSun"/>
          <w:color w:val="231F20"/>
          <w:spacing w:val="-30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-4"/>
          <w:sz w:val="21"/>
          <w:szCs w:val="21"/>
        </w:rPr>
        <w:t xml:space="preserve">在医疗保健领域。                             </w:t>
      </w:r>
      <w:r>
        <w:rPr>
          <w:rFonts w:ascii="Trebuchet MS" w:eastAsia="Trebuchet MS" w:hAnsi="Trebuchet MS" w:cs="Trebuchet MS"/>
          <w:color w:val="231F20"/>
          <w:spacing w:val="-4"/>
          <w:sz w:val="24"/>
          <w:szCs w:val="24"/>
        </w:rPr>
        <w:t xml:space="preserve">•    </w:t>
      </w:r>
      <w:r>
        <w:rPr>
          <w:rFonts w:ascii="SimSun" w:eastAsia="SimSun" w:hAnsi="SimSun" w:cs="SimSun"/>
          <w:color w:val="231F20"/>
          <w:spacing w:val="-4"/>
          <w:sz w:val="21"/>
          <w:szCs w:val="21"/>
        </w:rPr>
        <w:t>数据和分析以更好地制定决策</w:t>
      </w:r>
      <w:r>
        <w:rPr>
          <w:rFonts w:ascii="SimSun" w:eastAsia="SimSun" w:hAnsi="SimSun" w:cs="SimSun"/>
          <w:color w:val="231F20"/>
          <w:spacing w:val="-4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-4"/>
          <w:sz w:val="21"/>
          <w:szCs w:val="21"/>
        </w:rPr>
        <w:t>（</w:t>
      </w:r>
      <w:r>
        <w:rPr>
          <w:rFonts w:ascii="Trebuchet MS" w:eastAsia="Trebuchet MS" w:hAnsi="Trebuchet MS" w:cs="Trebuchet MS"/>
          <w:color w:val="231F20"/>
          <w:spacing w:val="-4"/>
          <w:sz w:val="21"/>
          <w:szCs w:val="21"/>
        </w:rPr>
        <w:t xml:space="preserve">59% </w:t>
      </w:r>
      <w:r>
        <w:rPr>
          <w:rFonts w:ascii="SimSun" w:eastAsia="SimSun" w:hAnsi="SimSun" w:cs="SimSun"/>
          <w:color w:val="231F20"/>
          <w:spacing w:val="-4"/>
          <w:sz w:val="21"/>
          <w:szCs w:val="21"/>
        </w:rPr>
        <w:t>）</w:t>
      </w:r>
    </w:p>
    <w:p>
      <w:pPr>
        <w:spacing w:before="33" w:line="201" w:lineRule="auto"/>
        <w:ind w:left="6472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color w:val="231F20"/>
          <w:spacing w:val="-2"/>
          <w:sz w:val="24"/>
          <w:szCs w:val="24"/>
        </w:rPr>
        <w:t xml:space="preserve">•   </w:t>
      </w: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整个组织的数据和业务流程标准化</w:t>
      </w:r>
      <w:r>
        <w:rPr>
          <w:rFonts w:ascii="SimSun" w:eastAsia="SimSun" w:hAnsi="SimSun" w:cs="SimSun"/>
          <w:color w:val="231F20"/>
          <w:spacing w:val="-7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>(53%)</w:t>
      </w:r>
    </w:p>
    <w:p>
      <w:pPr>
        <w:spacing w:before="39" w:line="210" w:lineRule="auto"/>
        <w:ind w:left="95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231F20"/>
          <w:spacing w:val="-1"/>
          <w:sz w:val="21"/>
          <w:szCs w:val="21"/>
        </w:rPr>
        <w:t>在这项调查中 ，</w:t>
      </w:r>
      <w:r>
        <w:rPr>
          <w:rFonts w:ascii="SimSun" w:eastAsia="SimSun" w:hAnsi="SimSun" w:cs="SimSun"/>
          <w:color w:val="231F20"/>
          <w:spacing w:val="-3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GHX </w:t>
      </w:r>
      <w:r>
        <w:rPr>
          <w:rFonts w:ascii="SimSun" w:eastAsia="SimSun" w:hAnsi="SimSun" w:cs="SimSun"/>
          <w:color w:val="231F20"/>
          <w:spacing w:val="-1"/>
          <w:sz w:val="21"/>
          <w:szCs w:val="21"/>
        </w:rPr>
        <w:t>要求其</w:t>
      </w:r>
      <w:r>
        <w:rPr>
          <w:rFonts w:ascii="SimSun" w:eastAsia="SimSun" w:hAnsi="SimSun" w:cs="SimSun"/>
          <w:color w:val="231F20"/>
          <w:spacing w:val="-4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>“</w:t>
      </w:r>
      <w:r>
        <w:rPr>
          <w:rFonts w:ascii="SimSun" w:eastAsia="SimSun" w:hAnsi="SimSun" w:cs="SimSun"/>
          <w:color w:val="231F20"/>
          <w:spacing w:val="-1"/>
          <w:sz w:val="21"/>
          <w:szCs w:val="21"/>
        </w:rPr>
        <w:t>最佳</w:t>
      </w:r>
      <w:r>
        <w:rPr>
          <w:rFonts w:ascii="SimSun" w:eastAsia="SimSun" w:hAnsi="SimSun" w:cs="SimSun"/>
          <w:color w:val="231F20"/>
          <w:spacing w:val="-29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>50</w:t>
      </w:r>
      <w:r>
        <w:rPr>
          <w:rFonts w:ascii="Trebuchet MS" w:eastAsia="Trebuchet MS" w:hAnsi="Trebuchet MS" w:cs="Trebuchet MS"/>
          <w:color w:val="231F20"/>
          <w:spacing w:val="17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” </w:t>
      </w:r>
      <w:r>
        <w:rPr>
          <w:rFonts w:ascii="SimSun" w:eastAsia="SimSun" w:hAnsi="SimSun" w:cs="SimSun"/>
          <w:color w:val="231F20"/>
          <w:spacing w:val="-1"/>
          <w:sz w:val="21"/>
          <w:szCs w:val="21"/>
        </w:rPr>
        <w:t>确定</w:t>
      </w:r>
      <w:r>
        <w:rPr>
          <w:rFonts w:ascii="SimSun" w:eastAsia="SimSun" w:hAnsi="SimSun" w:cs="SimSun"/>
          <w:color w:val="231F20"/>
          <w:spacing w:val="-36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2018            </w:t>
      </w:r>
      <w:r>
        <w:rPr>
          <w:rFonts w:ascii="Trebuchet MS" w:eastAsia="Trebuchet MS" w:hAnsi="Trebuchet MS" w:cs="Trebuchet MS"/>
          <w:color w:val="231F20"/>
          <w:spacing w:val="-2"/>
          <w:sz w:val="24"/>
          <w:szCs w:val="24"/>
        </w:rPr>
        <w:t xml:space="preserve">•    </w:t>
      </w: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合同优化</w:t>
      </w:r>
      <w:r>
        <w:rPr>
          <w:rFonts w:ascii="SimSun" w:eastAsia="SimSun" w:hAnsi="SimSun" w:cs="SimSun"/>
          <w:color w:val="231F20"/>
          <w:spacing w:val="-4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（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47% </w:t>
      </w: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）</w:t>
      </w:r>
    </w:p>
    <w:p>
      <w:pPr>
        <w:spacing w:before="29" w:line="211" w:lineRule="auto"/>
        <w:ind w:left="95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年医疗保健供应链的优先事项和必要成果。</w:t>
      </w:r>
      <w:r>
        <w:rPr>
          <w:rFonts w:ascii="SimSun" w:eastAsia="SimSun" w:hAnsi="SimSun" w:cs="SimSun"/>
          <w:color w:val="231F20"/>
          <w:spacing w:val="30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“ </w:t>
      </w:r>
      <w:r>
        <w:rPr>
          <w:rFonts w:ascii="SimSun" w:eastAsia="SimSun" w:hAnsi="SimSun" w:cs="SimSun"/>
          <w:color w:val="231F20"/>
          <w:spacing w:val="-2"/>
          <w:sz w:val="21"/>
          <w:szCs w:val="21"/>
        </w:rPr>
        <w:t>最佳</w:t>
      </w:r>
      <w:r>
        <w:rPr>
          <w:rFonts w:ascii="SimSun" w:eastAsia="SimSun" w:hAnsi="SimSun" w:cs="SimSun"/>
          <w:color w:val="231F20"/>
          <w:spacing w:val="-28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50       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 xml:space="preserve">   </w:t>
      </w:r>
      <w:r>
        <w:rPr>
          <w:rFonts w:ascii="Trebuchet MS" w:eastAsia="Trebuchet MS" w:hAnsi="Trebuchet MS" w:cs="Trebuchet MS"/>
          <w:color w:val="231F20"/>
          <w:spacing w:val="-3"/>
          <w:sz w:val="24"/>
          <w:szCs w:val="24"/>
        </w:rPr>
        <w:t xml:space="preserve">•    </w:t>
      </w:r>
      <w:r>
        <w:rPr>
          <w:rFonts w:ascii="SimSun" w:eastAsia="SimSun" w:hAnsi="SimSun" w:cs="SimSun"/>
          <w:color w:val="231F20"/>
          <w:spacing w:val="-3"/>
          <w:sz w:val="21"/>
          <w:szCs w:val="21"/>
        </w:rPr>
        <w:t>推动供应链业务和临床流程的整合</w:t>
      </w:r>
      <w:r>
        <w:rPr>
          <w:rFonts w:ascii="SimSun" w:eastAsia="SimSun" w:hAnsi="SimSun" w:cs="SimSun"/>
          <w:color w:val="231F20"/>
          <w:spacing w:val="-42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-3"/>
          <w:sz w:val="21"/>
          <w:szCs w:val="21"/>
        </w:rPr>
        <w:t>（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 xml:space="preserve">42% </w:t>
      </w:r>
      <w:r>
        <w:rPr>
          <w:rFonts w:ascii="SimSun" w:eastAsia="SimSun" w:hAnsi="SimSun" w:cs="SimSun"/>
          <w:color w:val="231F20"/>
          <w:spacing w:val="-3"/>
          <w:sz w:val="21"/>
          <w:szCs w:val="21"/>
        </w:rPr>
        <w:t>）</w:t>
      </w:r>
    </w:p>
    <w:p>
      <w:pPr>
        <w:spacing w:before="27" w:line="214" w:lineRule="auto"/>
        <w:ind w:left="960"/>
        <w:rPr>
          <w:rFonts w:ascii="SimSun" w:eastAsia="SimSun" w:hAnsi="SimSun" w:cs="SimSun"/>
          <w:sz w:val="21"/>
          <w:szCs w:val="21"/>
        </w:rPr>
      </w:pPr>
      <w:r>
        <w:rPr>
          <w:rFonts w:ascii="Trebuchet MS" w:eastAsia="Trebuchet MS" w:hAnsi="Trebuchet MS" w:cs="Trebuchet MS"/>
          <w:color w:val="231F20"/>
          <w:spacing w:val="4"/>
          <w:sz w:val="21"/>
          <w:szCs w:val="21"/>
        </w:rPr>
        <w:t xml:space="preserve">” </w:t>
      </w:r>
      <w:r>
        <w:rPr>
          <w:rFonts w:ascii="SimSun" w:eastAsia="SimSun" w:hAnsi="SimSun" w:cs="SimSun"/>
          <w:color w:val="231F20"/>
          <w:spacing w:val="4"/>
          <w:sz w:val="21"/>
          <w:szCs w:val="21"/>
        </w:rPr>
        <w:t>是美国和加拿大表现最佳的提供商名单</w:t>
      </w:r>
      <w:r>
        <w:rPr>
          <w:rFonts w:ascii="SimSun" w:eastAsia="SimSun" w:hAnsi="SimSun" w:cs="SimSun"/>
          <w:color w:val="231F20"/>
          <w:spacing w:val="-17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4"/>
          <w:sz w:val="21"/>
          <w:szCs w:val="21"/>
        </w:rPr>
        <w:t>，</w:t>
      </w:r>
      <w:r>
        <w:rPr>
          <w:rFonts w:ascii="SimSun" w:eastAsia="SimSun" w:hAnsi="SimSun" w:cs="SimSun"/>
          <w:color w:val="231F20"/>
          <w:spacing w:val="-17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4"/>
          <w:sz w:val="21"/>
          <w:szCs w:val="21"/>
        </w:rPr>
        <w:t xml:space="preserve">因其高       </w:t>
      </w:r>
      <w:r>
        <w:rPr>
          <w:rFonts w:ascii="Trebuchet MS" w:eastAsia="Trebuchet MS" w:hAnsi="Trebuchet MS" w:cs="Trebuchet MS"/>
          <w:color w:val="231F20"/>
          <w:spacing w:val="4"/>
          <w:sz w:val="24"/>
          <w:szCs w:val="24"/>
        </w:rPr>
        <w:t xml:space="preserve">•  </w:t>
      </w:r>
      <w:r>
        <w:rPr>
          <w:rFonts w:ascii="Trebuchet MS" w:eastAsia="Trebuchet MS" w:hAnsi="Trebuchet MS" w:cs="Trebuchet MS"/>
          <w:color w:val="231F20"/>
          <w:spacing w:val="3"/>
          <w:sz w:val="24"/>
          <w:szCs w:val="24"/>
        </w:rPr>
        <w:t xml:space="preserve">  </w:t>
      </w:r>
      <w:r>
        <w:rPr>
          <w:rFonts w:ascii="SimSun" w:eastAsia="SimSun" w:hAnsi="SimSun" w:cs="SimSun"/>
          <w:color w:val="231F20"/>
          <w:spacing w:val="3"/>
          <w:sz w:val="21"/>
          <w:szCs w:val="21"/>
        </w:rPr>
        <w:t>更广泛的非劳动支出管理</w:t>
      </w:r>
      <w:r>
        <w:rPr>
          <w:rFonts w:ascii="SimSun" w:eastAsia="SimSun" w:hAnsi="SimSun" w:cs="SimSun"/>
          <w:color w:val="231F20"/>
          <w:spacing w:val="-35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3"/>
          <w:sz w:val="21"/>
          <w:szCs w:val="21"/>
        </w:rPr>
        <w:t>（</w:t>
      </w:r>
      <w:r>
        <w:rPr>
          <w:rFonts w:ascii="Trebuchet MS" w:eastAsia="Trebuchet MS" w:hAnsi="Trebuchet MS" w:cs="Trebuchet MS"/>
          <w:color w:val="231F20"/>
          <w:spacing w:val="3"/>
          <w:sz w:val="21"/>
          <w:szCs w:val="21"/>
        </w:rPr>
        <w:t>29</w:t>
      </w:r>
      <w:r>
        <w:rPr>
          <w:rFonts w:ascii="Trebuchet MS" w:eastAsia="Trebuchet MS" w:hAnsi="Trebuchet MS" w:cs="Trebuchet MS"/>
          <w:color w:val="231F20"/>
          <w:spacing w:val="35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231F20"/>
          <w:spacing w:val="3"/>
          <w:sz w:val="21"/>
          <w:szCs w:val="21"/>
        </w:rPr>
        <w:t>% )</w:t>
      </w:r>
    </w:p>
    <w:p>
      <w:pPr>
        <w:spacing w:before="24" w:line="219" w:lineRule="auto"/>
        <w:ind w:left="957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231F20"/>
          <w:spacing w:val="-3"/>
          <w:sz w:val="21"/>
          <w:szCs w:val="21"/>
        </w:rPr>
        <w:t>效的运营绩效和通过供应链降低成本而获奖。</w:t>
      </w:r>
    </w:p>
    <w:p>
      <w:pPr>
        <w:pStyle w:val="BodyText"/>
        <w:spacing w:line="438" w:lineRule="auto"/>
      </w:pPr>
    </w:p>
    <w:p>
      <w:pPr>
        <w:spacing w:before="1" w:line="2247" w:lineRule="exact"/>
        <w:ind w:left="6100"/>
      </w:pPr>
      <w:r>
        <w:rPr>
          <w:position w:val="-45"/>
        </w:rPr>
        <w:drawing>
          <wp:inline distT="0" distB="0" distL="0" distR="0">
            <wp:extent cx="12700" cy="142684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  <w:sectPr>
          <w:headerReference w:type="default" r:id="rId16"/>
          <w:pgSz w:w="12240" w:h="15840"/>
          <w:pgMar w:top="1" w:right="0" w:bottom="0" w:left="0" w:header="0" w:footer="0" w:gutter="0"/>
          <w:pgNumType w:start="6"/>
          <w:cols w:space="708"/>
        </w:sectPr>
      </w:pPr>
    </w:p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before="70" w:line="194" w:lineRule="auto"/>
        <w:ind w:left="5902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 w:eastAsia="Trebuchet MS" w:hAnsi="Trebuchet MS" w:cs="Trebuchet MS"/>
          <w:color w:val="231F20"/>
          <w:spacing w:val="9"/>
          <w:sz w:val="24"/>
          <w:szCs w:val="24"/>
        </w:rPr>
        <w:t>4</w:t>
      </w:r>
    </w:p>
    <w:p>
      <w:pPr>
        <w:pStyle w:val="BodyText"/>
        <w:tabs>
          <w:tab w:val="left" w:pos="6420"/>
        </w:tabs>
        <w:spacing w:before="32" w:line="214" w:lineRule="exact"/>
        <w:ind w:left="5701"/>
      </w:pPr>
      <w:r>
        <w:rPr>
          <w:position w:val="-1"/>
          <w:u w:val="single" w:color="auto"/>
        </w:rPr>
        <w:tab/>
      </w:r>
    </w:p>
    <w:p>
      <w:pPr>
        <w:pStyle w:val="BodyText"/>
        <w:tabs>
          <w:tab w:val="left" w:pos="6332"/>
        </w:tabs>
        <w:spacing w:line="215" w:lineRule="exact"/>
        <w:ind w:left="5789"/>
      </w:pPr>
      <w:r>
        <w:rPr>
          <w:position w:val="-1"/>
          <w:u w:val="single" w:color="auto"/>
        </w:rPr>
        <w:tab/>
      </w:r>
    </w:p>
    <w:p>
      <w:pPr>
        <w:spacing w:line="215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https://d.book118.com/317164116160006025</w:t>
        </w:r>
      </w:hyperlink>
    </w:p>
    <w:p>
      <w:pPr>
        <w:spacing w:line="215" w:lineRule="exact"/>
      </w:pPr>
    </w:p>
    <w:sectPr>
      <w:headerReference w:type="default" r:id="rId18"/>
      <w:type w:val="nextPage"/>
      <w:pgSz w:w="12240" w:h="15840"/>
      <w:pgMar w:top="1" w:right="0" w:bottom="0" w:left="0" w:header="0" w:footer="0" w:gutter="0"/>
      <w:pgNumType w:start="7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710059377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0059377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26721741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21741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6.xml" /><Relationship Id="rId17" Type="http://schemas.openxmlformats.org/officeDocument/2006/relationships/hyperlink" Target="https://d.book118.com/317164116160006025" TargetMode="External" /><Relationship Id="rId18" Type="http://schemas.openxmlformats.org/officeDocument/2006/relationships/header" Target="head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2024-01-06T11:31:15Z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2024-01-06T13:34:28Z</vt:filetime>
  </property>
  <property fmtid="{D5CDD505-2E9C-101B-9397-08002B2CF9AE}" pid="3" name="CRO">
    <vt:lpwstr>wqlLaW5nc29mdCBQREYgdG8gV1BTIDkw</vt:lpwstr>
  </property>
</Properties>
</file>