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BN-TIB2导电复合陶瓷制品行业相关公司设立可行性研究报告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eastAsia="zh-CN"/>
          </w:rPr>
          <w:t>(一)、BN-TIB2导电复合陶瓷制品项目选址原则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_Toc26146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(五)、BN-TIB2导电复合陶瓷制品项目选址综合评价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_Toc6212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_Toc25438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(七)、BN-TIB2导电复合陶瓷制品项目建设必要性分析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_Toc7964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五、BN-TIB2导电复合陶瓷制品项目概况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(二)、BN-TIB2导电复合陶瓷制品项目提出的理由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(三)、BN-TIB2导电复合陶瓷制品项目选址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(六)、BN-TIB2导电复合陶瓷制品项目投资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(七)、BN-TIB2导电复合陶瓷制品项目进度规划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(九)、BN-TIB2导电复合陶瓷制品项目综合评价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_Toc8881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七、BN-TIB2导电复合陶瓷制品项目经济效益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(三)、BN-TIB2导电复合陶瓷制品项目盈利能力分析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(一)、BN-TIB2导电复合陶瓷制品项目背景分析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0" w:history="1">
        <w:r>
          <w:rPr>
            <w:rFonts w:ascii="仿宋" w:eastAsia="仿宋" w:hAnsi="仿宋" w:cs="仿宋" w:hint="eastAsia"/>
            <w:lang w:eastAsia="zh-CN"/>
          </w:rPr>
          <w:t>(二)、BN-TIB2导电复合陶瓷制品项目建设必要性分析</w:t>
        </w:r>
        <w:r>
          <w:tab/>
        </w:r>
        <w:r>
          <w:fldChar w:fldCharType="begin"/>
        </w:r>
        <w:r>
          <w:instrText xml:space="preserve"> PAGEREF _Toc24270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(五)、BN-TIB2导电复合陶瓷制品项目总投资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7" w:history="1">
        <w:r>
          <w:rPr>
            <w:rFonts w:ascii="仿宋" w:eastAsia="仿宋" w:hAnsi="仿宋" w:cs="仿宋" w:hint="eastAsia"/>
            <w:lang w:eastAsia="zh-CN"/>
          </w:rPr>
          <w:t>十、BN-TIB2导电复合陶瓷制品项目风险分析</w:t>
        </w:r>
        <w:r>
          <w:tab/>
        </w:r>
        <w:r>
          <w:fldChar w:fldCharType="begin"/>
        </w:r>
        <w:r>
          <w:instrText xml:space="preserve"> PAGEREF _Toc19047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(一)、BN-TIB2导电复合陶瓷制品项目风险分析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eastAsia="zh-CN"/>
          </w:rPr>
          <w:t>(二)、BN-TIB2导电复合陶瓷制品项目风险对策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(一)、社会责任BN-TIB2导电复合陶瓷制品项目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十三、BN-TIB2导电复合陶瓷制品项目总结分析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_Toc9184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_Toc501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83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13"/>
      <w:r>
        <w:rPr>
          <w:rFonts w:ascii="仿宋" w:eastAsia="仿宋" w:hAnsi="仿宋" w:cs="仿宋" w:hint="eastAsia"/>
          <w:lang w:eastAsia="zh-CN"/>
        </w:rPr>
        <w:t>(一)、BN-TIB2导电复合陶瓷制品项目选址原则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BN-TIB2导电复合陶瓷制品项目选址是决定工业BN-TIB2导电复合陶瓷制品项目成败的关键因素之一。根据现行政策，BN-TIB2导电复合陶瓷制品项目选址必须符合一系列要求，以确保城乡建设、环境保护和资源利用的协调。以下是一些关于BN-TIB2导电复合陶瓷制品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BN-TIB2导电复合陶瓷制品项目选址必须与当地城乡建设总体规划相一致。它应该符合工业BN-TIB2导电复合陶瓷制品项目占地使用规划的要求，并与大气污染防治、水资源和自然生态保护政策相协调。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避开特殊区域：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https://d.book118.com/317166145061006043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7166145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2024-02-03T23:08:00Z</dcterms:created>
  <dcterms:modified xsi:type="dcterms:W3CDTF">2024-02-03T23:08:40Z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6277E5E29FA84AEB9EED2E3CCC5F1F97_11</vt:lpwstr>
  </property>
  <property fmtid="{D5CDD505-2E9C-101B-9397-08002B2CF9AE}" pid="3" name="KSOProductBuildVer">
    <vt:lpwstr>2052-12.1.0.16250</vt:lpwstr>
  </property>
</Properties>
</file>