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原油加工量相关行业公司成立方案及可行性研究报告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_Toc3455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_Toc24117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三、原油加工量项目概况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" w:history="1">
        <w:r>
          <w:rPr>
            <w:rFonts w:ascii="仿宋" w:eastAsia="仿宋" w:hAnsi="仿宋" w:cs="仿宋" w:hint="eastAsia"/>
            <w:lang w:eastAsia="zh-CN"/>
          </w:rPr>
          <w:t>(二)、原油加工量项目提出的理由</w:t>
        </w:r>
        <w:r>
          <w:tab/>
        </w:r>
        <w:r>
          <w:fldChar w:fldCharType="begin"/>
        </w:r>
        <w:r>
          <w:instrText xml:space="preserve"> PAGEREF _Toc3268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(三)、原油加工量项目选址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_Toc12092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(六)、原油加工量项目投资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(七)、原油加工量项目进度规划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(九)、原油加工量项目综合评价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1" w:history="1">
        <w:r>
          <w:rPr>
            <w:rFonts w:ascii="仿宋" w:eastAsia="仿宋" w:hAnsi="仿宋" w:cs="仿宋" w:hint="eastAsia"/>
            <w:lang w:eastAsia="zh-CN"/>
          </w:rPr>
          <w:t>四、原油加工量筹建公司基本信息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六、原油加工量项目风险分析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(一)、原油加工量项目风险分析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5" w:history="1">
        <w:r>
          <w:rPr>
            <w:rFonts w:ascii="仿宋" w:eastAsia="仿宋" w:hAnsi="仿宋" w:cs="仿宋" w:hint="eastAsia"/>
            <w:lang w:eastAsia="zh-CN"/>
          </w:rPr>
          <w:t>(二)、原油加工量项目风险对策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_Toc15355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_Toc22956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(五)、原油加工量项目总投资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_Toc7737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_Toc10871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_Toc17205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十、原油加工量项目经济效益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_Toc7671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_Toc17582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(三)、原油加工量项目盈利能力分析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_Toc19251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_Toc20840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(一)、社会责任原油加工量项目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_Toc20939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_Toc32177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5" w:history="1">
        <w:r>
          <w:rPr>
            <w:rFonts w:ascii="仿宋" w:eastAsia="仿宋" w:hAnsi="仿宋" w:cs="仿宋" w:hint="eastAsia"/>
            <w:lang w:eastAsia="zh-CN"/>
          </w:rPr>
          <w:t>(二)、合作原油加工量项目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_Toc17081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0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41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一、原油加工量行业分析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原油加工量行业规模及增长性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原油加工量行业代表品牌及对应公司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https://d.book118.com/318004051141006031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8004051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2024-01-24T13:34:00Z</dcterms:created>
  <dcterms:modified xsi:type="dcterms:W3CDTF">2024-01-24T13:35:07Z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E768450583A548F08D7C72DC20AB7AE6_11</vt:lpwstr>
  </property>
  <property fmtid="{D5CDD505-2E9C-101B-9397-08002B2CF9AE}" pid="3" name="KSOProductBuildVer">
    <vt:lpwstr>2052-12.1.0.16120</vt:lpwstr>
  </property>
</Properties>
</file>