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54" w:lineRule="auto"/>
        <w:rPr>
          <w:rFonts w:ascii="Arial"/>
          <w:sz w:val="21"/>
        </w:rPr>
      </w:pPr>
    </w:p>
    <w:p>
      <w:pPr>
        <w:spacing w:before="101" w:line="222" w:lineRule="auto"/>
        <w:ind w:left="2594"/>
        <w:outlineLvl w:val="0"/>
        <w:rPr>
          <w:rFonts w:ascii="SimHei" w:eastAsia="SimHei" w:hAnsi="SimHei" w:cs="SimHei"/>
          <w:sz w:val="31"/>
          <w:szCs w:val="31"/>
        </w:rPr>
      </w:pPr>
      <w:bookmarkStart w:id="0" w:name="bookmark1"/>
      <w:bookmarkEnd w:id="0"/>
      <w:r>
        <w:rPr>
          <w:rFonts w:ascii="SimHei" w:eastAsia="SimHei" w:hAnsi="SimHei" w:cs="SimHei"/>
          <w:b/>
          <w:bCs/>
          <w:spacing w:val="-2"/>
          <w:sz w:val="31"/>
          <w:szCs w:val="31"/>
        </w:rPr>
        <w:t>高频电容损耗标准器校准规范</w:t>
      </w:r>
    </w:p>
    <w:p>
      <w:pPr>
        <w:spacing w:line="243" w:lineRule="auto"/>
        <w:rPr>
          <w:rFonts w:ascii="Arial"/>
          <w:sz w:val="21"/>
        </w:rPr>
      </w:pPr>
    </w:p>
    <w:p>
      <w:pPr>
        <w:spacing w:line="244" w:lineRule="auto"/>
        <w:rPr>
          <w:rFonts w:ascii="Arial"/>
          <w:sz w:val="21"/>
        </w:rPr>
      </w:pPr>
    </w:p>
    <w:p>
      <w:pPr>
        <w:spacing w:before="75" w:line="223" w:lineRule="auto"/>
        <w:ind w:left="13"/>
        <w:rPr>
          <w:rFonts w:ascii="SimHei" w:eastAsia="SimHei" w:hAnsi="SimHei" w:cs="SimHei"/>
          <w:sz w:val="23"/>
          <w:szCs w:val="23"/>
        </w:rPr>
      </w:pPr>
      <w:r>
        <w:rPr>
          <w:rFonts w:ascii="SimHei" w:eastAsia="SimHei" w:hAnsi="SimHei" w:cs="SimHei"/>
          <w:b/>
          <w:bCs/>
          <w:spacing w:val="-4"/>
          <w:sz w:val="23"/>
          <w:szCs w:val="23"/>
        </w:rPr>
        <w:t>1</w:t>
      </w:r>
      <w:r>
        <w:rPr>
          <w:rFonts w:ascii="SimHei" w:eastAsia="SimHei" w:hAnsi="SimHei" w:cs="SimHei"/>
          <w:spacing w:val="17"/>
          <w:sz w:val="23"/>
          <w:szCs w:val="23"/>
        </w:rPr>
        <w:t xml:space="preserve">  </w:t>
      </w:r>
      <w:r>
        <w:rPr>
          <w:rFonts w:ascii="SimHei" w:eastAsia="SimHei" w:hAnsi="SimHei" w:cs="SimHei"/>
          <w:b/>
          <w:bCs/>
          <w:spacing w:val="-4"/>
          <w:sz w:val="23"/>
          <w:szCs w:val="23"/>
        </w:rPr>
        <w:t>范围</w:t>
      </w:r>
    </w:p>
    <w:p>
      <w:pPr>
        <w:pStyle w:val="BodyText"/>
        <w:spacing w:before="284" w:line="250" w:lineRule="auto"/>
        <w:ind w:left="10" w:right="96" w:firstLine="459"/>
      </w:pPr>
      <w:r>
        <w:rPr>
          <w:spacing w:val="11"/>
        </w:rPr>
        <w:t xml:space="preserve">本规范适用于两端连接的高频电容损耗标准器的校准，不适用于四端对高频电容损 </w:t>
      </w:r>
      <w:r>
        <w:rPr>
          <w:spacing w:val="4"/>
        </w:rPr>
        <w:t>耗标准器的校准。</w:t>
      </w:r>
    </w:p>
    <w:p>
      <w:pPr>
        <w:spacing w:before="273" w:line="222" w:lineRule="auto"/>
        <w:ind w:left="13"/>
        <w:rPr>
          <w:rFonts w:ascii="SimHei" w:eastAsia="SimHei" w:hAnsi="SimHei" w:cs="SimHei"/>
          <w:sz w:val="23"/>
          <w:szCs w:val="23"/>
        </w:rPr>
      </w:pPr>
      <w:r>
        <w:rPr>
          <w:rFonts w:ascii="SimHei" w:eastAsia="SimHei" w:hAnsi="SimHei" w:cs="SimHei"/>
          <w:b/>
          <w:bCs/>
          <w:spacing w:val="-7"/>
          <w:sz w:val="23"/>
          <w:szCs w:val="23"/>
        </w:rPr>
        <w:t>2</w:t>
      </w:r>
      <w:r>
        <w:rPr>
          <w:rFonts w:ascii="SimHei" w:eastAsia="SimHei" w:hAnsi="SimHei" w:cs="SimHei"/>
          <w:spacing w:val="16"/>
          <w:sz w:val="23"/>
          <w:szCs w:val="23"/>
        </w:rPr>
        <w:t xml:space="preserve">  </w:t>
      </w:r>
      <w:r>
        <w:rPr>
          <w:rFonts w:ascii="SimHei" w:eastAsia="SimHei" w:hAnsi="SimHei" w:cs="SimHei"/>
          <w:b/>
          <w:bCs/>
          <w:spacing w:val="-7"/>
          <w:sz w:val="23"/>
          <w:szCs w:val="23"/>
        </w:rPr>
        <w:t>术语</w:t>
      </w:r>
    </w:p>
    <w:p>
      <w:pPr>
        <w:pStyle w:val="BodyText"/>
        <w:spacing w:before="239" w:line="212" w:lineRule="auto"/>
        <w:ind w:left="10"/>
        <w:rPr>
          <w:rFonts w:ascii="Times New Roman" w:eastAsia="Times New Roman" w:hAnsi="Times New Roman" w:cs="Times New Roman"/>
          <w:sz w:val="25"/>
          <w:szCs w:val="25"/>
        </w:rPr>
      </w:pPr>
      <w:r>
        <w:rPr>
          <w:spacing w:val="-4"/>
          <w:sz w:val="25"/>
          <w:szCs w:val="25"/>
        </w:rPr>
        <w:t>2.1</w:t>
      </w:r>
      <w:r>
        <w:rPr>
          <w:spacing w:val="115"/>
          <w:sz w:val="25"/>
          <w:szCs w:val="25"/>
        </w:rPr>
        <w:t xml:space="preserve"> </w:t>
      </w:r>
      <w:r>
        <w:rPr>
          <w:spacing w:val="-4"/>
          <w:sz w:val="25"/>
          <w:szCs w:val="25"/>
        </w:rPr>
        <w:t>电容损耗</w:t>
      </w:r>
      <w:r>
        <w:rPr>
          <w:spacing w:val="114"/>
          <w:sz w:val="25"/>
          <w:szCs w:val="25"/>
        </w:rPr>
        <w:t xml:space="preserve"> </w:t>
      </w:r>
      <w:r>
        <w:rPr>
          <w:rFonts w:ascii="Times New Roman" w:eastAsia="Times New Roman" w:hAnsi="Times New Roman" w:cs="Times New Roman"/>
          <w:spacing w:val="-4"/>
          <w:sz w:val="25"/>
          <w:szCs w:val="25"/>
        </w:rPr>
        <w:t>capacity</w:t>
      </w:r>
      <w:r>
        <w:rPr>
          <w:rFonts w:ascii="Times New Roman" w:eastAsia="Times New Roman" w:hAnsi="Times New Roman" w:cs="Times New Roman"/>
          <w:spacing w:val="32"/>
          <w:sz w:val="25"/>
          <w:szCs w:val="25"/>
        </w:rPr>
        <w:t xml:space="preserve"> </w:t>
      </w:r>
      <w:r>
        <w:rPr>
          <w:rFonts w:ascii="Times New Roman" w:eastAsia="Times New Roman" w:hAnsi="Times New Roman" w:cs="Times New Roman"/>
          <w:spacing w:val="-4"/>
          <w:sz w:val="25"/>
          <w:szCs w:val="25"/>
        </w:rPr>
        <w:t>dissipation</w:t>
      </w:r>
    </w:p>
    <w:p>
      <w:pPr>
        <w:pStyle w:val="BodyText"/>
        <w:spacing w:before="100" w:line="255" w:lineRule="auto"/>
        <w:ind w:left="10" w:right="143" w:firstLine="459"/>
      </w:pPr>
      <w:r>
        <w:rPr>
          <w:spacing w:val="18"/>
        </w:rPr>
        <w:t>又称为电容损耗因数、损耗值，是电容器的损耗角</w:t>
      </w:r>
      <w:r>
        <w:rPr>
          <w:spacing w:val="17"/>
        </w:rPr>
        <w:t>正切值，用</w:t>
      </w:r>
      <w:r>
        <w:rPr>
          <w:spacing w:val="-62"/>
        </w:rPr>
        <w:t xml:space="preserve"> </w:t>
      </w:r>
      <w:r>
        <w:rPr>
          <w:rFonts w:ascii="Times New Roman" w:eastAsia="Times New Roman" w:hAnsi="Times New Roman" w:cs="Times New Roman"/>
        </w:rPr>
        <w:t>tan</w:t>
      </w:r>
      <w:r>
        <w:rPr>
          <w:rFonts w:ascii="Times New Roman" w:eastAsia="Times New Roman" w:hAnsi="Times New Roman" w:cs="Times New Roman"/>
          <w:spacing w:val="17"/>
        </w:rPr>
        <w:t xml:space="preserve">ò  </w:t>
      </w:r>
      <w:r>
        <w:rPr>
          <w:spacing w:val="17"/>
        </w:rPr>
        <w:t>或符号</w:t>
      </w:r>
      <w:r>
        <w:rPr>
          <w:spacing w:val="-50"/>
        </w:rPr>
        <w:t xml:space="preserve"> </w:t>
      </w:r>
      <w:r>
        <w:rPr>
          <w:rFonts w:ascii="Times New Roman" w:eastAsia="Times New Roman" w:hAnsi="Times New Roman" w:cs="Times New Roman"/>
          <w:spacing w:val="17"/>
        </w:rPr>
        <w:t>D</w:t>
      </w:r>
      <w:r>
        <w:rPr>
          <w:rFonts w:ascii="Times New Roman" w:eastAsia="Times New Roman" w:hAnsi="Times New Roman" w:cs="Times New Roman"/>
          <w:spacing w:val="41"/>
        </w:rPr>
        <w:t xml:space="preserve"> </w:t>
      </w:r>
      <w:r>
        <w:rPr>
          <w:spacing w:val="17"/>
        </w:rPr>
        <w:t>表</w:t>
      </w:r>
      <w:r>
        <w:t xml:space="preserve"> </w:t>
      </w:r>
      <w:r>
        <w:rPr>
          <w:spacing w:val="2"/>
        </w:rPr>
        <w:t>示，无量纲。</w:t>
      </w:r>
    </w:p>
    <w:p>
      <w:pPr>
        <w:pStyle w:val="BodyText"/>
        <w:spacing w:before="48" w:line="212" w:lineRule="auto"/>
        <w:ind w:left="10"/>
        <w:rPr>
          <w:rFonts w:ascii="Times New Roman" w:eastAsia="Times New Roman" w:hAnsi="Times New Roman" w:cs="Times New Roman"/>
          <w:sz w:val="25"/>
          <w:szCs w:val="25"/>
        </w:rPr>
      </w:pPr>
      <w:r>
        <w:rPr>
          <w:spacing w:val="-3"/>
          <w:sz w:val="25"/>
          <w:szCs w:val="25"/>
        </w:rPr>
        <w:t xml:space="preserve">2.2  品质因数  </w:t>
      </w:r>
      <w:r>
        <w:rPr>
          <w:rFonts w:ascii="Times New Roman" w:eastAsia="Times New Roman" w:hAnsi="Times New Roman" w:cs="Times New Roman"/>
          <w:spacing w:val="-3"/>
          <w:sz w:val="25"/>
          <w:szCs w:val="25"/>
        </w:rPr>
        <w:t>quality</w:t>
      </w:r>
      <w:r>
        <w:rPr>
          <w:rFonts w:ascii="Times New Roman" w:eastAsia="Times New Roman" w:hAnsi="Times New Roman" w:cs="Times New Roman"/>
          <w:spacing w:val="57"/>
          <w:sz w:val="25"/>
          <w:szCs w:val="25"/>
        </w:rPr>
        <w:t xml:space="preserve"> </w:t>
      </w:r>
      <w:r>
        <w:rPr>
          <w:rFonts w:ascii="Times New Roman" w:eastAsia="Times New Roman" w:hAnsi="Times New Roman" w:cs="Times New Roman"/>
          <w:spacing w:val="-3"/>
          <w:sz w:val="25"/>
          <w:szCs w:val="25"/>
        </w:rPr>
        <w:t>factor</w:t>
      </w:r>
    </w:p>
    <w:p>
      <w:pPr>
        <w:pStyle w:val="BodyText"/>
        <w:spacing w:before="130" w:line="273" w:lineRule="auto"/>
        <w:ind w:left="10" w:firstLine="459"/>
        <w:jc w:val="both"/>
      </w:pPr>
      <w:r>
        <w:rPr>
          <w:spacing w:val="17"/>
        </w:rPr>
        <w:t xml:space="preserve">表征一个储能器件(如电感线圈、电容等)、谐振电路中所储能量同每周期损耗能 </w:t>
      </w:r>
      <w:r>
        <w:rPr>
          <w:spacing w:val="13"/>
        </w:rPr>
        <w:t>量之比的一种质量指标。电抗元件的品质因数等于它的电抗与其等效串联电阻的比值，</w:t>
      </w:r>
      <w:r>
        <w:rPr>
          <w:spacing w:val="10"/>
        </w:rPr>
        <w:t xml:space="preserve"> </w:t>
      </w:r>
      <w:r>
        <w:rPr>
          <w:spacing w:val="16"/>
        </w:rPr>
        <w:t>谐振回路的品质因数为谐振回路的特性阻抗与回路电阻的比值，均用符号</w:t>
      </w:r>
      <w:r>
        <w:rPr>
          <w:rFonts w:ascii="Times New Roman" w:eastAsia="Times New Roman" w:hAnsi="Times New Roman" w:cs="Times New Roman"/>
          <w:spacing w:val="16"/>
        </w:rPr>
        <w:t>Q</w:t>
      </w:r>
      <w:r>
        <w:rPr>
          <w:rFonts w:ascii="Times New Roman" w:eastAsia="Times New Roman" w:hAnsi="Times New Roman" w:cs="Times New Roman"/>
          <w:spacing w:val="45"/>
        </w:rPr>
        <w:t xml:space="preserve"> </w:t>
      </w:r>
      <w:r>
        <w:rPr>
          <w:spacing w:val="16"/>
        </w:rPr>
        <w:t>表示</w:t>
      </w:r>
      <w:r>
        <w:rPr>
          <w:spacing w:val="15"/>
        </w:rPr>
        <w:t>，无</w:t>
      </w:r>
      <w:r>
        <w:t xml:space="preserve">  </w:t>
      </w:r>
      <w:r>
        <w:rPr>
          <w:spacing w:val="-2"/>
        </w:rPr>
        <w:t>量纲。</w:t>
      </w:r>
    </w:p>
    <w:p>
      <w:pPr>
        <w:spacing w:before="265" w:line="221" w:lineRule="auto"/>
        <w:ind w:left="13"/>
        <w:rPr>
          <w:rFonts w:ascii="SimHei" w:eastAsia="SimHei" w:hAnsi="SimHei" w:cs="SimHei"/>
          <w:sz w:val="23"/>
          <w:szCs w:val="23"/>
        </w:rPr>
      </w:pPr>
      <w:r>
        <w:rPr>
          <w:rFonts w:ascii="SimHei" w:eastAsia="SimHei" w:hAnsi="SimHei" w:cs="SimHei"/>
          <w:b/>
          <w:bCs/>
          <w:spacing w:val="-7"/>
          <w:sz w:val="23"/>
          <w:szCs w:val="23"/>
        </w:rPr>
        <w:t>3</w:t>
      </w:r>
      <w:r>
        <w:rPr>
          <w:rFonts w:ascii="SimHei" w:eastAsia="SimHei" w:hAnsi="SimHei" w:cs="SimHei"/>
          <w:spacing w:val="12"/>
          <w:sz w:val="23"/>
          <w:szCs w:val="23"/>
        </w:rPr>
        <w:t xml:space="preserve">  </w:t>
      </w:r>
      <w:r>
        <w:rPr>
          <w:rFonts w:ascii="SimHei" w:eastAsia="SimHei" w:hAnsi="SimHei" w:cs="SimHei"/>
          <w:b/>
          <w:bCs/>
          <w:spacing w:val="-7"/>
          <w:sz w:val="23"/>
          <w:szCs w:val="23"/>
        </w:rPr>
        <w:t>概述</w:t>
      </w:r>
    </w:p>
    <w:p>
      <w:pPr>
        <w:pStyle w:val="BodyText"/>
        <w:spacing w:before="278" w:line="219" w:lineRule="auto"/>
        <w:ind w:left="470"/>
      </w:pPr>
      <w:r>
        <w:rPr>
          <w:spacing w:val="10"/>
        </w:rPr>
        <w:t>高频电容损耗标准器是用于检定或校准电容介质损耗仪的工作标准器。</w:t>
      </w:r>
    </w:p>
    <w:p>
      <w:pPr>
        <w:pStyle w:val="BodyText"/>
        <w:spacing w:before="107" w:line="254" w:lineRule="auto"/>
        <w:ind w:left="10" w:right="96" w:firstLine="459"/>
      </w:pPr>
      <w:r>
        <w:rPr>
          <w:spacing w:val="18"/>
        </w:rPr>
        <w:t>两端连接的高频电容损耗标准器由低损耗的固定空气介质(</w:t>
      </w:r>
      <w:r>
        <w:rPr>
          <w:spacing w:val="17"/>
        </w:rPr>
        <w:t>或云母介质)电容器与</w:t>
      </w:r>
      <w:r>
        <w:t xml:space="preserve"> </w:t>
      </w:r>
      <w:r>
        <w:rPr>
          <w:spacing w:val="13"/>
        </w:rPr>
        <w:t>高频电阻串联并外加屏蔽罩组成，其等效电路和基本参量如图1所示。</w:t>
      </w:r>
    </w:p>
    <w:p>
      <w:pPr>
        <w:pStyle w:val="BodyText"/>
        <w:spacing w:before="129" w:line="219" w:lineRule="auto"/>
        <w:ind w:left="5789"/>
      </w:pPr>
      <w:r>
        <w:drawing>
          <wp:anchor distT="0" distB="0" distL="0" distR="0" simplePos="0" relativeHeight="251658240" behindDoc="1" locked="0" layoutInCell="1" allowOverlap="1">
            <wp:simplePos x="0" y="0"/>
            <wp:positionH relativeFrom="column">
              <wp:posOffset>1663672</wp:posOffset>
            </wp:positionH>
            <wp:positionV relativeFrom="paragraph">
              <wp:posOffset>56879</wp:posOffset>
            </wp:positionV>
            <wp:extent cx="2305097" cy="86994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2305097" cy="869945"/>
                    </a:xfrm>
                    <a:prstGeom prst="rect">
                      <a:avLst/>
                    </a:prstGeom>
                  </pic:spPr>
                </pic:pic>
              </a:graphicData>
            </a:graphic>
          </wp:anchor>
        </w:drawing>
      </w:r>
      <w:r>
        <w:rPr>
          <w:spacing w:val="-17"/>
          <w:w w:val="91"/>
        </w:rPr>
        <w:t>大损耗端</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75" w:line="219" w:lineRule="auto"/>
        <w:ind w:left="2649"/>
      </w:pPr>
      <w:r>
        <w:rPr>
          <w:spacing w:val="-16"/>
        </w:rPr>
        <w:t>图1</w:t>
      </w:r>
      <w:r>
        <w:rPr>
          <w:spacing w:val="84"/>
        </w:rPr>
        <w:t xml:space="preserve"> </w:t>
      </w:r>
      <w:r>
        <w:rPr>
          <w:spacing w:val="-16"/>
        </w:rPr>
        <w:t>两端连接的电容损耗标准器等效电路</w:t>
      </w:r>
    </w:p>
    <w:p>
      <w:pPr>
        <w:pStyle w:val="BodyText"/>
        <w:spacing w:before="77" w:line="219" w:lineRule="auto"/>
        <w:ind w:left="470"/>
      </w:pPr>
      <w:r>
        <w:rPr>
          <w:spacing w:val="11"/>
        </w:rPr>
        <w:t>未串接高频电阻时的电容器固有损耗值</w:t>
      </w:r>
      <w:r>
        <w:t>tan</w:t>
      </w:r>
      <w:r>
        <w:rPr>
          <w:spacing w:val="11"/>
        </w:rPr>
        <w:t>ò</w:t>
      </w:r>
      <w:r>
        <w:rPr>
          <w:rFonts w:ascii="Calibri" w:eastAsia="Calibri" w:hAnsi="Calibri" w:cs="Calibri"/>
          <w:spacing w:val="11"/>
        </w:rPr>
        <w:t xml:space="preserve">₁ </w:t>
      </w:r>
      <w:r>
        <w:rPr>
          <w:spacing w:val="11"/>
        </w:rPr>
        <w:t>为高频电容</w:t>
      </w:r>
      <w:r>
        <w:rPr>
          <w:spacing w:val="10"/>
        </w:rPr>
        <w:t>损耗标准器的初损耗值。</w:t>
      </w:r>
    </w:p>
    <w:p>
      <w:pPr>
        <w:pStyle w:val="BodyText"/>
        <w:spacing w:before="97" w:line="219" w:lineRule="auto"/>
        <w:ind w:left="470"/>
      </w:pPr>
      <w:r>
        <w:rPr>
          <w:spacing w:val="18"/>
        </w:rPr>
        <w:t>串联高频电阻</w:t>
      </w:r>
      <w:r>
        <w:rPr>
          <w:spacing w:val="-55"/>
        </w:rPr>
        <w:t xml:space="preserve"> </w:t>
      </w:r>
      <w:r>
        <w:rPr>
          <w:rFonts w:ascii="Times New Roman" w:eastAsia="Times New Roman" w:hAnsi="Times New Roman" w:cs="Times New Roman"/>
          <w:spacing w:val="18"/>
        </w:rPr>
        <w:t>R</w:t>
      </w:r>
      <w:r>
        <w:rPr>
          <w:rFonts w:ascii="Times New Roman" w:eastAsia="Times New Roman" w:hAnsi="Times New Roman" w:cs="Times New Roman"/>
          <w:spacing w:val="31"/>
        </w:rPr>
        <w:t xml:space="preserve"> </w:t>
      </w:r>
      <w:r>
        <w:rPr>
          <w:spacing w:val="18"/>
        </w:rPr>
        <w:t>后，高频电容损耗标准器的损耗值</w:t>
      </w:r>
      <w:r>
        <w:rPr>
          <w:spacing w:val="-24"/>
        </w:rPr>
        <w:t xml:space="preserve"> </w:t>
      </w:r>
      <w:r>
        <w:rPr>
          <w:rFonts w:ascii="Times New Roman" w:eastAsia="Times New Roman" w:hAnsi="Times New Roman" w:cs="Times New Roman"/>
        </w:rPr>
        <w:t>tan</w:t>
      </w:r>
      <w:r>
        <w:rPr>
          <w:rFonts w:ascii="Times New Roman" w:eastAsia="Times New Roman" w:hAnsi="Times New Roman" w:cs="Times New Roman"/>
          <w:spacing w:val="18"/>
        </w:rPr>
        <w:t>ð₂</w:t>
      </w:r>
      <w:r>
        <w:rPr>
          <w:rFonts w:ascii="Times New Roman" w:eastAsia="Times New Roman" w:hAnsi="Times New Roman" w:cs="Times New Roman"/>
          <w:spacing w:val="20"/>
          <w:w w:val="101"/>
        </w:rPr>
        <w:t xml:space="preserve"> </w:t>
      </w:r>
      <w:r>
        <w:rPr>
          <w:spacing w:val="18"/>
        </w:rPr>
        <w:t>称为大损耗值，它由式</w:t>
      </w:r>
    </w:p>
    <w:sdt>
      <w:sdtPr>
        <w:rPr>
          <w:rFonts w:ascii="SimSun" w:eastAsia="SimSun" w:hAnsi="SimSun" w:cs="SimSun"/>
          <w:sz w:val="23"/>
          <w:szCs w:val="23"/>
        </w:rPr>
        <w:id w:val="1992294449"/>
        <w:docPartObj>
          <w:docPartGallery w:val="Table of Contents"/>
          <w:docPartUnique/>
        </w:docPartObj>
      </w:sdtPr>
      <w:sdtEndPr>
        <w:rPr>
          <w:rFonts w:ascii="SimSun" w:eastAsia="SimSun" w:hAnsi="SimSun" w:cs="SimSun"/>
          <w:sz w:val="23"/>
          <w:szCs w:val="23"/>
        </w:rPr>
      </w:sdtEndPr>
      <w:sdtContent>
        <w:p>
          <w:pPr>
            <w:pStyle w:val="BodyText"/>
            <w:spacing w:before="87" w:line="219" w:lineRule="auto"/>
            <w:ind w:left="10"/>
          </w:pPr>
          <w:r>
            <w:rPr>
              <w:spacing w:val="15"/>
            </w:rPr>
            <w:t>(1)算出：</w:t>
          </w:r>
        </w:p>
        <w:p>
          <w:pPr>
            <w:pStyle w:val="BodyText"/>
            <w:spacing w:before="81" w:line="224" w:lineRule="auto"/>
            <w:ind w:left="3579"/>
          </w:pPr>
          <w:r>
            <w:rPr>
              <w:rFonts w:ascii="Times New Roman" w:eastAsia="Times New Roman" w:hAnsi="Times New Roman" w:cs="Times New Roman"/>
              <w:spacing w:val="-1"/>
            </w:rPr>
            <w:t xml:space="preserve">tanò₂=tanò₁+wCR                                       </w:t>
          </w:r>
          <w:r>
            <w:rPr>
              <w:rFonts w:ascii="Times New Roman" w:eastAsia="Times New Roman" w:hAnsi="Times New Roman" w:cs="Times New Roman"/>
              <w:spacing w:val="-2"/>
            </w:rPr>
            <w:t xml:space="preserve">                         </w:t>
          </w:r>
          <w:r>
            <w:rPr>
              <w:spacing w:val="-2"/>
              <w:position w:val="2"/>
            </w:rPr>
            <w:t>(</w:t>
          </w:r>
          <w:hyperlink w:anchor="bookmark1" w:history="1">
            <w:r>
              <w:rPr>
                <w:spacing w:val="-2"/>
                <w:position w:val="2"/>
              </w:rPr>
              <w:t>1)</w:t>
            </w:r>
          </w:hyperlink>
        </w:p>
      </w:sdtContent>
    </w:sdt>
    <w:p>
      <w:pPr>
        <w:pStyle w:val="BodyText"/>
        <w:spacing w:before="105" w:line="220" w:lineRule="auto"/>
        <w:ind w:left="470"/>
        <w:sectPr>
          <w:headerReference w:type="default" r:id="rId5"/>
          <w:footerReference w:type="default" r:id="rId6"/>
          <w:pgSz w:w="11290" w:h="16610"/>
          <w:pgMar w:top="1569" w:right="884" w:bottom="985" w:left="1150" w:header="1242" w:footer="836" w:gutter="0"/>
          <w:cols w:space="708"/>
        </w:sectPr>
      </w:pPr>
      <w:r>
        <w:rPr>
          <w:spacing w:val="-2"/>
        </w:rPr>
        <w:t>式中：</w:t>
      </w:r>
    </w:p>
    <w:p>
      <w:pPr>
        <w:pStyle w:val="BodyText"/>
        <w:spacing w:before="60" w:line="212" w:lineRule="auto"/>
        <w:ind w:left="470"/>
        <w:rPr>
          <w:rFonts w:ascii="Times New Roman" w:eastAsia="Times New Roman" w:hAnsi="Times New Roman" w:cs="Times New Roman"/>
        </w:rPr>
      </w:pPr>
      <w:r>
        <w:rPr>
          <w:rFonts w:ascii="Times New Roman" w:eastAsia="Times New Roman" w:hAnsi="Times New Roman" w:cs="Times New Roman"/>
          <w:spacing w:val="-4"/>
        </w:rPr>
        <w:t>w——</w:t>
      </w:r>
      <w:r>
        <w:rPr>
          <w:spacing w:val="-4"/>
        </w:rPr>
        <w:t xml:space="preserve">工作角频率， </w:t>
      </w:r>
      <w:r>
        <w:rPr>
          <w:rFonts w:ascii="Times New Roman" w:eastAsia="Times New Roman" w:hAnsi="Times New Roman" w:cs="Times New Roman"/>
          <w:spacing w:val="-4"/>
        </w:rPr>
        <w:t>rad/s;</w:t>
      </w:r>
    </w:p>
    <w:p>
      <w:pPr>
        <w:pStyle w:val="BodyText"/>
        <w:spacing w:before="96" w:line="375" w:lineRule="exact"/>
        <w:ind w:left="470"/>
        <w:rPr>
          <w:rFonts w:ascii="Times New Roman" w:eastAsia="Times New Roman" w:hAnsi="Times New Roman" w:cs="Times New Roman"/>
        </w:rPr>
      </w:pPr>
      <w:r>
        <w:rPr>
          <w:rFonts w:ascii="Times New Roman" w:eastAsia="Times New Roman" w:hAnsi="Times New Roman" w:cs="Times New Roman"/>
          <w:spacing w:val="3"/>
          <w:position w:val="11"/>
        </w:rPr>
        <w:t>C——</w:t>
      </w:r>
      <w:r>
        <w:rPr>
          <w:rFonts w:ascii="Times New Roman" w:eastAsia="Times New Roman" w:hAnsi="Times New Roman" w:cs="Times New Roman"/>
          <w:spacing w:val="-2"/>
          <w:position w:val="11"/>
        </w:rPr>
        <w:t xml:space="preserve"> </w:t>
      </w:r>
      <w:r>
        <w:rPr>
          <w:spacing w:val="3"/>
          <w:position w:val="11"/>
        </w:rPr>
        <w:t>高频电容损耗标准器的电容值，</w:t>
      </w:r>
      <w:r>
        <w:rPr>
          <w:spacing w:val="-45"/>
          <w:position w:val="11"/>
        </w:rPr>
        <w:t xml:space="preserve"> </w:t>
      </w:r>
      <w:r>
        <w:rPr>
          <w:rFonts w:ascii="Times New Roman" w:eastAsia="Times New Roman" w:hAnsi="Times New Roman" w:cs="Times New Roman"/>
          <w:spacing w:val="3"/>
          <w:position w:val="11"/>
        </w:rPr>
        <w:t>F;</w:t>
      </w:r>
    </w:p>
    <w:p>
      <w:pPr>
        <w:pStyle w:val="BodyText"/>
        <w:spacing w:before="1" w:line="219" w:lineRule="auto"/>
        <w:ind w:left="470"/>
      </w:pPr>
      <w:r>
        <w:rPr>
          <w:rFonts w:ascii="Times New Roman" w:eastAsia="Times New Roman" w:hAnsi="Times New Roman" w:cs="Times New Roman"/>
          <w:spacing w:val="3"/>
        </w:rPr>
        <w:t xml:space="preserve">R—— </w:t>
      </w:r>
      <w:r>
        <w:rPr>
          <w:spacing w:val="3"/>
        </w:rPr>
        <w:t>高频电容损耗标准器的电阻值，Ω。</w:t>
      </w:r>
    </w:p>
    <w:p>
      <w:pPr>
        <w:spacing w:before="272" w:line="222" w:lineRule="auto"/>
        <w:ind w:left="12"/>
        <w:rPr>
          <w:rFonts w:ascii="SimHei" w:eastAsia="SimHei" w:hAnsi="SimHei" w:cs="SimHei"/>
          <w:sz w:val="23"/>
          <w:szCs w:val="23"/>
        </w:rPr>
      </w:pPr>
      <w:r>
        <w:rPr>
          <w:rFonts w:ascii="SimHei" w:eastAsia="SimHei" w:hAnsi="SimHei" w:cs="SimHei"/>
          <w:b/>
          <w:bCs/>
          <w:spacing w:val="1"/>
          <w:sz w:val="23"/>
          <w:szCs w:val="23"/>
        </w:rPr>
        <w:t>4</w:t>
      </w:r>
      <w:r>
        <w:rPr>
          <w:rFonts w:ascii="SimHei" w:eastAsia="SimHei" w:hAnsi="SimHei" w:cs="SimHei"/>
          <w:spacing w:val="12"/>
          <w:sz w:val="23"/>
          <w:szCs w:val="23"/>
        </w:rPr>
        <w:t xml:space="preserve">  </w:t>
      </w:r>
      <w:r>
        <w:rPr>
          <w:rFonts w:ascii="SimHei" w:eastAsia="SimHei" w:hAnsi="SimHei" w:cs="SimHei"/>
          <w:b/>
          <w:bCs/>
          <w:spacing w:val="1"/>
          <w:sz w:val="23"/>
          <w:szCs w:val="23"/>
        </w:rPr>
        <w:t>计量特性</w:t>
      </w:r>
    </w:p>
    <w:p>
      <w:pPr>
        <w:pStyle w:val="BodyText"/>
        <w:spacing w:before="258" w:line="219" w:lineRule="auto"/>
        <w:ind w:left="10"/>
        <w:rPr>
          <w:rFonts w:ascii="Times New Roman" w:eastAsia="Times New Roman" w:hAnsi="Times New Roman" w:cs="Times New Roman"/>
        </w:rPr>
      </w:pPr>
      <w:r>
        <w:rPr>
          <w:spacing w:val="2"/>
        </w:rPr>
        <w:t>4.1  初损耗值</w:t>
      </w:r>
      <w:r>
        <w:rPr>
          <w:spacing w:val="-26"/>
        </w:rPr>
        <w:t xml:space="preserve"> </w:t>
      </w:r>
      <w:r>
        <w:rPr>
          <w:rFonts w:ascii="Times New Roman" w:eastAsia="Times New Roman" w:hAnsi="Times New Roman" w:cs="Times New Roman"/>
        </w:rPr>
        <w:t>tan</w:t>
      </w:r>
      <w:r>
        <w:rPr>
          <w:rFonts w:ascii="Times New Roman" w:eastAsia="Times New Roman" w:hAnsi="Times New Roman" w:cs="Times New Roman"/>
          <w:spacing w:val="2"/>
        </w:rPr>
        <w:t>ò₁</w:t>
      </w:r>
    </w:p>
    <w:p>
      <w:pPr>
        <w:spacing w:line="219" w:lineRule="auto"/>
        <w:rPr>
          <w:rFonts w:ascii="Times New Roman" w:eastAsia="Times New Roman" w:hAnsi="Times New Roman" w:cs="Times New Roman"/>
        </w:rPr>
        <w:sectPr>
          <w:headerReference w:type="default" r:id="rId7"/>
          <w:footerReference w:type="default" r:id="rId8"/>
          <w:type w:val="nextPage"/>
          <w:pgSz w:w="11290" w:h="16610"/>
          <w:pgMar w:top="1569" w:right="884" w:bottom="985" w:left="1150" w:header="1242" w:footer="836" w:gutter="0"/>
          <w:pgNumType w:start="2"/>
          <w:cols w:space="708"/>
          <w:titlePg w:val="0"/>
        </w:sectPr>
      </w:pPr>
    </w:p>
    <w:p>
      <w:pPr>
        <w:spacing w:line="189" w:lineRule="exact"/>
      </w:pPr>
    </w:p>
    <w:p>
      <w:pPr>
        <w:spacing w:line="189" w:lineRule="exact"/>
        <w:sectPr>
          <w:headerReference w:type="default" r:id="rId9"/>
          <w:footerReference w:type="default" r:id="rId10"/>
          <w:pgSz w:w="11290" w:h="16610"/>
          <w:pgMar w:top="1529" w:right="1130" w:bottom="1062" w:left="909" w:header="1232" w:footer="903" w:gutter="0"/>
          <w:pgNumType w:start="3"/>
          <w:cols w:num="1" w:space="708" w:equalWidth="0">
            <w:col w:w="9251" w:space="0"/>
          </w:cols>
        </w:sectPr>
      </w:pPr>
    </w:p>
    <w:p>
      <w:pPr>
        <w:pStyle w:val="BodyText"/>
        <w:spacing w:before="51" w:line="220" w:lineRule="auto"/>
        <w:ind w:left="500"/>
        <w:rPr>
          <w:sz w:val="24"/>
          <w:szCs w:val="24"/>
        </w:rPr>
      </w:pPr>
      <w:r>
        <w:rPr>
          <w:spacing w:val="-7"/>
          <w:sz w:val="24"/>
          <w:szCs w:val="24"/>
        </w:rPr>
        <w:t>——空气电容器：</w:t>
      </w:r>
    </w:p>
    <w:p>
      <w:pPr>
        <w:pStyle w:val="BodyText"/>
        <w:spacing w:before="46" w:line="212" w:lineRule="auto"/>
        <w:ind w:left="1480"/>
        <w:rPr>
          <w:rFonts w:ascii="Times New Roman" w:eastAsia="Times New Roman" w:hAnsi="Times New Roman" w:cs="Times New Roman"/>
          <w:sz w:val="24"/>
          <w:szCs w:val="24"/>
        </w:rPr>
      </w:pPr>
      <w:r>
        <w:rPr>
          <w:sz w:val="24"/>
          <w:szCs w:val="24"/>
        </w:rPr>
        <w:t xml:space="preserve">标称值上限：0.5×10-4 </w:t>
      </w:r>
      <w:r>
        <w:rPr>
          <w:rFonts w:ascii="Times New Roman" w:eastAsia="Times New Roman" w:hAnsi="Times New Roman" w:cs="Times New Roman"/>
          <w:sz w:val="24"/>
          <w:szCs w:val="24"/>
        </w:rPr>
        <w:t>(f=1MHz,C≤3</w:t>
      </w:r>
      <w:r>
        <w:rPr>
          <w:rFonts w:ascii="Times New Roman" w:eastAsia="Times New Roman" w:hAnsi="Times New Roman" w:cs="Times New Roman"/>
          <w:spacing w:val="-1"/>
          <w:sz w:val="24"/>
          <w:szCs w:val="24"/>
        </w:rPr>
        <w:t>00</w:t>
      </w:r>
    </w:p>
    <w:p>
      <w:pPr>
        <w:pStyle w:val="BodyText"/>
        <w:spacing w:before="115" w:line="219" w:lineRule="auto"/>
        <w:ind w:right="33"/>
        <w:jc w:val="right"/>
        <w:rPr>
          <w:sz w:val="24"/>
          <w:szCs w:val="24"/>
        </w:rPr>
      </w:pPr>
      <w:r>
        <w:rPr>
          <w:spacing w:val="-1"/>
          <w:sz w:val="24"/>
          <w:szCs w:val="24"/>
        </w:rPr>
        <w:t>标称值上限：0.8×10-4 (f=0.3    MHz或</w:t>
      </w:r>
    </w:p>
    <w:p>
      <w:pPr>
        <w:pStyle w:val="BodyText"/>
        <w:spacing w:before="72" w:line="184" w:lineRule="auto"/>
        <w:ind w:left="500"/>
        <w:rPr>
          <w:sz w:val="24"/>
          <w:szCs w:val="24"/>
        </w:rPr>
      </w:pPr>
      <w:r>
        <w:rPr>
          <w:spacing w:val="-5"/>
          <w:sz w:val="24"/>
          <w:szCs w:val="24"/>
        </w:rPr>
        <w:t>——云母电容器：</w:t>
      </w:r>
    </w:p>
    <w:p>
      <w:pPr>
        <w:spacing w:line="14" w:lineRule="auto"/>
        <w:rPr>
          <w:rFonts w:ascii="Arial"/>
          <w:sz w:val="2"/>
        </w:rPr>
      </w:pPr>
      <w:r>
        <w:rPr>
          <w:rFonts w:ascii="Arial" w:eastAsia="Arial" w:hAnsi="Arial" w:cs="Arial"/>
          <w:sz w:val="2"/>
          <w:szCs w:val="2"/>
        </w:rPr>
        <w:br w:type="column"/>
      </w:r>
    </w:p>
    <w:p>
      <w:pPr>
        <w:spacing w:line="302" w:lineRule="auto"/>
        <w:rPr>
          <w:rFonts w:ascii="Arial"/>
          <w:sz w:val="21"/>
        </w:rPr>
      </w:pPr>
    </w:p>
    <w:p>
      <w:pPr>
        <w:pStyle w:val="BodyText"/>
        <w:spacing w:before="78" w:line="390" w:lineRule="exact"/>
        <w:ind w:left="644"/>
        <w:rPr>
          <w:sz w:val="24"/>
          <w:szCs w:val="24"/>
        </w:rPr>
      </w:pPr>
      <w:r>
        <w:rPr>
          <w:rFonts w:ascii="Times New Roman" w:eastAsia="Times New Roman" w:hAnsi="Times New Roman" w:cs="Times New Roman"/>
          <w:position w:val="11"/>
          <w:sz w:val="24"/>
          <w:szCs w:val="24"/>
        </w:rPr>
        <w:t>pF</w:t>
      </w:r>
      <w:r>
        <w:rPr>
          <w:rFonts w:ascii="Times New Roman" w:eastAsia="Times New Roman" w:hAnsi="Times New Roman" w:cs="Times New Roman"/>
          <w:spacing w:val="11"/>
          <w:position w:val="11"/>
          <w:sz w:val="24"/>
          <w:szCs w:val="24"/>
        </w:rPr>
        <w:t xml:space="preserve"> </w:t>
      </w:r>
      <w:r>
        <w:rPr>
          <w:spacing w:val="11"/>
          <w:position w:val="11"/>
          <w:sz w:val="24"/>
          <w:szCs w:val="24"/>
        </w:rPr>
        <w:t>时)</w:t>
      </w:r>
    </w:p>
    <w:p>
      <w:pPr>
        <w:pStyle w:val="BodyText"/>
        <w:spacing w:line="216" w:lineRule="auto"/>
        <w:rPr>
          <w:sz w:val="24"/>
          <w:szCs w:val="24"/>
        </w:rPr>
      </w:pPr>
      <w:r>
        <w:rPr>
          <w:spacing w:val="2"/>
          <w:sz w:val="24"/>
          <w:szCs w:val="24"/>
        </w:rPr>
        <w:t>1</w:t>
      </w:r>
      <w:r>
        <w:rPr>
          <w:sz w:val="24"/>
          <w:szCs w:val="24"/>
        </w:rPr>
        <w:t>MHz</w:t>
      </w:r>
      <w:r>
        <w:rPr>
          <w:spacing w:val="2"/>
          <w:sz w:val="24"/>
          <w:szCs w:val="24"/>
        </w:rPr>
        <w:t>,C≥1000</w:t>
      </w:r>
    </w:p>
    <w:p>
      <w:pPr>
        <w:spacing w:line="14" w:lineRule="auto"/>
        <w:rPr>
          <w:rFonts w:ascii="Arial"/>
          <w:sz w:val="2"/>
        </w:rPr>
      </w:pPr>
      <w:r>
        <w:rPr>
          <w:rFonts w:ascii="Arial" w:eastAsia="Arial" w:hAnsi="Arial" w:cs="Arial"/>
          <w:sz w:val="2"/>
          <w:szCs w:val="2"/>
        </w:rPr>
        <w:br w:type="column"/>
      </w:r>
    </w:p>
    <w:p>
      <w:pPr>
        <w:spacing w:line="345" w:lineRule="auto"/>
        <w:rPr>
          <w:rFonts w:ascii="Arial"/>
          <w:sz w:val="21"/>
        </w:rPr>
      </w:pPr>
    </w:p>
    <w:p>
      <w:pPr>
        <w:spacing w:line="345" w:lineRule="auto"/>
        <w:rPr>
          <w:rFonts w:ascii="Arial"/>
          <w:sz w:val="21"/>
        </w:rPr>
      </w:pPr>
    </w:p>
    <w:p>
      <w:pPr>
        <w:pStyle w:val="BodyText"/>
        <w:spacing w:before="78" w:line="214" w:lineRule="auto"/>
        <w:rPr>
          <w:sz w:val="24"/>
          <w:szCs w:val="24"/>
        </w:rPr>
      </w:pPr>
      <w:r>
        <w:rPr>
          <w:sz w:val="24"/>
          <w:szCs w:val="24"/>
        </w:rPr>
        <w:t>pF</w:t>
      </w:r>
      <w:r>
        <w:rPr>
          <w:spacing w:val="25"/>
          <w:sz w:val="24"/>
          <w:szCs w:val="24"/>
        </w:rPr>
        <w:t>时)</w:t>
      </w:r>
    </w:p>
    <w:p>
      <w:pPr>
        <w:spacing w:line="214" w:lineRule="auto"/>
        <w:rPr>
          <w:sz w:val="24"/>
          <w:szCs w:val="24"/>
        </w:rPr>
        <w:sectPr>
          <w:headerReference w:type="default" r:id="rId11"/>
          <w:footerReference w:type="default" r:id="rId12"/>
          <w:type w:val="continuous"/>
          <w:pgSz w:w="11290" w:h="16610"/>
          <w:pgMar w:top="1529" w:right="1130" w:bottom="1062" w:left="909" w:header="1232" w:footer="903" w:gutter="0"/>
          <w:pgNumType w:start="4"/>
          <w:cols w:num="3" w:space="708" w:equalWidth="0">
            <w:col w:w="5942" w:space="100"/>
            <w:col w:w="2100" w:space="100"/>
            <w:col w:w="1009" w:space="0"/>
          </w:cols>
        </w:sectPr>
      </w:pPr>
    </w:p>
    <w:p>
      <w:pPr>
        <w:pStyle w:val="BodyText"/>
        <w:spacing w:before="102" w:line="212" w:lineRule="auto"/>
        <w:ind w:left="1480"/>
        <w:rPr>
          <w:rFonts w:ascii="Times New Roman" w:eastAsia="Times New Roman" w:hAnsi="Times New Roman" w:cs="Times New Roman"/>
          <w:sz w:val="24"/>
          <w:szCs w:val="24"/>
        </w:rPr>
      </w:pPr>
      <w:r>
        <w:rPr>
          <w:spacing w:val="2"/>
          <w:sz w:val="24"/>
          <w:szCs w:val="24"/>
        </w:rPr>
        <w:t xml:space="preserve">标称值上限：3.0×10-4 </w:t>
      </w:r>
      <w:r>
        <w:rPr>
          <w:rFonts w:ascii="Times New Roman" w:eastAsia="Times New Roman" w:hAnsi="Times New Roman" w:cs="Times New Roman"/>
          <w:spacing w:val="2"/>
          <w:sz w:val="24"/>
          <w:szCs w:val="24"/>
        </w:rPr>
        <w:t>(f=0</w:t>
      </w:r>
      <w:r>
        <w:rPr>
          <w:rFonts w:ascii="Times New Roman" w:eastAsia="Times New Roman" w:hAnsi="Times New Roman" w:cs="Times New Roman"/>
          <w:spacing w:val="1"/>
          <w:sz w:val="24"/>
          <w:szCs w:val="24"/>
        </w:rPr>
        <w:t xml:space="preserve">.3       </w:t>
      </w:r>
      <w:r>
        <w:rPr>
          <w:rFonts w:ascii="Times New Roman" w:eastAsia="Times New Roman" w:hAnsi="Times New Roman" w:cs="Times New Roman"/>
          <w:sz w:val="24"/>
          <w:szCs w:val="24"/>
        </w:rPr>
        <w:t>MHz</w:t>
      </w:r>
      <w:r>
        <w:rPr>
          <w:spacing w:val="1"/>
          <w:sz w:val="24"/>
          <w:szCs w:val="24"/>
        </w:rPr>
        <w:t>或1</w:t>
      </w:r>
      <w:r>
        <w:rPr>
          <w:spacing w:val="26"/>
          <w:sz w:val="24"/>
          <w:szCs w:val="24"/>
        </w:rPr>
        <w:t xml:space="preserve"> </w:t>
      </w:r>
      <w:r>
        <w:rPr>
          <w:rFonts w:ascii="Times New Roman" w:eastAsia="Times New Roman" w:hAnsi="Times New Roman" w:cs="Times New Roman"/>
          <w:sz w:val="24"/>
          <w:szCs w:val="24"/>
        </w:rPr>
        <w:t>MHz</w:t>
      </w:r>
      <w:r>
        <w:rPr>
          <w:rFonts w:ascii="Times New Roman" w:eastAsia="Times New Roman" w:hAnsi="Times New Roman" w:cs="Times New Roman"/>
          <w:spacing w:val="1"/>
          <w:sz w:val="24"/>
          <w:szCs w:val="24"/>
        </w:rPr>
        <w:t>)</w:t>
      </w:r>
    </w:p>
    <w:p>
      <w:pPr>
        <w:pStyle w:val="BodyText"/>
        <w:spacing w:before="102" w:line="219" w:lineRule="auto"/>
        <w:rPr>
          <w:rFonts w:ascii="Times New Roman" w:eastAsia="Times New Roman" w:hAnsi="Times New Roman" w:cs="Times New Roman"/>
          <w:sz w:val="24"/>
          <w:szCs w:val="24"/>
        </w:rPr>
      </w:pPr>
      <w:r>
        <w:rPr>
          <w:spacing w:val="-1"/>
          <w:sz w:val="24"/>
          <w:szCs w:val="24"/>
        </w:rPr>
        <w:t>4.2</w:t>
      </w:r>
      <w:r>
        <w:rPr>
          <w:spacing w:val="13"/>
          <w:sz w:val="24"/>
          <w:szCs w:val="24"/>
        </w:rPr>
        <w:t xml:space="preserve">  </w:t>
      </w:r>
      <w:r>
        <w:rPr>
          <w:spacing w:val="-1"/>
          <w:sz w:val="24"/>
          <w:szCs w:val="24"/>
        </w:rPr>
        <w:t>大损耗值</w:t>
      </w:r>
      <w:r>
        <w:rPr>
          <w:spacing w:val="-58"/>
          <w:sz w:val="24"/>
          <w:szCs w:val="24"/>
        </w:rPr>
        <w:t xml:space="preserve"> </w:t>
      </w:r>
      <w:r>
        <w:rPr>
          <w:rFonts w:ascii="Times New Roman" w:eastAsia="Times New Roman" w:hAnsi="Times New Roman" w:cs="Times New Roman"/>
          <w:spacing w:val="-1"/>
          <w:sz w:val="24"/>
          <w:szCs w:val="24"/>
        </w:rPr>
        <w:t>tanò₂</w:t>
      </w:r>
    </w:p>
    <w:p>
      <w:pPr>
        <w:pStyle w:val="BodyText"/>
        <w:spacing w:before="85" w:line="219" w:lineRule="auto"/>
        <w:ind w:left="500"/>
        <w:rPr>
          <w:sz w:val="24"/>
          <w:szCs w:val="24"/>
        </w:rPr>
      </w:pPr>
      <w:r>
        <w:rPr>
          <w:spacing w:val="2"/>
          <w:sz w:val="24"/>
          <w:szCs w:val="24"/>
        </w:rPr>
        <w:t>标称值范围：5×10-4～25×10-4</w:t>
      </w:r>
    </w:p>
    <w:p>
      <w:pPr>
        <w:pStyle w:val="BodyText"/>
        <w:spacing w:before="58" w:line="212" w:lineRule="auto"/>
        <w:ind w:left="500"/>
        <w:rPr>
          <w:sz w:val="24"/>
          <w:szCs w:val="24"/>
        </w:rPr>
      </w:pPr>
      <w:r>
        <w:rPr>
          <w:spacing w:val="-3"/>
          <w:sz w:val="24"/>
          <w:szCs w:val="24"/>
        </w:rPr>
        <w:t>最大允许误差：±(1%×</w:t>
      </w:r>
      <w:r>
        <w:rPr>
          <w:spacing w:val="34"/>
          <w:sz w:val="24"/>
          <w:szCs w:val="24"/>
        </w:rPr>
        <w:t xml:space="preserve">  </w:t>
      </w:r>
      <w:r>
        <w:rPr>
          <w:rFonts w:ascii="Times New Roman" w:eastAsia="Times New Roman" w:hAnsi="Times New Roman" w:cs="Times New Roman"/>
          <w:spacing w:val="-3"/>
          <w:sz w:val="24"/>
          <w:szCs w:val="24"/>
        </w:rPr>
        <w:t>tanδ₂+0.5×10-4)</w:t>
      </w:r>
      <w:r>
        <w:rPr>
          <w:spacing w:val="-3"/>
          <w:sz w:val="24"/>
          <w:szCs w:val="24"/>
        </w:rPr>
        <w:t>。</w:t>
      </w:r>
    </w:p>
    <w:p>
      <w:pPr>
        <w:spacing w:before="278" w:line="222" w:lineRule="auto"/>
        <w:ind w:left="3"/>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115"/>
          <w:sz w:val="24"/>
          <w:szCs w:val="24"/>
        </w:rPr>
        <w:t xml:space="preserve"> </w:t>
      </w:r>
      <w:r>
        <w:rPr>
          <w:rFonts w:ascii="SimHei" w:eastAsia="SimHei" w:hAnsi="SimHei" w:cs="SimHei"/>
          <w:b/>
          <w:bCs/>
          <w:spacing w:val="-5"/>
          <w:sz w:val="24"/>
          <w:szCs w:val="24"/>
        </w:rPr>
        <w:t>校准条件</w:t>
      </w:r>
    </w:p>
    <w:p>
      <w:pPr>
        <w:pStyle w:val="BodyText"/>
        <w:spacing w:before="265" w:line="219" w:lineRule="auto"/>
        <w:rPr>
          <w:sz w:val="24"/>
          <w:szCs w:val="24"/>
        </w:rPr>
      </w:pPr>
      <w:r>
        <w:rPr>
          <w:spacing w:val="-4"/>
          <w:sz w:val="24"/>
          <w:szCs w:val="24"/>
        </w:rPr>
        <w:t>5.1</w:t>
      </w:r>
      <w:r>
        <w:rPr>
          <w:spacing w:val="110"/>
          <w:sz w:val="24"/>
          <w:szCs w:val="24"/>
        </w:rPr>
        <w:t xml:space="preserve"> </w:t>
      </w:r>
      <w:r>
        <w:rPr>
          <w:spacing w:val="-4"/>
          <w:sz w:val="24"/>
          <w:szCs w:val="24"/>
        </w:rPr>
        <w:t>环境条件</w:t>
      </w:r>
    </w:p>
    <w:p>
      <w:pPr>
        <w:pStyle w:val="BodyText"/>
        <w:spacing w:before="86" w:line="220" w:lineRule="auto"/>
        <w:ind w:left="3"/>
        <w:rPr>
          <w:sz w:val="24"/>
          <w:szCs w:val="24"/>
        </w:rPr>
      </w:pPr>
      <w:r>
        <w:rPr>
          <w:b/>
          <w:bCs/>
          <w:spacing w:val="-2"/>
          <w:sz w:val="24"/>
          <w:szCs w:val="24"/>
        </w:rPr>
        <w:t>5.1.1</w:t>
      </w:r>
      <w:r>
        <w:rPr>
          <w:spacing w:val="110"/>
          <w:sz w:val="24"/>
          <w:szCs w:val="24"/>
        </w:rPr>
        <w:t xml:space="preserve"> </w:t>
      </w:r>
      <w:r>
        <w:rPr>
          <w:spacing w:val="-2"/>
          <w:sz w:val="24"/>
          <w:szCs w:val="24"/>
        </w:rPr>
        <w:t>环境温度：(23±5)℃。</w:t>
      </w:r>
    </w:p>
    <w:p>
      <w:pPr>
        <w:pStyle w:val="BodyText"/>
        <w:spacing w:before="74" w:line="220" w:lineRule="auto"/>
        <w:ind w:left="3"/>
        <w:rPr>
          <w:sz w:val="24"/>
          <w:szCs w:val="24"/>
        </w:rPr>
      </w:pPr>
      <w:r>
        <w:rPr>
          <w:b/>
          <w:bCs/>
          <w:spacing w:val="-9"/>
          <w:sz w:val="24"/>
          <w:szCs w:val="24"/>
        </w:rPr>
        <w:t>5.1.2</w:t>
      </w:r>
      <w:r>
        <w:rPr>
          <w:spacing w:val="-9"/>
          <w:sz w:val="24"/>
          <w:szCs w:val="24"/>
        </w:rPr>
        <w:t xml:space="preserve">  环境相对湿度： </w:t>
      </w:r>
      <w:r>
        <w:rPr>
          <w:rFonts w:ascii="Arial" w:eastAsia="Arial" w:hAnsi="Arial" w:cs="Arial"/>
          <w:spacing w:val="-9"/>
          <w:sz w:val="24"/>
          <w:szCs w:val="24"/>
        </w:rPr>
        <w:t>≤70%</w:t>
      </w:r>
      <w:r>
        <w:rPr>
          <w:spacing w:val="-9"/>
          <w:sz w:val="24"/>
          <w:szCs w:val="24"/>
        </w:rPr>
        <w:t>。</w:t>
      </w:r>
    </w:p>
    <w:p>
      <w:pPr>
        <w:pStyle w:val="BodyText"/>
        <w:spacing w:before="46" w:line="212" w:lineRule="auto"/>
        <w:ind w:left="3"/>
        <w:rPr>
          <w:sz w:val="24"/>
          <w:szCs w:val="24"/>
        </w:rPr>
      </w:pPr>
      <w:r>
        <w:rPr>
          <w:b/>
          <w:bCs/>
          <w:sz w:val="24"/>
          <w:szCs w:val="24"/>
        </w:rPr>
        <w:t>5.1.3</w:t>
      </w:r>
      <w:r>
        <w:rPr>
          <w:spacing w:val="100"/>
          <w:sz w:val="24"/>
          <w:szCs w:val="24"/>
        </w:rPr>
        <w:t xml:space="preserve"> </w:t>
      </w:r>
      <w:r>
        <w:rPr>
          <w:sz w:val="24"/>
          <w:szCs w:val="24"/>
        </w:rPr>
        <w:t>交流电源电压：(220±11)</w:t>
      </w:r>
      <w:r>
        <w:rPr>
          <w:rFonts w:ascii="Times New Roman" w:eastAsia="Times New Roman" w:hAnsi="Times New Roman" w:cs="Times New Roman"/>
          <w:sz w:val="24"/>
          <w:szCs w:val="24"/>
        </w:rPr>
        <w:t>V;(50±1)Hz</w:t>
      </w:r>
      <w:r>
        <w:rPr>
          <w:sz w:val="24"/>
          <w:szCs w:val="24"/>
        </w:rPr>
        <w:t>。</w:t>
      </w:r>
    </w:p>
    <w:p>
      <w:pPr>
        <w:pStyle w:val="BodyText"/>
        <w:spacing w:before="110" w:line="219" w:lineRule="auto"/>
        <w:ind w:left="3"/>
        <w:rPr>
          <w:sz w:val="24"/>
          <w:szCs w:val="24"/>
        </w:rPr>
      </w:pPr>
      <w:r>
        <w:rPr>
          <w:b/>
          <w:bCs/>
          <w:sz w:val="24"/>
          <w:szCs w:val="24"/>
        </w:rPr>
        <w:t>5.1.4</w:t>
      </w:r>
      <w:r>
        <w:rPr>
          <w:sz w:val="24"/>
          <w:szCs w:val="24"/>
        </w:rPr>
        <w:t xml:space="preserve">  周围无强电磁场干扰及无影响校准系统正常工作的机械振动和冲击。</w:t>
      </w:r>
    </w:p>
    <w:p>
      <w:pPr>
        <w:pStyle w:val="BodyText"/>
        <w:spacing w:before="77" w:line="220" w:lineRule="auto"/>
        <w:rPr>
          <w:sz w:val="24"/>
          <w:szCs w:val="24"/>
        </w:rPr>
      </w:pPr>
      <w:r>
        <w:rPr>
          <w:spacing w:val="-3"/>
          <w:sz w:val="24"/>
          <w:szCs w:val="24"/>
        </w:rPr>
        <w:t>5.2  测量标准及其他设备</w:t>
      </w:r>
    </w:p>
    <w:p>
      <w:pPr>
        <w:pStyle w:val="BodyText"/>
        <w:spacing w:before="51" w:line="212" w:lineRule="auto"/>
        <w:ind w:left="3"/>
        <w:rPr>
          <w:sz w:val="24"/>
          <w:szCs w:val="24"/>
        </w:rPr>
      </w:pPr>
      <w:r>
        <w:rPr>
          <w:b/>
          <w:bCs/>
          <w:spacing w:val="3"/>
          <w:sz w:val="24"/>
          <w:szCs w:val="24"/>
        </w:rPr>
        <w:t>5.2.1</w:t>
      </w:r>
      <w:r>
        <w:rPr>
          <w:spacing w:val="99"/>
          <w:sz w:val="24"/>
          <w:szCs w:val="24"/>
        </w:rPr>
        <w:t xml:space="preserve"> </w:t>
      </w:r>
      <w:r>
        <w:rPr>
          <w:spacing w:val="3"/>
          <w:sz w:val="24"/>
          <w:szCs w:val="24"/>
        </w:rPr>
        <w:t>高频</w:t>
      </w:r>
      <w:r>
        <w:rPr>
          <w:rFonts w:ascii="Times New Roman" w:eastAsia="Times New Roman" w:hAnsi="Times New Roman" w:cs="Times New Roman"/>
          <w:spacing w:val="3"/>
          <w:sz w:val="24"/>
          <w:szCs w:val="24"/>
        </w:rPr>
        <w:t xml:space="preserve">Q </w:t>
      </w:r>
      <w:r>
        <w:rPr>
          <w:spacing w:val="3"/>
          <w:sz w:val="24"/>
          <w:szCs w:val="24"/>
        </w:rPr>
        <w:t>表</w:t>
      </w:r>
    </w:p>
    <w:p>
      <w:pPr>
        <w:pStyle w:val="BodyText"/>
        <w:spacing w:before="91" w:line="379" w:lineRule="exact"/>
        <w:ind w:left="500"/>
        <w:rPr>
          <w:rFonts w:ascii="Times New Roman" w:eastAsia="Times New Roman" w:hAnsi="Times New Roman" w:cs="Times New Roman"/>
          <w:sz w:val="24"/>
          <w:szCs w:val="24"/>
        </w:rPr>
      </w:pPr>
      <w:r>
        <w:rPr>
          <w:spacing w:val="-3"/>
          <w:position w:val="10"/>
          <w:sz w:val="24"/>
          <w:szCs w:val="24"/>
        </w:rPr>
        <w:t xml:space="preserve">测量频率：22 </w:t>
      </w:r>
      <w:r>
        <w:rPr>
          <w:rFonts w:ascii="Times New Roman" w:eastAsia="Times New Roman" w:hAnsi="Times New Roman" w:cs="Times New Roman"/>
          <w:spacing w:val="-3"/>
          <w:position w:val="10"/>
          <w:sz w:val="24"/>
          <w:szCs w:val="24"/>
        </w:rPr>
        <w:t>kHz</w:t>
      </w:r>
      <w:r>
        <w:rPr>
          <w:spacing w:val="-3"/>
          <w:position w:val="10"/>
          <w:sz w:val="24"/>
          <w:szCs w:val="24"/>
        </w:rPr>
        <w:t>～</w:t>
      </w:r>
      <w:r>
        <w:rPr>
          <w:rFonts w:ascii="Times New Roman" w:eastAsia="Times New Roman" w:hAnsi="Times New Roman" w:cs="Times New Roman"/>
          <w:spacing w:val="-3"/>
          <w:position w:val="10"/>
          <w:sz w:val="24"/>
          <w:szCs w:val="24"/>
        </w:rPr>
        <w:t>50   MHz;</w:t>
      </w:r>
    </w:p>
    <w:p>
      <w:pPr>
        <w:pStyle w:val="BodyText"/>
        <w:spacing w:line="212" w:lineRule="auto"/>
        <w:ind w:left="500"/>
        <w:rPr>
          <w:sz w:val="24"/>
          <w:szCs w:val="24"/>
        </w:rPr>
      </w:pPr>
      <w:r>
        <w:rPr>
          <w:spacing w:val="-3"/>
          <w:sz w:val="24"/>
          <w:szCs w:val="24"/>
        </w:rPr>
        <w:t xml:space="preserve">调谐电容范围：25 </w:t>
      </w:r>
      <w:r>
        <w:rPr>
          <w:rFonts w:ascii="Times New Roman" w:eastAsia="Times New Roman" w:hAnsi="Times New Roman" w:cs="Times New Roman"/>
          <w:spacing w:val="-3"/>
          <w:sz w:val="24"/>
          <w:szCs w:val="24"/>
        </w:rPr>
        <w:t>pF</w:t>
      </w:r>
      <w:r>
        <w:rPr>
          <w:spacing w:val="-3"/>
          <w:sz w:val="24"/>
          <w:szCs w:val="24"/>
        </w:rPr>
        <w:t>～</w:t>
      </w:r>
      <w:r>
        <w:rPr>
          <w:rFonts w:ascii="Times New Roman" w:eastAsia="Times New Roman" w:hAnsi="Times New Roman" w:cs="Times New Roman"/>
          <w:spacing w:val="-3"/>
          <w:sz w:val="24"/>
          <w:szCs w:val="24"/>
        </w:rPr>
        <w:t>470</w:t>
      </w:r>
      <w:r>
        <w:rPr>
          <w:rFonts w:ascii="Times New Roman" w:eastAsia="Times New Roman" w:hAnsi="Times New Roman" w:cs="Times New Roman"/>
          <w:spacing w:val="63"/>
          <w:w w:val="101"/>
          <w:sz w:val="24"/>
          <w:szCs w:val="24"/>
        </w:rPr>
        <w:t xml:space="preserve"> </w:t>
      </w:r>
      <w:r>
        <w:rPr>
          <w:rFonts w:ascii="Times New Roman" w:eastAsia="Times New Roman" w:hAnsi="Times New Roman" w:cs="Times New Roman"/>
          <w:spacing w:val="-3"/>
          <w:sz w:val="24"/>
          <w:szCs w:val="24"/>
        </w:rPr>
        <w:t>pF</w:t>
      </w:r>
      <w:r>
        <w:rPr>
          <w:spacing w:val="-3"/>
          <w:sz w:val="24"/>
          <w:szCs w:val="24"/>
        </w:rPr>
        <w:t>。</w:t>
      </w:r>
    </w:p>
    <w:p>
      <w:pPr>
        <w:pStyle w:val="BodyText"/>
        <w:spacing w:before="102" w:line="219" w:lineRule="auto"/>
        <w:ind w:left="3"/>
        <w:rPr>
          <w:sz w:val="24"/>
          <w:szCs w:val="24"/>
        </w:rPr>
      </w:pPr>
      <w:r>
        <w:rPr>
          <w:b/>
          <w:bCs/>
          <w:sz w:val="24"/>
          <w:szCs w:val="24"/>
        </w:rPr>
        <w:t>5.2.2</w:t>
      </w:r>
      <w:r>
        <w:rPr>
          <w:spacing w:val="114"/>
          <w:sz w:val="24"/>
          <w:szCs w:val="24"/>
        </w:rPr>
        <w:t xml:space="preserve"> </w:t>
      </w:r>
      <w:r>
        <w:rPr>
          <w:sz w:val="24"/>
          <w:szCs w:val="24"/>
        </w:rPr>
        <w:t>直流电压表或其他符合要求的设备</w:t>
      </w:r>
    </w:p>
    <w:p>
      <w:pPr>
        <w:pStyle w:val="BodyText"/>
        <w:spacing w:before="49" w:line="386" w:lineRule="exact"/>
        <w:ind w:left="500"/>
        <w:rPr>
          <w:rFonts w:ascii="Times New Roman" w:eastAsia="Times New Roman" w:hAnsi="Times New Roman" w:cs="Times New Roman"/>
          <w:sz w:val="24"/>
          <w:szCs w:val="24"/>
        </w:rPr>
      </w:pPr>
      <w:r>
        <w:rPr>
          <w:spacing w:val="-3"/>
          <w:position w:val="11"/>
          <w:sz w:val="24"/>
          <w:szCs w:val="24"/>
        </w:rPr>
        <w:t xml:space="preserve">测量范围：10 </w:t>
      </w:r>
      <w:r>
        <w:rPr>
          <w:rFonts w:ascii="Times New Roman" w:eastAsia="Times New Roman" w:hAnsi="Times New Roman" w:cs="Times New Roman"/>
          <w:spacing w:val="-3"/>
          <w:position w:val="11"/>
          <w:sz w:val="24"/>
          <w:szCs w:val="24"/>
        </w:rPr>
        <w:t>mV</w:t>
      </w:r>
      <w:r>
        <w:rPr>
          <w:spacing w:val="-3"/>
          <w:position w:val="11"/>
          <w:sz w:val="24"/>
          <w:szCs w:val="24"/>
        </w:rPr>
        <w:t>～</w:t>
      </w:r>
      <w:r>
        <w:rPr>
          <w:rFonts w:ascii="Times New Roman" w:eastAsia="Times New Roman" w:hAnsi="Times New Roman" w:cs="Times New Roman"/>
          <w:spacing w:val="-3"/>
          <w:position w:val="11"/>
          <w:sz w:val="24"/>
          <w:szCs w:val="24"/>
        </w:rPr>
        <w:t>10  V;</w:t>
      </w:r>
    </w:p>
    <w:p>
      <w:pPr>
        <w:pStyle w:val="BodyText"/>
        <w:spacing w:line="219" w:lineRule="auto"/>
        <w:ind w:left="500"/>
        <w:rPr>
          <w:sz w:val="24"/>
          <w:szCs w:val="24"/>
        </w:rPr>
      </w:pPr>
      <w:r>
        <w:rPr>
          <w:spacing w:val="-4"/>
          <w:sz w:val="24"/>
          <w:szCs w:val="24"/>
        </w:rPr>
        <w:t>最大允许误差：</w:t>
      </w:r>
      <w:r>
        <w:rPr>
          <w:rFonts w:ascii="Times New Roman" w:eastAsia="Times New Roman" w:hAnsi="Times New Roman" w:cs="Times New Roman"/>
          <w:spacing w:val="-4"/>
          <w:sz w:val="24"/>
          <w:szCs w:val="24"/>
        </w:rPr>
        <w:t>±0.1%</w:t>
      </w:r>
      <w:r>
        <w:rPr>
          <w:spacing w:val="-4"/>
          <w:sz w:val="24"/>
          <w:szCs w:val="24"/>
        </w:rPr>
        <w:t>。</w:t>
      </w:r>
    </w:p>
    <w:p>
      <w:pPr>
        <w:pStyle w:val="BodyText"/>
        <w:spacing w:before="85" w:line="219" w:lineRule="auto"/>
        <w:rPr>
          <w:sz w:val="24"/>
          <w:szCs w:val="24"/>
        </w:rPr>
      </w:pPr>
      <w:r>
        <w:rPr>
          <w:sz w:val="24"/>
          <w:szCs w:val="24"/>
        </w:rPr>
        <w:t>5.2.3</w:t>
      </w:r>
      <w:r>
        <w:rPr>
          <w:spacing w:val="113"/>
          <w:sz w:val="24"/>
          <w:szCs w:val="24"/>
        </w:rPr>
        <w:t xml:space="preserve"> </w:t>
      </w:r>
      <w:r>
        <w:rPr>
          <w:rFonts w:ascii="Times New Roman" w:eastAsia="Times New Roman" w:hAnsi="Times New Roman" w:cs="Times New Roman"/>
          <w:sz w:val="24"/>
          <w:szCs w:val="24"/>
        </w:rPr>
        <w:t xml:space="preserve">LCR </w:t>
      </w:r>
      <w:r>
        <w:rPr>
          <w:sz w:val="24"/>
          <w:szCs w:val="24"/>
        </w:rPr>
        <w:t>表或其他符合要求的设备</w:t>
      </w:r>
    </w:p>
    <w:p>
      <w:pPr>
        <w:pStyle w:val="BodyText"/>
        <w:spacing w:before="49" w:line="351" w:lineRule="exact"/>
        <w:ind w:left="500"/>
        <w:rPr>
          <w:rFonts w:ascii="Times New Roman" w:eastAsia="Times New Roman" w:hAnsi="Times New Roman" w:cs="Times New Roman"/>
          <w:sz w:val="24"/>
          <w:szCs w:val="24"/>
        </w:rPr>
      </w:pPr>
      <w:r>
        <w:rPr>
          <w:spacing w:val="2"/>
          <w:position w:val="8"/>
          <w:sz w:val="24"/>
          <w:szCs w:val="24"/>
        </w:rPr>
        <w:t xml:space="preserve">频率范围：包含0.3 </w:t>
      </w:r>
      <w:r>
        <w:rPr>
          <w:rFonts w:ascii="Times New Roman" w:eastAsia="Times New Roman" w:hAnsi="Times New Roman" w:cs="Times New Roman"/>
          <w:position w:val="8"/>
          <w:sz w:val="24"/>
          <w:szCs w:val="24"/>
        </w:rPr>
        <w:t>MHz</w:t>
      </w:r>
      <w:r>
        <w:rPr>
          <w:rFonts w:ascii="Times New Roman" w:eastAsia="Times New Roman" w:hAnsi="Times New Roman" w:cs="Times New Roman"/>
          <w:spacing w:val="37"/>
          <w:w w:val="101"/>
          <w:position w:val="8"/>
          <w:sz w:val="24"/>
          <w:szCs w:val="24"/>
        </w:rPr>
        <w:t xml:space="preserve"> </w:t>
      </w:r>
      <w:r>
        <w:rPr>
          <w:spacing w:val="2"/>
          <w:position w:val="8"/>
          <w:sz w:val="24"/>
          <w:szCs w:val="24"/>
        </w:rPr>
        <w:t xml:space="preserve">和1.0 </w:t>
      </w:r>
      <w:r>
        <w:rPr>
          <w:rFonts w:ascii="Times New Roman" w:eastAsia="Times New Roman" w:hAnsi="Times New Roman" w:cs="Times New Roman"/>
          <w:position w:val="8"/>
          <w:sz w:val="24"/>
          <w:szCs w:val="24"/>
        </w:rPr>
        <w:t>MHz</w:t>
      </w:r>
      <w:r>
        <w:rPr>
          <w:rFonts w:ascii="Times New Roman" w:eastAsia="Times New Roman" w:hAnsi="Times New Roman" w:cs="Times New Roman"/>
          <w:spacing w:val="2"/>
          <w:position w:val="8"/>
          <w:sz w:val="24"/>
          <w:szCs w:val="24"/>
        </w:rPr>
        <w:t>;</w:t>
      </w:r>
    </w:p>
    <w:p>
      <w:pPr>
        <w:pStyle w:val="BodyText"/>
        <w:spacing w:line="212" w:lineRule="auto"/>
        <w:ind w:left="500"/>
        <w:rPr>
          <w:rFonts w:ascii="Times New Roman" w:eastAsia="Times New Roman" w:hAnsi="Times New Roman" w:cs="Times New Roman"/>
          <w:sz w:val="24"/>
          <w:szCs w:val="24"/>
        </w:rPr>
      </w:pPr>
      <w:r>
        <w:rPr>
          <w:spacing w:val="-3"/>
          <w:sz w:val="24"/>
          <w:szCs w:val="24"/>
        </w:rPr>
        <w:t>电容最大允许误差：</w:t>
      </w:r>
      <w:r>
        <w:rPr>
          <w:rFonts w:ascii="Times New Roman" w:eastAsia="Times New Roman" w:hAnsi="Times New Roman" w:cs="Times New Roman"/>
          <w:spacing w:val="-3"/>
          <w:sz w:val="24"/>
          <w:szCs w:val="24"/>
        </w:rPr>
        <w:t>±0.1%;</w:t>
      </w:r>
    </w:p>
    <w:p>
      <w:pPr>
        <w:pStyle w:val="BodyText"/>
        <w:spacing w:before="100" w:line="370" w:lineRule="exact"/>
        <w:ind w:left="500"/>
        <w:rPr>
          <w:sz w:val="24"/>
          <w:szCs w:val="24"/>
        </w:rPr>
      </w:pPr>
      <w:r>
        <w:rPr>
          <w:spacing w:val="-3"/>
          <w:position w:val="9"/>
          <w:sz w:val="24"/>
          <w:szCs w:val="24"/>
        </w:rPr>
        <w:t>电阻最大允许误差：</w:t>
      </w:r>
      <w:r>
        <w:rPr>
          <w:rFonts w:ascii="Times New Roman" w:eastAsia="Times New Roman" w:hAnsi="Times New Roman" w:cs="Times New Roman"/>
          <w:spacing w:val="-3"/>
          <w:position w:val="9"/>
          <w:sz w:val="24"/>
          <w:szCs w:val="24"/>
        </w:rPr>
        <w:t>±0.1%</w:t>
      </w:r>
      <w:r>
        <w:rPr>
          <w:spacing w:val="-3"/>
          <w:position w:val="9"/>
          <w:sz w:val="24"/>
          <w:szCs w:val="24"/>
        </w:rPr>
        <w:t>。</w:t>
      </w:r>
    </w:p>
    <w:p>
      <w:pPr>
        <w:pStyle w:val="BodyText"/>
        <w:spacing w:line="219" w:lineRule="auto"/>
        <w:rPr>
          <w:sz w:val="24"/>
          <w:szCs w:val="24"/>
        </w:rPr>
      </w:pPr>
      <w:r>
        <w:rPr>
          <w:spacing w:val="-3"/>
          <w:sz w:val="24"/>
          <w:szCs w:val="24"/>
        </w:rPr>
        <w:t>5.2.4</w:t>
      </w:r>
      <w:r>
        <w:rPr>
          <w:spacing w:val="120"/>
          <w:sz w:val="24"/>
          <w:szCs w:val="24"/>
        </w:rPr>
        <w:t xml:space="preserve"> </w:t>
      </w:r>
      <w:r>
        <w:rPr>
          <w:spacing w:val="-3"/>
          <w:sz w:val="24"/>
          <w:szCs w:val="24"/>
        </w:rPr>
        <w:t>频率计数器</w:t>
      </w:r>
    </w:p>
    <w:p>
      <w:pPr>
        <w:pStyle w:val="BodyText"/>
        <w:spacing w:before="59" w:line="212" w:lineRule="auto"/>
        <w:ind w:left="500"/>
        <w:rPr>
          <w:rFonts w:ascii="Times New Roman" w:eastAsia="Times New Roman" w:hAnsi="Times New Roman" w:cs="Times New Roman"/>
          <w:sz w:val="24"/>
          <w:szCs w:val="24"/>
        </w:rPr>
      </w:pPr>
      <w:r>
        <w:rPr>
          <w:spacing w:val="-3"/>
          <w:sz w:val="24"/>
          <w:szCs w:val="24"/>
        </w:rPr>
        <w:t xml:space="preserve">测量频率：22 </w:t>
      </w:r>
      <w:r>
        <w:rPr>
          <w:rFonts w:ascii="Times New Roman" w:eastAsia="Times New Roman" w:hAnsi="Times New Roman" w:cs="Times New Roman"/>
          <w:spacing w:val="-3"/>
          <w:sz w:val="24"/>
          <w:szCs w:val="24"/>
        </w:rPr>
        <w:t>kHz</w:t>
      </w:r>
      <w:r>
        <w:rPr>
          <w:spacing w:val="-3"/>
          <w:sz w:val="24"/>
          <w:szCs w:val="24"/>
        </w:rPr>
        <w:t>～</w:t>
      </w:r>
      <w:r>
        <w:rPr>
          <w:rFonts w:ascii="Times New Roman" w:eastAsia="Times New Roman" w:hAnsi="Times New Roman" w:cs="Times New Roman"/>
          <w:spacing w:val="-3"/>
          <w:sz w:val="24"/>
          <w:szCs w:val="24"/>
        </w:rPr>
        <w:t>50   MHz;</w:t>
      </w:r>
    </w:p>
    <w:p>
      <w:pPr>
        <w:pStyle w:val="BodyText"/>
        <w:spacing w:before="101" w:line="219" w:lineRule="auto"/>
        <w:ind w:left="500"/>
        <w:rPr>
          <w:sz w:val="24"/>
          <w:szCs w:val="24"/>
        </w:rPr>
      </w:pPr>
      <w:r>
        <w:rPr>
          <w:spacing w:val="-5"/>
          <w:sz w:val="24"/>
          <w:szCs w:val="24"/>
        </w:rPr>
        <w:t xml:space="preserve">频率偏差：±1 </w:t>
      </w:r>
      <w:r>
        <w:rPr>
          <w:rFonts w:ascii="Times New Roman" w:eastAsia="Times New Roman" w:hAnsi="Times New Roman" w:cs="Times New Roman"/>
          <w:spacing w:val="-5"/>
          <w:sz w:val="24"/>
          <w:szCs w:val="24"/>
        </w:rPr>
        <w:t>Hz</w:t>
      </w:r>
      <w:r>
        <w:rPr>
          <w:spacing w:val="-5"/>
          <w:sz w:val="24"/>
          <w:szCs w:val="24"/>
        </w:rPr>
        <w:t>。</w:t>
      </w:r>
    </w:p>
    <w:p>
      <w:pPr>
        <w:pStyle w:val="BodyText"/>
        <w:spacing w:before="66" w:line="220" w:lineRule="auto"/>
        <w:ind w:left="3"/>
        <w:rPr>
          <w:sz w:val="24"/>
          <w:szCs w:val="24"/>
        </w:rPr>
        <w:sectPr>
          <w:headerReference w:type="default" r:id="rId13"/>
          <w:footerReference w:type="default" r:id="rId14"/>
          <w:type w:val="continuous"/>
          <w:pgSz w:w="11290" w:h="16610"/>
          <w:pgMar w:top="1529" w:right="1130" w:bottom="1062" w:left="909" w:header="1232" w:footer="903" w:gutter="0"/>
          <w:pgNumType w:start="5"/>
          <w:cols w:num="1" w:space="708" w:equalWidth="0">
            <w:col w:w="9251" w:space="0"/>
          </w:cols>
        </w:sectPr>
      </w:pPr>
      <w:r>
        <w:rPr>
          <w:b/>
          <w:bCs/>
          <w:spacing w:val="-4"/>
          <w:sz w:val="24"/>
          <w:szCs w:val="24"/>
        </w:rPr>
        <w:t>5.2.5</w:t>
      </w:r>
      <w:r>
        <w:rPr>
          <w:spacing w:val="113"/>
          <w:sz w:val="24"/>
          <w:szCs w:val="24"/>
        </w:rPr>
        <w:t xml:space="preserve"> </w:t>
      </w:r>
      <w:r>
        <w:rPr>
          <w:spacing w:val="-4"/>
          <w:sz w:val="24"/>
          <w:szCs w:val="24"/>
        </w:rPr>
        <w:t>辅助线圈组</w:t>
      </w:r>
    </w:p>
    <w:p>
      <w:pPr>
        <w:pStyle w:val="BodyText"/>
        <w:spacing w:before="73" w:line="219" w:lineRule="auto"/>
        <w:ind w:left="500"/>
        <w:rPr>
          <w:sz w:val="24"/>
          <w:szCs w:val="24"/>
        </w:rPr>
      </w:pPr>
      <w:r>
        <w:rPr>
          <w:spacing w:val="-3"/>
          <w:sz w:val="24"/>
          <w:szCs w:val="24"/>
        </w:rPr>
        <w:t xml:space="preserve">频率范围：200 </w:t>
      </w:r>
      <w:r>
        <w:rPr>
          <w:rFonts w:ascii="Times New Roman" w:eastAsia="Times New Roman" w:hAnsi="Times New Roman" w:cs="Times New Roman"/>
          <w:spacing w:val="-3"/>
          <w:sz w:val="24"/>
          <w:szCs w:val="24"/>
        </w:rPr>
        <w:t>kHz</w:t>
      </w:r>
      <w:r>
        <w:rPr>
          <w:spacing w:val="-3"/>
          <w:sz w:val="24"/>
          <w:szCs w:val="24"/>
        </w:rPr>
        <w:t>～</w:t>
      </w:r>
      <w:r>
        <w:rPr>
          <w:rFonts w:ascii="Times New Roman" w:eastAsia="Times New Roman" w:hAnsi="Times New Roman" w:cs="Times New Roman"/>
          <w:spacing w:val="-3"/>
          <w:sz w:val="24"/>
          <w:szCs w:val="24"/>
        </w:rPr>
        <w:t>9.6</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3"/>
          <w:sz w:val="24"/>
          <w:szCs w:val="24"/>
        </w:rPr>
        <w:t>MHz</w:t>
      </w:r>
      <w:r>
        <w:rPr>
          <w:spacing w:val="-3"/>
          <w:sz w:val="24"/>
          <w:szCs w:val="24"/>
        </w:rPr>
        <w:t>。</w:t>
      </w:r>
    </w:p>
    <w:p>
      <w:pPr>
        <w:spacing w:before="250" w:line="221" w:lineRule="auto"/>
        <w:ind w:left="3"/>
        <w:rPr>
          <w:rFonts w:ascii="SimHei" w:eastAsia="SimHei" w:hAnsi="SimHei" w:cs="SimHei"/>
          <w:sz w:val="24"/>
          <w:szCs w:val="24"/>
        </w:rPr>
      </w:pPr>
      <w:r>
        <w:rPr>
          <w:rFonts w:ascii="SimHei" w:eastAsia="SimHei" w:hAnsi="SimHei" w:cs="SimHei"/>
          <w:b/>
          <w:bCs/>
          <w:spacing w:val="-5"/>
          <w:sz w:val="24"/>
          <w:szCs w:val="24"/>
        </w:rPr>
        <w:t>6</w:t>
      </w:r>
      <w:r>
        <w:rPr>
          <w:rFonts w:ascii="SimHei" w:eastAsia="SimHei" w:hAnsi="SimHei" w:cs="SimHei"/>
          <w:spacing w:val="127"/>
          <w:sz w:val="24"/>
          <w:szCs w:val="24"/>
        </w:rPr>
        <w:t xml:space="preserve"> </w:t>
      </w:r>
      <w:r>
        <w:rPr>
          <w:rFonts w:ascii="SimHei" w:eastAsia="SimHei" w:hAnsi="SimHei" w:cs="SimHei"/>
          <w:b/>
          <w:bCs/>
          <w:spacing w:val="-5"/>
          <w:sz w:val="24"/>
          <w:szCs w:val="24"/>
        </w:rPr>
        <w:t>校准项目和校准方法</w:t>
      </w:r>
    </w:p>
    <w:p>
      <w:pPr>
        <w:pStyle w:val="BodyText"/>
        <w:spacing w:before="259" w:line="220" w:lineRule="auto"/>
        <w:rPr>
          <w:sz w:val="24"/>
          <w:szCs w:val="24"/>
        </w:rPr>
      </w:pPr>
      <w:r>
        <w:rPr>
          <w:sz w:val="24"/>
          <w:szCs w:val="24"/>
        </w:rPr>
        <w:t>6.1</w:t>
      </w:r>
      <w:r>
        <w:rPr>
          <w:spacing w:val="104"/>
          <w:sz w:val="24"/>
          <w:szCs w:val="24"/>
        </w:rPr>
        <w:t xml:space="preserve"> </w:t>
      </w:r>
      <w:r>
        <w:rPr>
          <w:sz w:val="24"/>
          <w:szCs w:val="24"/>
        </w:rPr>
        <w:t>校准项目</w:t>
      </w:r>
    </w:p>
    <w:p>
      <w:pPr>
        <w:pStyle w:val="BodyText"/>
        <w:spacing w:before="73" w:line="219" w:lineRule="auto"/>
        <w:ind w:left="3"/>
        <w:rPr>
          <w:sz w:val="24"/>
          <w:szCs w:val="24"/>
        </w:rPr>
      </w:pPr>
      <w:r>
        <w:rPr>
          <w:b/>
          <w:bCs/>
          <w:spacing w:val="-3"/>
          <w:sz w:val="24"/>
          <w:szCs w:val="24"/>
        </w:rPr>
        <w:t>6.1.1</w:t>
      </w:r>
      <w:r>
        <w:rPr>
          <w:spacing w:val="102"/>
          <w:sz w:val="24"/>
          <w:szCs w:val="24"/>
        </w:rPr>
        <w:t xml:space="preserve"> </w:t>
      </w:r>
      <w:r>
        <w:rPr>
          <w:spacing w:val="-3"/>
          <w:sz w:val="24"/>
          <w:szCs w:val="24"/>
        </w:rPr>
        <w:t>外观和工作正常性检查。</w:t>
      </w:r>
    </w:p>
    <w:p>
      <w:pPr>
        <w:pStyle w:val="BodyText"/>
        <w:spacing w:before="78" w:line="212" w:lineRule="auto"/>
        <w:ind w:left="3"/>
        <w:rPr>
          <w:sz w:val="24"/>
          <w:szCs w:val="24"/>
        </w:rPr>
      </w:pPr>
      <w:r>
        <w:rPr>
          <w:b/>
          <w:bCs/>
          <w:spacing w:val="1"/>
          <w:sz w:val="24"/>
          <w:szCs w:val="24"/>
        </w:rPr>
        <w:t>6.1.2</w:t>
      </w:r>
      <w:r>
        <w:rPr>
          <w:spacing w:val="1"/>
          <w:sz w:val="24"/>
          <w:szCs w:val="24"/>
        </w:rPr>
        <w:t xml:space="preserve">  电容值不超过300 </w:t>
      </w:r>
      <w:r>
        <w:rPr>
          <w:rFonts w:ascii="Times New Roman" w:eastAsia="Times New Roman" w:hAnsi="Times New Roman" w:cs="Times New Roman"/>
          <w:sz w:val="24"/>
          <w:szCs w:val="24"/>
        </w:rPr>
        <w:t>pF</w:t>
      </w:r>
      <w:r>
        <w:rPr>
          <w:rFonts w:ascii="Times New Roman" w:eastAsia="Times New Roman" w:hAnsi="Times New Roman" w:cs="Times New Roman"/>
          <w:spacing w:val="1"/>
          <w:sz w:val="24"/>
          <w:szCs w:val="24"/>
        </w:rPr>
        <w:t xml:space="preserve"> </w:t>
      </w:r>
      <w:r>
        <w:rPr>
          <w:spacing w:val="1"/>
          <w:sz w:val="24"/>
          <w:szCs w:val="24"/>
        </w:rPr>
        <w:t>的高频电容损耗标准器的初</w:t>
      </w:r>
      <w:r>
        <w:rPr>
          <w:sz w:val="24"/>
          <w:szCs w:val="24"/>
        </w:rPr>
        <w:t>损耗值。</w:t>
      </w:r>
    </w:p>
    <w:p>
      <w:pPr>
        <w:pStyle w:val="BodyText"/>
        <w:spacing w:before="64" w:line="212" w:lineRule="auto"/>
        <w:ind w:left="3"/>
        <w:rPr>
          <w:sz w:val="24"/>
          <w:szCs w:val="24"/>
        </w:rPr>
      </w:pPr>
      <w:r>
        <w:rPr>
          <w:b/>
          <w:bCs/>
          <w:spacing w:val="-1"/>
          <w:sz w:val="24"/>
          <w:szCs w:val="24"/>
        </w:rPr>
        <w:t>6.1.3</w:t>
      </w:r>
      <w:r>
        <w:rPr>
          <w:spacing w:val="-1"/>
          <w:sz w:val="24"/>
          <w:szCs w:val="24"/>
        </w:rPr>
        <w:t xml:space="preserve">  电容值在300 </w:t>
      </w:r>
      <w:r>
        <w:rPr>
          <w:rFonts w:ascii="Times New Roman" w:eastAsia="Times New Roman" w:hAnsi="Times New Roman" w:cs="Times New Roman"/>
          <w:spacing w:val="-1"/>
          <w:sz w:val="24"/>
          <w:szCs w:val="24"/>
        </w:rPr>
        <w:t xml:space="preserve">pF  </w:t>
      </w:r>
      <w:r>
        <w:rPr>
          <w:spacing w:val="-1"/>
          <w:sz w:val="24"/>
          <w:szCs w:val="24"/>
        </w:rPr>
        <w:t>以上的高频电容损耗标准器的初损耗值。</w:t>
      </w:r>
    </w:p>
    <w:p>
      <w:pPr>
        <w:pStyle w:val="BodyText"/>
        <w:spacing w:before="92" w:line="184" w:lineRule="auto"/>
        <w:ind w:left="3"/>
        <w:rPr>
          <w:sz w:val="24"/>
          <w:szCs w:val="24"/>
        </w:rPr>
      </w:pPr>
      <w:r>
        <w:rPr>
          <w:b/>
          <w:bCs/>
          <w:spacing w:val="-4"/>
          <w:sz w:val="24"/>
          <w:szCs w:val="24"/>
        </w:rPr>
        <w:t>6.1.4</w:t>
      </w:r>
      <w:r>
        <w:rPr>
          <w:spacing w:val="104"/>
          <w:sz w:val="24"/>
          <w:szCs w:val="24"/>
        </w:rPr>
        <w:t xml:space="preserve"> </w:t>
      </w:r>
      <w:r>
        <w:rPr>
          <w:spacing w:val="-4"/>
          <w:sz w:val="24"/>
          <w:szCs w:val="24"/>
        </w:rPr>
        <w:t>大损耗值。</w:t>
      </w:r>
    </w:p>
    <w:p>
      <w:pPr>
        <w:spacing w:line="184" w:lineRule="auto"/>
        <w:rPr>
          <w:sz w:val="24"/>
          <w:szCs w:val="24"/>
        </w:rPr>
        <w:sectPr>
          <w:headerReference w:type="default" r:id="rId15"/>
          <w:footerReference w:type="default" r:id="rId16"/>
          <w:type w:val="nextPage"/>
          <w:pgSz w:w="11290" w:h="16610"/>
          <w:pgMar w:top="1529" w:right="1130" w:bottom="1062" w:left="909" w:header="1232" w:footer="903" w:gutter="0"/>
          <w:pgNumType w:start="6"/>
          <w:cols w:num="1" w:space="708" w:equalWidth="0">
            <w:col w:w="9251" w:space="0"/>
          </w:cols>
          <w:titlePg w:val="0"/>
        </w:sectPr>
      </w:pPr>
    </w:p>
    <w:p>
      <w:pPr>
        <w:pStyle w:val="BodyText"/>
        <w:spacing w:before="210" w:line="219" w:lineRule="auto"/>
        <w:ind w:left="19"/>
        <w:rPr>
          <w:sz w:val="24"/>
          <w:szCs w:val="24"/>
        </w:rPr>
      </w:pPr>
      <w:r>
        <w:rPr>
          <w:spacing w:val="1"/>
          <w:sz w:val="24"/>
          <w:szCs w:val="24"/>
        </w:rPr>
        <w:t>6.2</w:t>
      </w:r>
      <w:r>
        <w:rPr>
          <w:spacing w:val="4"/>
          <w:sz w:val="24"/>
          <w:szCs w:val="24"/>
        </w:rPr>
        <w:t xml:space="preserve">  </w:t>
      </w:r>
      <w:r>
        <w:rPr>
          <w:spacing w:val="1"/>
          <w:sz w:val="24"/>
          <w:szCs w:val="24"/>
        </w:rPr>
        <w:t>外观和工作正常性检查</w:t>
      </w:r>
    </w:p>
    <w:p>
      <w:pPr>
        <w:pStyle w:val="BodyText"/>
        <w:spacing w:before="104" w:line="340" w:lineRule="exact"/>
        <w:ind w:left="509"/>
        <w:rPr>
          <w:sz w:val="24"/>
          <w:szCs w:val="24"/>
        </w:rPr>
      </w:pPr>
      <w:r>
        <w:rPr>
          <w:spacing w:val="-1"/>
          <w:position w:val="7"/>
          <w:sz w:val="24"/>
          <w:szCs w:val="24"/>
        </w:rPr>
        <w:t>被校高频电容损耗标准器的外壳上应有下列标志：</w:t>
      </w:r>
    </w:p>
    <w:p>
      <w:pPr>
        <w:pStyle w:val="BodyText"/>
        <w:spacing w:line="219" w:lineRule="auto"/>
        <w:ind w:left="509"/>
        <w:rPr>
          <w:sz w:val="24"/>
          <w:szCs w:val="24"/>
        </w:rPr>
      </w:pPr>
      <w:r>
        <w:rPr>
          <w:spacing w:val="-3"/>
          <w:sz w:val="24"/>
          <w:szCs w:val="24"/>
        </w:rPr>
        <w:t>——产品名称及生产厂家；</w:t>
      </w:r>
    </w:p>
    <w:p>
      <w:pPr>
        <w:pStyle w:val="BodyText"/>
        <w:spacing w:before="85" w:line="219" w:lineRule="auto"/>
        <w:ind w:left="509"/>
        <w:rPr>
          <w:sz w:val="24"/>
          <w:szCs w:val="24"/>
        </w:rPr>
      </w:pPr>
      <w:r>
        <w:rPr>
          <w:spacing w:val="-4"/>
          <w:sz w:val="24"/>
          <w:szCs w:val="24"/>
        </w:rPr>
        <w:t>——型号及出厂编号。</w:t>
      </w:r>
    </w:p>
    <w:p>
      <w:pPr>
        <w:pStyle w:val="BodyText"/>
        <w:spacing w:before="93" w:line="219" w:lineRule="auto"/>
        <w:ind w:left="509"/>
        <w:rPr>
          <w:sz w:val="24"/>
          <w:szCs w:val="24"/>
        </w:rPr>
      </w:pPr>
      <w:r>
        <w:rPr>
          <w:spacing w:val="1"/>
          <w:sz w:val="24"/>
          <w:szCs w:val="24"/>
        </w:rPr>
        <w:t>以上各种标志应符合相关标准的规定，无影响正常工作的机械损伤</w:t>
      </w:r>
      <w:r>
        <w:rPr>
          <w:sz w:val="24"/>
          <w:szCs w:val="24"/>
        </w:rPr>
        <w:t>，无异常声响。</w:t>
      </w:r>
    </w:p>
    <w:p>
      <w:pPr>
        <w:pStyle w:val="BodyText"/>
        <w:spacing w:before="60" w:line="212" w:lineRule="auto"/>
        <w:ind w:left="19"/>
        <w:rPr>
          <w:sz w:val="24"/>
          <w:szCs w:val="24"/>
        </w:rPr>
      </w:pPr>
      <w:r>
        <w:rPr>
          <w:spacing w:val="3"/>
          <w:sz w:val="24"/>
          <w:szCs w:val="24"/>
        </w:rPr>
        <w:t xml:space="preserve">6.3  电容值不超过300 </w:t>
      </w:r>
      <w:r>
        <w:rPr>
          <w:rFonts w:ascii="Times New Roman" w:eastAsia="Times New Roman" w:hAnsi="Times New Roman" w:cs="Times New Roman"/>
          <w:sz w:val="24"/>
          <w:szCs w:val="24"/>
        </w:rPr>
        <w:t>pF</w:t>
      </w:r>
      <w:r>
        <w:rPr>
          <w:rFonts w:ascii="Times New Roman" w:eastAsia="Times New Roman" w:hAnsi="Times New Roman" w:cs="Times New Roman"/>
          <w:spacing w:val="3"/>
          <w:sz w:val="24"/>
          <w:szCs w:val="24"/>
        </w:rPr>
        <w:t xml:space="preserve"> </w:t>
      </w:r>
      <w:r>
        <w:rPr>
          <w:spacing w:val="3"/>
          <w:sz w:val="24"/>
          <w:szCs w:val="24"/>
        </w:rPr>
        <w:t>的高频电容损耗标准器的初损耗值</w:t>
      </w:r>
    </w:p>
    <w:p>
      <w:pPr>
        <w:pStyle w:val="BodyText"/>
        <w:spacing w:before="91" w:line="219" w:lineRule="auto"/>
        <w:ind w:left="19"/>
        <w:rPr>
          <w:sz w:val="24"/>
          <w:szCs w:val="24"/>
        </w:rPr>
      </w:pPr>
      <w:r>
        <w:rPr>
          <w:spacing w:val="7"/>
          <w:sz w:val="24"/>
          <w:szCs w:val="24"/>
        </w:rPr>
        <w:t>6.3.1</w:t>
      </w:r>
      <w:r>
        <w:rPr>
          <w:spacing w:val="104"/>
          <w:sz w:val="24"/>
          <w:szCs w:val="24"/>
        </w:rPr>
        <w:t xml:space="preserve"> </w:t>
      </w:r>
      <w:r>
        <w:rPr>
          <w:spacing w:val="7"/>
          <w:sz w:val="24"/>
          <w:szCs w:val="24"/>
        </w:rPr>
        <w:t>仪器连接如图2所示。</w:t>
      </w:r>
    </w:p>
    <w:p>
      <w:pPr>
        <w:pStyle w:val="BodyText"/>
        <w:spacing w:before="72" w:line="241" w:lineRule="auto"/>
        <w:ind w:left="19" w:right="51"/>
        <w:rPr>
          <w:sz w:val="24"/>
          <w:szCs w:val="24"/>
        </w:rPr>
      </w:pPr>
      <w:r>
        <w:rPr>
          <w:spacing w:val="3"/>
          <w:sz w:val="24"/>
          <w:szCs w:val="24"/>
        </w:rPr>
        <w:t>6.3.2</w:t>
      </w:r>
      <w:r>
        <w:rPr>
          <w:spacing w:val="115"/>
          <w:sz w:val="24"/>
          <w:szCs w:val="24"/>
        </w:rPr>
        <w:t xml:space="preserve"> </w:t>
      </w:r>
      <w:r>
        <w:rPr>
          <w:spacing w:val="3"/>
          <w:sz w:val="24"/>
          <w:szCs w:val="24"/>
        </w:rPr>
        <w:t>接通高频</w:t>
      </w:r>
      <w:r>
        <w:rPr>
          <w:spacing w:val="-69"/>
          <w:sz w:val="24"/>
          <w:szCs w:val="24"/>
        </w:rPr>
        <w:t xml:space="preserve"> </w:t>
      </w:r>
      <w:r>
        <w:rPr>
          <w:rFonts w:ascii="Times New Roman" w:eastAsia="Times New Roman" w:hAnsi="Times New Roman" w:cs="Times New Roman"/>
          <w:spacing w:val="3"/>
          <w:sz w:val="24"/>
          <w:szCs w:val="24"/>
        </w:rPr>
        <w:t xml:space="preserve">Q </w:t>
      </w:r>
      <w:r>
        <w:rPr>
          <w:spacing w:val="3"/>
          <w:sz w:val="24"/>
          <w:szCs w:val="24"/>
        </w:rPr>
        <w:t>表电源，根据被校高频电容损耗标准器的大小，选择合适的夹</w:t>
      </w:r>
      <w:r>
        <w:rPr>
          <w:spacing w:val="2"/>
          <w:sz w:val="24"/>
          <w:szCs w:val="24"/>
        </w:rPr>
        <w:t>具用</w:t>
      </w:r>
      <w:r>
        <w:rPr>
          <w:sz w:val="24"/>
          <w:szCs w:val="24"/>
        </w:rPr>
        <w:t xml:space="preserve"> </w:t>
      </w:r>
      <w:r>
        <w:rPr>
          <w:spacing w:val="1"/>
          <w:sz w:val="24"/>
          <w:szCs w:val="24"/>
        </w:rPr>
        <w:t>于连接高频</w:t>
      </w:r>
      <w:r>
        <w:rPr>
          <w:rFonts w:ascii="Times New Roman" w:eastAsia="Times New Roman" w:hAnsi="Times New Roman" w:cs="Times New Roman"/>
          <w:spacing w:val="1"/>
          <w:sz w:val="24"/>
          <w:szCs w:val="24"/>
        </w:rPr>
        <w:t xml:space="preserve">Q </w:t>
      </w:r>
      <w:r>
        <w:rPr>
          <w:spacing w:val="1"/>
          <w:sz w:val="24"/>
          <w:szCs w:val="24"/>
        </w:rPr>
        <w:t>表与被校高频电容损耗标准器。</w:t>
      </w:r>
    </w:p>
    <w:p>
      <w:pPr>
        <w:pStyle w:val="BodyText"/>
        <w:spacing w:before="93" w:line="261" w:lineRule="auto"/>
        <w:ind w:left="19" w:right="70"/>
        <w:rPr>
          <w:sz w:val="24"/>
          <w:szCs w:val="24"/>
        </w:rPr>
      </w:pPr>
      <w:r>
        <w:rPr>
          <w:spacing w:val="9"/>
          <w:sz w:val="24"/>
          <w:szCs w:val="24"/>
        </w:rPr>
        <w:t>6.3.3</w:t>
      </w:r>
      <w:r>
        <w:rPr>
          <w:spacing w:val="4"/>
          <w:sz w:val="24"/>
          <w:szCs w:val="24"/>
        </w:rPr>
        <w:t xml:space="preserve">  </w:t>
      </w:r>
      <w:r>
        <w:rPr>
          <w:spacing w:val="9"/>
          <w:sz w:val="24"/>
          <w:szCs w:val="24"/>
        </w:rPr>
        <w:t>调节高频</w:t>
      </w:r>
      <w:r>
        <w:rPr>
          <w:rFonts w:ascii="Times New Roman" w:eastAsia="Times New Roman" w:hAnsi="Times New Roman" w:cs="Times New Roman"/>
          <w:spacing w:val="9"/>
          <w:sz w:val="24"/>
          <w:szCs w:val="24"/>
        </w:rPr>
        <w:t>Q</w:t>
      </w:r>
      <w:r>
        <w:rPr>
          <w:rFonts w:ascii="Times New Roman" w:eastAsia="Times New Roman" w:hAnsi="Times New Roman" w:cs="Times New Roman"/>
          <w:spacing w:val="25"/>
          <w:w w:val="101"/>
          <w:sz w:val="24"/>
          <w:szCs w:val="24"/>
        </w:rPr>
        <w:t xml:space="preserve"> </w:t>
      </w:r>
      <w:r>
        <w:rPr>
          <w:spacing w:val="9"/>
          <w:sz w:val="24"/>
          <w:szCs w:val="24"/>
        </w:rPr>
        <w:t>表的频率(调节)旋钮，使频率监测端的频率计数器指示值与被校</w:t>
      </w:r>
      <w:r>
        <w:rPr>
          <w:sz w:val="24"/>
          <w:szCs w:val="24"/>
        </w:rPr>
        <w:t xml:space="preserve"> </w:t>
      </w:r>
      <w:r>
        <w:rPr>
          <w:spacing w:val="-1"/>
          <w:sz w:val="24"/>
          <w:szCs w:val="24"/>
        </w:rPr>
        <w:t>高频电容损耗标准器的标称频率一致。</w:t>
      </w:r>
    </w:p>
    <w:p>
      <w:pPr>
        <w:pStyle w:val="BodyText"/>
        <w:spacing w:before="52" w:line="267" w:lineRule="auto"/>
        <w:ind w:left="19" w:right="63"/>
        <w:rPr>
          <w:sz w:val="24"/>
          <w:szCs w:val="24"/>
        </w:rPr>
      </w:pPr>
      <w:r>
        <w:rPr>
          <w:spacing w:val="8"/>
          <w:sz w:val="24"/>
          <w:szCs w:val="24"/>
        </w:rPr>
        <w:t>6.3.4</w:t>
      </w:r>
      <w:r>
        <w:rPr>
          <w:spacing w:val="1"/>
          <w:sz w:val="24"/>
          <w:szCs w:val="24"/>
        </w:rPr>
        <w:t xml:space="preserve">  </w:t>
      </w:r>
      <w:r>
        <w:rPr>
          <w:spacing w:val="8"/>
          <w:sz w:val="24"/>
          <w:szCs w:val="24"/>
        </w:rPr>
        <w:t>将被校高频电容损耗标准器接入高频</w:t>
      </w:r>
      <w:r>
        <w:rPr>
          <w:spacing w:val="-59"/>
          <w:sz w:val="24"/>
          <w:szCs w:val="24"/>
        </w:rPr>
        <w:t xml:space="preserve"> </w:t>
      </w:r>
      <w:r>
        <w:rPr>
          <w:rFonts w:ascii="Times New Roman" w:eastAsia="Times New Roman" w:hAnsi="Times New Roman" w:cs="Times New Roman"/>
          <w:spacing w:val="8"/>
          <w:sz w:val="24"/>
          <w:szCs w:val="24"/>
        </w:rPr>
        <w:t>Q</w:t>
      </w:r>
      <w:r>
        <w:rPr>
          <w:rFonts w:ascii="Times New Roman" w:eastAsia="Times New Roman" w:hAnsi="Times New Roman" w:cs="Times New Roman"/>
          <w:spacing w:val="25"/>
          <w:sz w:val="24"/>
          <w:szCs w:val="24"/>
        </w:rPr>
        <w:t xml:space="preserve"> </w:t>
      </w:r>
      <w:r>
        <w:rPr>
          <w:spacing w:val="8"/>
          <w:sz w:val="24"/>
          <w:szCs w:val="24"/>
        </w:rPr>
        <w:t>表的电容端，选择合适的测量辅助线</w:t>
      </w:r>
      <w:r>
        <w:rPr>
          <w:sz w:val="24"/>
          <w:szCs w:val="24"/>
        </w:rPr>
        <w:t xml:space="preserve"> </w:t>
      </w:r>
      <w:r>
        <w:rPr>
          <w:spacing w:val="4"/>
          <w:sz w:val="24"/>
          <w:szCs w:val="24"/>
        </w:rPr>
        <w:t>圈，接入到高频</w:t>
      </w:r>
      <w:r>
        <w:rPr>
          <w:spacing w:val="-72"/>
          <w:sz w:val="24"/>
          <w:szCs w:val="24"/>
        </w:rPr>
        <w:t xml:space="preserve"> </w:t>
      </w:r>
      <w:r>
        <w:rPr>
          <w:spacing w:val="4"/>
          <w:sz w:val="24"/>
          <w:szCs w:val="24"/>
        </w:rPr>
        <w:t>Q 表的电感端。调节高频</w:t>
      </w:r>
      <w:r>
        <w:rPr>
          <w:spacing w:val="-59"/>
          <w:sz w:val="24"/>
          <w:szCs w:val="24"/>
        </w:rPr>
        <w:t xml:space="preserve"> </w:t>
      </w:r>
      <w:r>
        <w:rPr>
          <w:spacing w:val="4"/>
          <w:sz w:val="24"/>
          <w:szCs w:val="24"/>
        </w:rPr>
        <w:t>Q 表调谐电容，使被校高频电</w:t>
      </w:r>
      <w:r>
        <w:rPr>
          <w:spacing w:val="3"/>
          <w:sz w:val="24"/>
          <w:szCs w:val="24"/>
        </w:rPr>
        <w:t>容损耗标准器</w:t>
      </w:r>
      <w:r>
        <w:rPr>
          <w:sz w:val="24"/>
          <w:szCs w:val="24"/>
        </w:rPr>
        <w:t xml:space="preserve"> </w:t>
      </w:r>
      <w:r>
        <w:rPr>
          <w:spacing w:val="3"/>
          <w:sz w:val="24"/>
          <w:szCs w:val="24"/>
        </w:rPr>
        <w:t>与辅助线圈产生谐振，继续调节高频</w:t>
      </w:r>
      <w:r>
        <w:rPr>
          <w:spacing w:val="-65"/>
          <w:sz w:val="24"/>
          <w:szCs w:val="24"/>
        </w:rPr>
        <w:t xml:space="preserve"> </w:t>
      </w:r>
      <w:r>
        <w:rPr>
          <w:rFonts w:ascii="Times New Roman" w:eastAsia="Times New Roman" w:hAnsi="Times New Roman" w:cs="Times New Roman"/>
          <w:spacing w:val="3"/>
          <w:sz w:val="24"/>
          <w:szCs w:val="24"/>
        </w:rPr>
        <w:t>Q</w:t>
      </w:r>
      <w:r>
        <w:rPr>
          <w:rFonts w:ascii="Times New Roman" w:eastAsia="Times New Roman" w:hAnsi="Times New Roman" w:cs="Times New Roman"/>
          <w:spacing w:val="35"/>
          <w:w w:val="101"/>
          <w:sz w:val="24"/>
          <w:szCs w:val="24"/>
        </w:rPr>
        <w:t xml:space="preserve"> </w:t>
      </w:r>
      <w:r>
        <w:rPr>
          <w:spacing w:val="3"/>
          <w:sz w:val="24"/>
          <w:szCs w:val="24"/>
        </w:rPr>
        <w:t>表调谐电容，直到其</w:t>
      </w:r>
      <w:r>
        <w:rPr>
          <w:spacing w:val="-71"/>
          <w:sz w:val="24"/>
          <w:szCs w:val="24"/>
        </w:rPr>
        <w:t xml:space="preserve"> </w:t>
      </w:r>
      <w:r>
        <w:rPr>
          <w:rFonts w:ascii="Times New Roman" w:eastAsia="Times New Roman" w:hAnsi="Times New Roman" w:cs="Times New Roman"/>
          <w:spacing w:val="3"/>
          <w:sz w:val="24"/>
          <w:szCs w:val="24"/>
        </w:rPr>
        <w:t>Q</w:t>
      </w:r>
      <w:r>
        <w:rPr>
          <w:rFonts w:ascii="Times New Roman" w:eastAsia="Times New Roman" w:hAnsi="Times New Roman" w:cs="Times New Roman"/>
          <w:spacing w:val="25"/>
          <w:w w:val="101"/>
          <w:sz w:val="24"/>
          <w:szCs w:val="24"/>
        </w:rPr>
        <w:t xml:space="preserve"> </w:t>
      </w:r>
      <w:r>
        <w:rPr>
          <w:spacing w:val="3"/>
          <w:sz w:val="24"/>
          <w:szCs w:val="24"/>
        </w:rPr>
        <w:t>值表盘指针指示在刻度</w:t>
      </w:r>
      <w:r>
        <w:rPr>
          <w:sz w:val="24"/>
          <w:szCs w:val="24"/>
        </w:rPr>
        <w:t xml:space="preserve"> </w:t>
      </w:r>
      <w:r>
        <w:rPr>
          <w:spacing w:val="-3"/>
          <w:sz w:val="24"/>
          <w:szCs w:val="24"/>
        </w:rPr>
        <w:t>盘可能达到的最大整数刻度为止。</w:t>
      </w:r>
    </w:p>
    <w:p>
      <w:pPr>
        <w:pStyle w:val="BodyText"/>
        <w:spacing w:before="105" w:line="293" w:lineRule="auto"/>
        <w:ind w:left="819" w:right="45" w:hanging="349"/>
        <w:rPr>
          <w:rFonts w:ascii="FangSong" w:eastAsia="FangSong" w:hAnsi="FangSong" w:cs="FangSong"/>
          <w:sz w:val="19"/>
          <w:szCs w:val="19"/>
        </w:rPr>
      </w:pPr>
      <w:r>
        <w:rPr>
          <w:rFonts w:ascii="FangSong" w:eastAsia="FangSong" w:hAnsi="FangSong" w:cs="FangSong"/>
          <w:spacing w:val="20"/>
          <w:sz w:val="19"/>
          <w:szCs w:val="19"/>
        </w:rPr>
        <w:t>注：辅助线圈的选择原则是：在该辅助线圈下，谐振回路的调谐电容不能大于高频</w:t>
      </w:r>
      <w:r>
        <w:rPr>
          <w:rFonts w:ascii="FangSong" w:eastAsia="FangSong" w:hAnsi="FangSong" w:cs="FangSong"/>
          <w:spacing w:val="-39"/>
          <w:sz w:val="19"/>
          <w:szCs w:val="19"/>
        </w:rPr>
        <w:t xml:space="preserve"> </w:t>
      </w:r>
      <w:r>
        <w:rPr>
          <w:rFonts w:ascii="Times New Roman" w:eastAsia="Times New Roman" w:hAnsi="Times New Roman" w:cs="Times New Roman"/>
          <w:spacing w:val="20"/>
          <w:sz w:val="19"/>
          <w:szCs w:val="19"/>
        </w:rPr>
        <w:t>Q</w:t>
      </w:r>
      <w:r>
        <w:rPr>
          <w:rFonts w:ascii="Times New Roman" w:eastAsia="Times New Roman" w:hAnsi="Times New Roman" w:cs="Times New Roman"/>
          <w:spacing w:val="2"/>
          <w:sz w:val="19"/>
          <w:szCs w:val="19"/>
        </w:rPr>
        <w:t xml:space="preserve">  </w:t>
      </w:r>
      <w:r>
        <w:rPr>
          <w:rFonts w:ascii="FangSong" w:eastAsia="FangSong" w:hAnsi="FangSong" w:cs="FangSong"/>
          <w:spacing w:val="20"/>
          <w:sz w:val="19"/>
          <w:szCs w:val="19"/>
        </w:rPr>
        <w:t>表的最大</w:t>
      </w:r>
      <w:r>
        <w:rPr>
          <w:rFonts w:ascii="FangSong" w:eastAsia="FangSong" w:hAnsi="FangSong" w:cs="FangSong"/>
          <w:sz w:val="19"/>
          <w:szCs w:val="19"/>
        </w:rPr>
        <w:t xml:space="preserve"> </w:t>
      </w:r>
      <w:r>
        <w:rPr>
          <w:rFonts w:ascii="FangSong" w:eastAsia="FangSong" w:hAnsi="FangSong" w:cs="FangSong"/>
          <w:spacing w:val="22"/>
          <w:sz w:val="19"/>
          <w:szCs w:val="19"/>
        </w:rPr>
        <w:t>调谐电容值；并且能够通过调节高频</w:t>
      </w:r>
      <w:r>
        <w:rPr>
          <w:rFonts w:ascii="FangSong" w:eastAsia="FangSong" w:hAnsi="FangSong" w:cs="FangSong"/>
          <w:spacing w:val="-38"/>
          <w:sz w:val="19"/>
          <w:szCs w:val="19"/>
        </w:rPr>
        <w:t xml:space="preserve"> </w:t>
      </w:r>
      <w:r>
        <w:rPr>
          <w:spacing w:val="22"/>
          <w:sz w:val="19"/>
          <w:szCs w:val="19"/>
        </w:rPr>
        <w:t xml:space="preserve">Q </w:t>
      </w:r>
      <w:r>
        <w:rPr>
          <w:rFonts w:ascii="FangSong" w:eastAsia="FangSong" w:hAnsi="FangSong" w:cs="FangSong"/>
          <w:spacing w:val="22"/>
          <w:sz w:val="19"/>
          <w:szCs w:val="19"/>
        </w:rPr>
        <w:t>表的调谐电容，使接入被校高频电容损耗标准器的</w:t>
      </w:r>
      <w:r>
        <w:rPr>
          <w:rFonts w:ascii="FangSong" w:eastAsia="FangSong" w:hAnsi="FangSong" w:cs="FangSong"/>
          <w:sz w:val="19"/>
          <w:szCs w:val="19"/>
        </w:rPr>
        <w:t xml:space="preserve"> </w:t>
      </w:r>
      <w:r>
        <w:rPr>
          <w:rFonts w:ascii="FangSong" w:eastAsia="FangSong" w:hAnsi="FangSong" w:cs="FangSong"/>
          <w:spacing w:val="25"/>
          <w:sz w:val="19"/>
          <w:szCs w:val="19"/>
        </w:rPr>
        <w:t>高频</w:t>
      </w:r>
      <w:r>
        <w:rPr>
          <w:spacing w:val="25"/>
          <w:sz w:val="19"/>
          <w:szCs w:val="19"/>
        </w:rPr>
        <w:t xml:space="preserve">Q </w:t>
      </w:r>
      <w:r>
        <w:rPr>
          <w:rFonts w:ascii="FangSong" w:eastAsia="FangSong" w:hAnsi="FangSong" w:cs="FangSong"/>
          <w:spacing w:val="25"/>
          <w:sz w:val="19"/>
          <w:szCs w:val="19"/>
        </w:rPr>
        <w:t>表</w:t>
      </w:r>
      <w:r>
        <w:rPr>
          <w:rFonts w:ascii="FangSong" w:eastAsia="FangSong" w:hAnsi="FangSong" w:cs="FangSong"/>
          <w:spacing w:val="-19"/>
          <w:sz w:val="19"/>
          <w:szCs w:val="19"/>
        </w:rPr>
        <w:t xml:space="preserve"> </w:t>
      </w:r>
      <w:r>
        <w:rPr>
          <w:rFonts w:ascii="FangSong" w:eastAsia="FangSong" w:hAnsi="FangSong" w:cs="FangSong"/>
          <w:spacing w:val="25"/>
          <w:sz w:val="19"/>
          <w:szCs w:val="19"/>
        </w:rPr>
        <w:t>的</w:t>
      </w:r>
      <w:r>
        <w:rPr>
          <w:rFonts w:ascii="FangSong" w:eastAsia="FangSong" w:hAnsi="FangSong" w:cs="FangSong"/>
          <w:spacing w:val="-34"/>
          <w:sz w:val="19"/>
          <w:szCs w:val="19"/>
        </w:rPr>
        <w:t xml:space="preserve"> </w:t>
      </w:r>
      <w:r>
        <w:rPr>
          <w:spacing w:val="25"/>
          <w:sz w:val="19"/>
          <w:szCs w:val="19"/>
        </w:rPr>
        <w:t xml:space="preserve">Q </w:t>
      </w:r>
      <w:r>
        <w:rPr>
          <w:rFonts w:ascii="FangSong" w:eastAsia="FangSong" w:hAnsi="FangSong" w:cs="FangSong"/>
          <w:spacing w:val="25"/>
          <w:sz w:val="19"/>
          <w:szCs w:val="19"/>
        </w:rPr>
        <w:t>值指示盘明显向右摆动，即被校高频</w:t>
      </w:r>
      <w:r>
        <w:rPr>
          <w:rFonts w:ascii="FangSong" w:eastAsia="FangSong" w:hAnsi="FangSong" w:cs="FangSong"/>
          <w:spacing w:val="24"/>
          <w:sz w:val="19"/>
          <w:szCs w:val="19"/>
        </w:rPr>
        <w:t>电容损耗标准器与辅助线圈产生谐振</w:t>
      </w:r>
      <w:r>
        <w:rPr>
          <w:rFonts w:ascii="FangSong" w:eastAsia="FangSong" w:hAnsi="FangSong" w:cs="FangSong"/>
          <w:sz w:val="19"/>
          <w:szCs w:val="19"/>
        </w:rPr>
        <w:t xml:space="preserve"> </w:t>
      </w:r>
      <w:r>
        <w:rPr>
          <w:rFonts w:ascii="FangSong" w:eastAsia="FangSong" w:hAnsi="FangSong" w:cs="FangSong"/>
          <w:spacing w:val="8"/>
          <w:sz w:val="19"/>
          <w:szCs w:val="19"/>
        </w:rPr>
        <w:t>现象。</w:t>
      </w:r>
    </w:p>
    <w:p>
      <w:pPr>
        <w:pStyle w:val="BodyText"/>
        <w:spacing w:before="164" w:line="4510" w:lineRule="exact"/>
        <w:ind w:firstLine="1899"/>
      </w:pPr>
      <w:r>
        <w:rPr>
          <w:position w:val="-90"/>
        </w:rPr>
        <w:pict>
          <v:group id="_x0000_i1025" style="width:270.05pt;height:225.5pt;mso-position-horizontal-relative:char;mso-position-vertical-relative:line" coordorigin="0,0" coordsize="5400,451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400;height:4510;position:absolute" filled="f" stroked="f">
              <v:imagedata r:id="rId17" o:title=""/>
            </v:shape>
            <v:shapetype id="_x0000_t202" coordsize="21600,21600" o:spt="202" path="m,l,21600r21600,l21600,xe">
              <v:stroke joinstyle="miter"/>
              <v:path gradientshapeok="t" o:connecttype="rect"/>
            </v:shapetype>
            <v:shape id="_x0000_s1027" type="#_x0000_t202" style="width:929;height:4148;left:2229;position:absolute;top:179" filled="f" stroked="f">
              <o:lock v:ext="edit" aspectratio="f"/>
              <v:textbox inset="0,0,0,0">
                <w:txbxContent>
                  <w:p>
                    <w:pPr>
                      <w:spacing w:before="19" w:line="221" w:lineRule="auto"/>
                      <w:ind w:left="20"/>
                      <w:rPr>
                        <w:rFonts w:ascii="SimSun" w:eastAsia="SimSun" w:hAnsi="SimSun" w:cs="SimSun"/>
                        <w:sz w:val="19"/>
                        <w:szCs w:val="19"/>
                      </w:rPr>
                    </w:pPr>
                    <w:r>
                      <w:rPr>
                        <w:rFonts w:ascii="SimSun" w:eastAsia="SimSun" w:hAnsi="SimSun" w:cs="SimSun"/>
                        <w:spacing w:val="-10"/>
                        <w:sz w:val="19"/>
                        <w:szCs w:val="19"/>
                      </w:rPr>
                      <w:t>直流电压表</w:t>
                    </w:r>
                  </w:p>
                  <w:p>
                    <w:pPr>
                      <w:spacing w:line="298" w:lineRule="auto"/>
                      <w:rPr>
                        <w:rFonts w:ascii="Arial"/>
                        <w:sz w:val="21"/>
                      </w:rPr>
                    </w:pPr>
                  </w:p>
                  <w:p>
                    <w:pPr>
                      <w:spacing w:line="298" w:lineRule="auto"/>
                      <w:rPr>
                        <w:rFonts w:ascii="Arial"/>
                        <w:sz w:val="21"/>
                      </w:rPr>
                    </w:pPr>
                  </w:p>
                  <w:p>
                    <w:pPr>
                      <w:spacing w:before="62" w:line="220" w:lineRule="auto"/>
                      <w:ind w:left="20"/>
                      <w:rPr>
                        <w:rFonts w:ascii="SimSun" w:eastAsia="SimSun" w:hAnsi="SimSun" w:cs="SimSun"/>
                        <w:sz w:val="19"/>
                        <w:szCs w:val="19"/>
                      </w:rPr>
                    </w:pPr>
                    <w:r>
                      <w:rPr>
                        <w:rFonts w:ascii="SimSun" w:eastAsia="SimSun" w:hAnsi="SimSun" w:cs="SimSun"/>
                        <w:spacing w:val="-14"/>
                        <w:sz w:val="19"/>
                        <w:szCs w:val="19"/>
                      </w:rPr>
                      <w:t>电压分压器</w:t>
                    </w:r>
                  </w:p>
                  <w:p>
                    <w:pPr>
                      <w:spacing w:line="298" w:lineRule="auto"/>
                      <w:rPr>
                        <w:rFonts w:ascii="Arial"/>
                        <w:sz w:val="21"/>
                      </w:rPr>
                    </w:pPr>
                  </w:p>
                  <w:p>
                    <w:pPr>
                      <w:spacing w:line="298" w:lineRule="auto"/>
                      <w:rPr>
                        <w:rFonts w:ascii="Arial"/>
                        <w:sz w:val="21"/>
                      </w:rPr>
                    </w:pPr>
                  </w:p>
                  <w:p>
                    <w:pPr>
                      <w:spacing w:before="62" w:line="219" w:lineRule="auto"/>
                      <w:ind w:left="129"/>
                      <w:rPr>
                        <w:rFonts w:ascii="SimSun" w:eastAsia="SimSun" w:hAnsi="SimSun" w:cs="SimSun"/>
                        <w:sz w:val="19"/>
                        <w:szCs w:val="19"/>
                      </w:rPr>
                    </w:pPr>
                    <w:r>
                      <w:rPr>
                        <w:rFonts w:ascii="SimSun" w:eastAsia="SimSun" w:hAnsi="SimSun" w:cs="SimSun"/>
                        <w:spacing w:val="-10"/>
                        <w:sz w:val="19"/>
                        <w:szCs w:val="19"/>
                      </w:rPr>
                      <w:t>模拟输出</w:t>
                    </w:r>
                  </w:p>
                  <w:p>
                    <w:pPr>
                      <w:spacing w:line="333" w:lineRule="auto"/>
                      <w:rPr>
                        <w:rFonts w:ascii="Arial"/>
                        <w:sz w:val="21"/>
                      </w:rPr>
                    </w:pPr>
                  </w:p>
                  <w:p>
                    <w:pPr>
                      <w:spacing w:before="62" w:line="212" w:lineRule="auto"/>
                      <w:ind w:left="20"/>
                      <w:rPr>
                        <w:rFonts w:ascii="SimSun" w:eastAsia="SimSun" w:hAnsi="SimSun" w:cs="SimSun"/>
                        <w:sz w:val="19"/>
                        <w:szCs w:val="19"/>
                      </w:rPr>
                    </w:pPr>
                    <w:r>
                      <w:rPr>
                        <w:rFonts w:ascii="SimSun" w:eastAsia="SimSun" w:hAnsi="SimSun" w:cs="SimSun"/>
                        <w:spacing w:val="-7"/>
                        <w:sz w:val="19"/>
                        <w:szCs w:val="19"/>
                      </w:rPr>
                      <w:t>高频</w:t>
                    </w:r>
                    <w:r>
                      <w:rPr>
                        <w:rFonts w:ascii="Times New Roman" w:eastAsia="Times New Roman" w:hAnsi="Times New Roman" w:cs="Times New Roman"/>
                        <w:spacing w:val="-7"/>
                        <w:sz w:val="19"/>
                        <w:szCs w:val="19"/>
                      </w:rPr>
                      <w:t>Q</w:t>
                    </w:r>
                    <w:r>
                      <w:rPr>
                        <w:rFonts w:ascii="Times New Roman" w:eastAsia="Times New Roman" w:hAnsi="Times New Roman" w:cs="Times New Roman"/>
                        <w:spacing w:val="-8"/>
                        <w:sz w:val="19"/>
                        <w:szCs w:val="19"/>
                      </w:rPr>
                      <w:t xml:space="preserve"> </w:t>
                    </w:r>
                    <w:r>
                      <w:rPr>
                        <w:rFonts w:ascii="SimSun" w:eastAsia="SimSun" w:hAnsi="SimSun" w:cs="SimSun"/>
                        <w:spacing w:val="-7"/>
                        <w:sz w:val="19"/>
                        <w:szCs w:val="19"/>
                      </w:rPr>
                      <w:t>表</w:t>
                    </w:r>
                  </w:p>
                  <w:p>
                    <w:pPr>
                      <w:spacing w:line="375" w:lineRule="auto"/>
                      <w:rPr>
                        <w:rFonts w:ascii="Arial"/>
                        <w:sz w:val="21"/>
                      </w:rPr>
                    </w:pPr>
                  </w:p>
                  <w:p>
                    <w:pPr>
                      <w:spacing w:before="62" w:line="219" w:lineRule="auto"/>
                      <w:ind w:left="20"/>
                      <w:rPr>
                        <w:rFonts w:ascii="SimSun" w:eastAsia="SimSun" w:hAnsi="SimSun" w:cs="SimSun"/>
                        <w:sz w:val="19"/>
                        <w:szCs w:val="19"/>
                      </w:rPr>
                    </w:pPr>
                    <w:r>
                      <w:rPr>
                        <w:rFonts w:ascii="SimSun" w:eastAsia="SimSun" w:hAnsi="SimSun" w:cs="SimSun"/>
                        <w:spacing w:val="-9"/>
                        <w:sz w:val="19"/>
                        <w:szCs w:val="19"/>
                      </w:rPr>
                      <w:t>频率监测</w:t>
                    </w:r>
                  </w:p>
                  <w:p>
                    <w:pPr>
                      <w:spacing w:line="284" w:lineRule="auto"/>
                      <w:rPr>
                        <w:rFonts w:ascii="Arial"/>
                        <w:sz w:val="21"/>
                      </w:rPr>
                    </w:pPr>
                  </w:p>
                  <w:p>
                    <w:pPr>
                      <w:spacing w:line="285" w:lineRule="auto"/>
                      <w:rPr>
                        <w:rFonts w:ascii="Arial"/>
                        <w:sz w:val="21"/>
                      </w:rPr>
                    </w:pPr>
                  </w:p>
                  <w:p>
                    <w:pPr>
                      <w:spacing w:before="62" w:line="219" w:lineRule="auto"/>
                      <w:ind w:left="20"/>
                      <w:rPr>
                        <w:rFonts w:ascii="SimSun" w:eastAsia="SimSun" w:hAnsi="SimSun" w:cs="SimSun"/>
                        <w:sz w:val="19"/>
                        <w:szCs w:val="19"/>
                      </w:rPr>
                    </w:pPr>
                    <w:r>
                      <w:rPr>
                        <w:rFonts w:ascii="SimSun" w:eastAsia="SimSun" w:hAnsi="SimSun" w:cs="SimSun"/>
                        <w:spacing w:val="-10"/>
                        <w:sz w:val="19"/>
                        <w:szCs w:val="19"/>
                      </w:rPr>
                      <w:t>频率计数器</w:t>
                    </w:r>
                  </w:p>
                </w:txbxContent>
              </v:textbox>
            </v:shape>
            <v:shape id="_x0000_s1028" type="#_x0000_t202" style="width:770;height:630;left:4429;position:absolute;top:2387" filled="f" stroked="f">
              <o:lock v:ext="edit" aspectratio="f"/>
              <v:textbox inset="0,0,0,0">
                <w:txbxContent>
                  <w:p>
                    <w:pPr>
                      <w:spacing w:before="20" w:line="203" w:lineRule="auto"/>
                      <w:ind w:left="39" w:right="20" w:hanging="19"/>
                      <w:jc w:val="both"/>
                      <w:rPr>
                        <w:rFonts w:ascii="SimSun" w:eastAsia="SimSun" w:hAnsi="SimSun" w:cs="SimSun"/>
                        <w:sz w:val="19"/>
                        <w:szCs w:val="19"/>
                      </w:rPr>
                    </w:pPr>
                    <w:r>
                      <w:rPr>
                        <w:rFonts w:ascii="SimHei" w:eastAsia="SimHei" w:hAnsi="SimHei" w:cs="SimHei"/>
                        <w:spacing w:val="-14"/>
                        <w:sz w:val="19"/>
                        <w:szCs w:val="19"/>
                      </w:rPr>
                      <w:t>被校高频</w:t>
                    </w:r>
                    <w:r>
                      <w:rPr>
                        <w:rFonts w:ascii="SimHei" w:eastAsia="SimHei" w:hAnsi="SimHei" w:cs="SimHei"/>
                        <w:sz w:val="19"/>
                        <w:szCs w:val="19"/>
                      </w:rPr>
                      <w:t xml:space="preserve"> </w:t>
                    </w:r>
                    <w:r>
                      <w:rPr>
                        <w:rFonts w:ascii="SimHei" w:eastAsia="SimHei" w:hAnsi="SimHei" w:cs="SimHei"/>
                        <w:spacing w:val="-13"/>
                        <w:sz w:val="19"/>
                        <w:szCs w:val="19"/>
                      </w:rPr>
                      <w:t>电容损耗</w:t>
                    </w:r>
                    <w:r>
                      <w:rPr>
                        <w:rFonts w:ascii="SimHei" w:eastAsia="SimHei" w:hAnsi="SimHei" w:cs="SimHei"/>
                        <w:sz w:val="19"/>
                        <w:szCs w:val="19"/>
                      </w:rPr>
                      <w:t xml:space="preserve"> </w:t>
                    </w:r>
                    <w:r>
                      <w:rPr>
                        <w:rFonts w:ascii="SimSun" w:eastAsia="SimSun" w:hAnsi="SimSun" w:cs="SimSun"/>
                        <w:spacing w:val="20"/>
                        <w:sz w:val="19"/>
                        <w:szCs w:val="19"/>
                      </w:rPr>
                      <w:t>标准器</w:t>
                    </w:r>
                  </w:p>
                </w:txbxContent>
              </v:textbox>
            </v:shape>
            <v:shape id="_x0000_s1029" type="#_x0000_t202" style="width:422;height:440;left:349;position:absolute;top:2468" filled="f" stroked="f">
              <o:lock v:ext="edit" aspectratio="f"/>
              <v:textbox inset="0,0,0,0">
                <w:txbxContent>
                  <w:p>
                    <w:pPr>
                      <w:spacing w:before="20" w:line="212" w:lineRule="auto"/>
                      <w:ind w:left="20" w:right="20" w:firstLine="10"/>
                      <w:rPr>
                        <w:rFonts w:ascii="SimSun" w:eastAsia="SimSun" w:hAnsi="SimSun" w:cs="SimSun"/>
                        <w:sz w:val="19"/>
                        <w:szCs w:val="19"/>
                      </w:rPr>
                    </w:pPr>
                    <w:r>
                      <w:rPr>
                        <w:rFonts w:ascii="SimSun" w:eastAsia="SimSun" w:hAnsi="SimSun" w:cs="SimSun"/>
                        <w:spacing w:val="-5"/>
                        <w:sz w:val="19"/>
                        <w:szCs w:val="19"/>
                      </w:rPr>
                      <w:t>辅助</w:t>
                    </w:r>
                    <w:r>
                      <w:rPr>
                        <w:rFonts w:ascii="SimSun" w:eastAsia="SimSun" w:hAnsi="SimSun" w:cs="SimSun"/>
                        <w:sz w:val="19"/>
                        <w:szCs w:val="19"/>
                      </w:rPr>
                      <w:t xml:space="preserve"> </w:t>
                    </w:r>
                    <w:r>
                      <w:rPr>
                        <w:rFonts w:ascii="SimSun" w:eastAsia="SimSun" w:hAnsi="SimSun" w:cs="SimSun"/>
                        <w:spacing w:val="-3"/>
                        <w:sz w:val="19"/>
                        <w:szCs w:val="19"/>
                      </w:rPr>
                      <w:t>线圈</w:t>
                    </w:r>
                  </w:p>
                </w:txbxContent>
              </v:textbox>
            </v:shape>
            <v:shape id="_x0000_s1030" type="#_x0000_t202" style="width:222;height:643;left:3308;position:absolute;top:2380" filled="f" stroked="f">
              <o:lock v:ext="edit" aspectratio="f"/>
              <v:textbox style="layout-flow:vertical-ideographic" inset="0,0,0,0">
                <w:txbxContent>
                  <w:p>
                    <w:pPr>
                      <w:spacing w:before="20" w:line="216" w:lineRule="auto"/>
                      <w:ind w:left="20"/>
                      <w:rPr>
                        <w:rFonts w:ascii="SimSun" w:eastAsia="SimSun" w:hAnsi="SimSun" w:cs="SimSun"/>
                        <w:sz w:val="18"/>
                        <w:szCs w:val="18"/>
                      </w:rPr>
                    </w:pPr>
                    <w:r>
                      <w:rPr>
                        <w:rFonts w:ascii="SimSun" w:eastAsia="SimSun" w:hAnsi="SimSun" w:cs="SimSun"/>
                        <w:spacing w:val="20"/>
                        <w:sz w:val="18"/>
                        <w:szCs w:val="18"/>
                      </w:rPr>
                      <w:t>电容端</w:t>
                    </w:r>
                  </w:p>
                </w:txbxContent>
              </v:textbox>
            </v:shape>
            <v:shape id="_x0000_s1031" type="#_x0000_t202" style="width:161;height:629;left:1789;position:absolute;top:2403" filled="f" stroked="f">
              <o:lock v:ext="edit" aspectratio="f"/>
              <v:textbox style="layout-flow:vertical-ideographic" inset="0,0,0,0">
                <w:txbxContent>
                  <w:p>
                    <w:pPr>
                      <w:spacing w:before="20" w:line="216" w:lineRule="auto"/>
                      <w:ind w:left="20"/>
                      <w:rPr>
                        <w:rFonts w:ascii="SimSun" w:eastAsia="SimSun" w:hAnsi="SimSun" w:cs="SimSun"/>
                        <w:sz w:val="12"/>
                        <w:szCs w:val="12"/>
                      </w:rPr>
                    </w:pPr>
                    <w:r>
                      <w:rPr>
                        <w:rFonts w:ascii="SimSun" w:eastAsia="SimSun" w:hAnsi="SimSun" w:cs="SimSun"/>
                        <w:sz w:val="12"/>
                        <w:szCs w:val="12"/>
                      </w:rPr>
                      <w:t>电</w:t>
                    </w:r>
                    <w:r>
                      <w:rPr>
                        <w:rFonts w:ascii="SimSun" w:eastAsia="SimSun" w:hAnsi="SimSun" w:cs="SimSun"/>
                        <w:spacing w:val="54"/>
                        <w:sz w:val="12"/>
                        <w:szCs w:val="12"/>
                      </w:rPr>
                      <w:t xml:space="preserve"> </w:t>
                    </w:r>
                    <w:r>
                      <w:rPr>
                        <w:rFonts w:ascii="SimSun" w:eastAsia="SimSun" w:hAnsi="SimSun" w:cs="SimSun"/>
                        <w:sz w:val="12"/>
                        <w:szCs w:val="12"/>
                      </w:rPr>
                      <w:t>感</w:t>
                    </w:r>
                    <w:r>
                      <w:rPr>
                        <w:rFonts w:ascii="SimSun" w:eastAsia="SimSun" w:hAnsi="SimSun" w:cs="SimSun"/>
                        <w:spacing w:val="54"/>
                        <w:sz w:val="12"/>
                        <w:szCs w:val="12"/>
                      </w:rPr>
                      <w:t xml:space="preserve"> </w:t>
                    </w:r>
                    <w:r>
                      <w:rPr>
                        <w:rFonts w:ascii="SimSun" w:eastAsia="SimSun" w:hAnsi="SimSun" w:cs="SimSun"/>
                        <w:sz w:val="12"/>
                        <w:szCs w:val="12"/>
                      </w:rPr>
                      <w:t>端</w:t>
                    </w:r>
                  </w:p>
                </w:txbxContent>
              </v:textbox>
            </v:shape>
            <w10:wrap type="none"/>
          </v:group>
        </w:pict>
      </w:r>
    </w:p>
    <w:p>
      <w:pPr>
        <w:pStyle w:val="BodyText"/>
        <w:spacing w:before="116" w:line="212" w:lineRule="auto"/>
        <w:ind w:left="1550"/>
        <w:rPr>
          <w:sz w:val="19"/>
          <w:szCs w:val="19"/>
        </w:rPr>
      </w:pPr>
      <w:r>
        <w:rPr>
          <w:spacing w:val="16"/>
          <w:sz w:val="19"/>
          <w:szCs w:val="19"/>
        </w:rPr>
        <w:t>图</w:t>
      </w:r>
      <w:r>
        <w:rPr>
          <w:spacing w:val="-12"/>
          <w:sz w:val="19"/>
          <w:szCs w:val="19"/>
        </w:rPr>
        <w:t xml:space="preserve"> </w:t>
      </w:r>
      <w:r>
        <w:rPr>
          <w:spacing w:val="16"/>
          <w:sz w:val="19"/>
          <w:szCs w:val="19"/>
        </w:rPr>
        <w:t xml:space="preserve">2  电容值不超过300 </w:t>
      </w:r>
      <w:r>
        <w:rPr>
          <w:rFonts w:ascii="Times New Roman" w:eastAsia="Times New Roman" w:hAnsi="Times New Roman" w:cs="Times New Roman"/>
          <w:sz w:val="19"/>
          <w:szCs w:val="19"/>
        </w:rPr>
        <w:t>pF</w:t>
      </w:r>
      <w:r>
        <w:rPr>
          <w:rFonts w:ascii="Times New Roman" w:eastAsia="Times New Roman" w:hAnsi="Times New Roman" w:cs="Times New Roman"/>
          <w:spacing w:val="16"/>
          <w:sz w:val="19"/>
          <w:szCs w:val="19"/>
        </w:rPr>
        <w:t xml:space="preserve">  </w:t>
      </w:r>
      <w:r>
        <w:rPr>
          <w:spacing w:val="16"/>
          <w:sz w:val="19"/>
          <w:szCs w:val="19"/>
        </w:rPr>
        <w:t>的高频电容损耗标准器的初损</w:t>
      </w:r>
      <w:r>
        <w:rPr>
          <w:spacing w:val="15"/>
          <w:sz w:val="19"/>
          <w:szCs w:val="19"/>
        </w:rPr>
        <w:t>耗值校准</w:t>
      </w:r>
    </w:p>
    <w:p>
      <w:pPr>
        <w:pStyle w:val="BodyText"/>
        <w:spacing w:before="193" w:line="212" w:lineRule="auto"/>
        <w:ind w:left="19"/>
        <w:rPr>
          <w:sz w:val="24"/>
          <w:szCs w:val="24"/>
        </w:rPr>
      </w:pPr>
      <w:r>
        <w:rPr>
          <w:spacing w:val="2"/>
          <w:sz w:val="24"/>
          <w:szCs w:val="24"/>
        </w:rPr>
        <w:t>6.3.5</w:t>
      </w:r>
      <w:r>
        <w:rPr>
          <w:spacing w:val="121"/>
          <w:sz w:val="24"/>
          <w:szCs w:val="24"/>
        </w:rPr>
        <w:t xml:space="preserve"> </w:t>
      </w:r>
      <w:r>
        <w:rPr>
          <w:spacing w:val="2"/>
          <w:sz w:val="24"/>
          <w:szCs w:val="24"/>
        </w:rPr>
        <w:t>调节电压分压器，使直流电压表显示的整数位与高频</w:t>
      </w:r>
      <w:r>
        <w:rPr>
          <w:spacing w:val="-69"/>
          <w:sz w:val="24"/>
          <w:szCs w:val="24"/>
        </w:rPr>
        <w:t xml:space="preserve"> </w:t>
      </w:r>
      <w:r>
        <w:rPr>
          <w:rFonts w:ascii="Times New Roman" w:eastAsia="Times New Roman" w:hAnsi="Times New Roman" w:cs="Times New Roman"/>
          <w:spacing w:val="2"/>
          <w:sz w:val="24"/>
          <w:szCs w:val="24"/>
        </w:rPr>
        <w:t xml:space="preserve">Q </w:t>
      </w:r>
      <w:r>
        <w:rPr>
          <w:spacing w:val="2"/>
          <w:sz w:val="24"/>
          <w:szCs w:val="24"/>
        </w:rPr>
        <w:t>表的</w:t>
      </w:r>
      <w:r>
        <w:rPr>
          <w:rFonts w:ascii="Times New Roman" w:eastAsia="Times New Roman" w:hAnsi="Times New Roman" w:cs="Times New Roman"/>
          <w:spacing w:val="2"/>
          <w:sz w:val="24"/>
          <w:szCs w:val="24"/>
        </w:rPr>
        <w:t xml:space="preserve">Q </w:t>
      </w:r>
      <w:r>
        <w:rPr>
          <w:spacing w:val="2"/>
          <w:sz w:val="24"/>
          <w:szCs w:val="24"/>
        </w:rPr>
        <w:t>值表盘指针数值</w:t>
      </w:r>
    </w:p>
    <w:p>
      <w:pPr>
        <w:pStyle w:val="BodyText"/>
        <w:spacing w:before="165" w:line="220" w:lineRule="auto"/>
        <w:ind w:left="19"/>
        <w:rPr>
          <w:sz w:val="19"/>
          <w:szCs w:val="19"/>
        </w:rPr>
        <w:sectPr>
          <w:headerReference w:type="default" r:id="rId18"/>
          <w:footerReference w:type="default" r:id="rId19"/>
          <w:pgSz w:w="11290" w:h="16610"/>
          <w:pgMar w:top="1579" w:right="929" w:bottom="975" w:left="1130" w:header="1285" w:footer="826" w:gutter="0"/>
          <w:pgNumType w:start="7"/>
          <w:cols w:space="708"/>
        </w:sectPr>
      </w:pPr>
      <w:r>
        <w:rPr>
          <w:spacing w:val="15"/>
          <w:sz w:val="19"/>
          <w:szCs w:val="19"/>
        </w:rPr>
        <w:t>一致</w:t>
      </w:r>
      <w:r>
        <w:rPr>
          <w:spacing w:val="-39"/>
          <w:sz w:val="19"/>
          <w:szCs w:val="19"/>
        </w:rPr>
        <w:t xml:space="preserve"> </w:t>
      </w:r>
      <w:r>
        <w:rPr>
          <w:spacing w:val="15"/>
          <w:sz w:val="19"/>
          <w:szCs w:val="19"/>
        </w:rPr>
        <w:t>。</w:t>
      </w:r>
    </w:p>
    <w:p>
      <w:pPr>
        <w:pStyle w:val="BodyText"/>
        <w:spacing w:before="84" w:line="244" w:lineRule="auto"/>
        <w:ind w:left="19" w:right="40" w:firstLine="3"/>
        <w:rPr>
          <w:sz w:val="24"/>
          <w:szCs w:val="24"/>
        </w:rPr>
      </w:pPr>
      <w:r>
        <w:rPr>
          <w:b/>
          <w:bCs/>
          <w:spacing w:val="3"/>
          <w:sz w:val="24"/>
          <w:szCs w:val="24"/>
        </w:rPr>
        <w:t>6.3.6</w:t>
      </w:r>
      <w:r>
        <w:rPr>
          <w:spacing w:val="2"/>
          <w:sz w:val="24"/>
          <w:szCs w:val="24"/>
        </w:rPr>
        <w:t xml:space="preserve">  </w:t>
      </w:r>
      <w:r>
        <w:rPr>
          <w:spacing w:val="3"/>
          <w:sz w:val="24"/>
          <w:szCs w:val="24"/>
        </w:rPr>
        <w:t>再次微调高频Q 表的主、微调谐电容度盘，产生谐振并确认直流电压表显示为</w:t>
      </w:r>
      <w:r>
        <w:rPr>
          <w:spacing w:val="1"/>
          <w:sz w:val="24"/>
          <w:szCs w:val="24"/>
        </w:rPr>
        <w:t xml:space="preserve"> </w:t>
      </w:r>
      <w:r>
        <w:rPr>
          <w:spacing w:val="15"/>
          <w:sz w:val="24"/>
          <w:szCs w:val="24"/>
        </w:rPr>
        <w:t>最大值，记下此时直流电压表所对应的</w:t>
      </w:r>
      <w:r>
        <w:rPr>
          <w:spacing w:val="-48"/>
          <w:sz w:val="24"/>
          <w:szCs w:val="24"/>
        </w:rPr>
        <w:t xml:space="preserve"> </w:t>
      </w:r>
      <w:r>
        <w:rPr>
          <w:rFonts w:ascii="Times New Roman" w:eastAsia="Times New Roman" w:hAnsi="Times New Roman" w:cs="Times New Roman"/>
          <w:spacing w:val="15"/>
          <w:sz w:val="24"/>
          <w:szCs w:val="24"/>
        </w:rPr>
        <w:t>Q</w:t>
      </w:r>
      <w:r>
        <w:rPr>
          <w:rFonts w:ascii="Times New Roman" w:eastAsia="Times New Roman" w:hAnsi="Times New Roman" w:cs="Times New Roman"/>
          <w:spacing w:val="35"/>
          <w:sz w:val="24"/>
          <w:szCs w:val="24"/>
        </w:rPr>
        <w:t xml:space="preserve"> </w:t>
      </w:r>
      <w:r>
        <w:rPr>
          <w:spacing w:val="15"/>
          <w:sz w:val="24"/>
          <w:szCs w:val="24"/>
        </w:rPr>
        <w:t>值为</w:t>
      </w:r>
      <w:r>
        <w:rPr>
          <w:spacing w:val="-43"/>
          <w:sz w:val="24"/>
          <w:szCs w:val="24"/>
        </w:rPr>
        <w:t xml:space="preserve"> </w:t>
      </w:r>
      <w:r>
        <w:rPr>
          <w:rFonts w:ascii="Times New Roman" w:eastAsia="Times New Roman" w:hAnsi="Times New Roman" w:cs="Times New Roman"/>
          <w:spacing w:val="15"/>
          <w:sz w:val="24"/>
          <w:szCs w:val="24"/>
        </w:rPr>
        <w:t xml:space="preserve">Q₁,   </w:t>
      </w:r>
      <w:r>
        <w:rPr>
          <w:spacing w:val="15"/>
          <w:sz w:val="24"/>
          <w:szCs w:val="24"/>
        </w:rPr>
        <w:t>调谐电容器主、微调电容之和</w:t>
      </w:r>
    </w:p>
    <w:p>
      <w:pPr>
        <w:pStyle w:val="BodyText"/>
        <w:spacing w:before="175" w:line="219" w:lineRule="auto"/>
        <w:ind w:left="19"/>
        <w:rPr>
          <w:sz w:val="19"/>
          <w:szCs w:val="19"/>
        </w:rPr>
      </w:pPr>
      <w:r>
        <w:rPr>
          <w:spacing w:val="-4"/>
          <w:sz w:val="19"/>
          <w:szCs w:val="19"/>
        </w:rPr>
        <w:t>为</w:t>
      </w:r>
      <w:r>
        <w:rPr>
          <w:spacing w:val="4"/>
          <w:sz w:val="19"/>
          <w:szCs w:val="19"/>
        </w:rPr>
        <w:t xml:space="preserve"> </w:t>
      </w:r>
      <w:r>
        <w:rPr>
          <w:spacing w:val="-4"/>
          <w:sz w:val="19"/>
          <w:szCs w:val="19"/>
        </w:rPr>
        <w:t>C</w:t>
      </w:r>
      <w:r>
        <w:rPr>
          <w:rFonts w:ascii="Calibri" w:eastAsia="Calibri" w:hAnsi="Calibri" w:cs="Calibri"/>
          <w:spacing w:val="-4"/>
          <w:sz w:val="19"/>
          <w:szCs w:val="19"/>
        </w:rPr>
        <w:t>₁</w:t>
      </w:r>
      <w:r>
        <w:rPr>
          <w:spacing w:val="-4"/>
          <w:sz w:val="19"/>
          <w:szCs w:val="19"/>
        </w:rPr>
        <w:t>。</w:t>
      </w:r>
    </w:p>
    <w:p>
      <w:pPr>
        <w:spacing w:line="219" w:lineRule="auto"/>
        <w:rPr>
          <w:sz w:val="19"/>
          <w:szCs w:val="19"/>
        </w:rPr>
        <w:sectPr>
          <w:headerReference w:type="default" r:id="rId20"/>
          <w:footerReference w:type="default" r:id="rId21"/>
          <w:type w:val="nextPage"/>
          <w:pgSz w:w="11290" w:h="16610"/>
          <w:pgMar w:top="1579" w:right="929" w:bottom="975" w:left="1130" w:header="1285" w:footer="826" w:gutter="0"/>
          <w:pgNumType w:start="8"/>
          <w:cols w:space="708"/>
          <w:titlePg w:val="0"/>
        </w:sectPr>
      </w:pPr>
    </w:p>
    <w:p>
      <w:pPr>
        <w:pStyle w:val="BodyText"/>
        <w:spacing w:before="228" w:line="274" w:lineRule="auto"/>
        <w:ind w:left="115" w:right="52" w:firstLine="10"/>
      </w:pPr>
      <w:bookmarkStart w:id="1" w:name="bookmark2"/>
      <w:bookmarkEnd w:id="1"/>
      <w:r>
        <w:rPr>
          <w:spacing w:val="15"/>
        </w:rPr>
        <w:t>6.3.7</w:t>
      </w:r>
      <w:r>
        <w:rPr>
          <w:spacing w:val="17"/>
        </w:rPr>
        <w:t xml:space="preserve">  </w:t>
      </w:r>
      <w:r>
        <w:rPr>
          <w:spacing w:val="15"/>
        </w:rPr>
        <w:t>将被校高频电容损耗标准器从高频</w:t>
      </w:r>
      <w:r>
        <w:rPr>
          <w:rFonts w:ascii="Times New Roman" w:eastAsia="Times New Roman" w:hAnsi="Times New Roman" w:cs="Times New Roman"/>
          <w:spacing w:val="15"/>
        </w:rPr>
        <w:t>Q</w:t>
      </w:r>
      <w:r>
        <w:rPr>
          <w:rFonts w:ascii="Times New Roman" w:eastAsia="Times New Roman" w:hAnsi="Times New Roman" w:cs="Times New Roman"/>
          <w:spacing w:val="45"/>
        </w:rPr>
        <w:t xml:space="preserve"> </w:t>
      </w:r>
      <w:r>
        <w:rPr>
          <w:spacing w:val="15"/>
        </w:rPr>
        <w:t>表的电容端取下，再次调节高频</w:t>
      </w:r>
      <w:r>
        <w:rPr>
          <w:spacing w:val="-64"/>
        </w:rPr>
        <w:t xml:space="preserve"> </w:t>
      </w:r>
      <w:r>
        <w:rPr>
          <w:rFonts w:ascii="Times New Roman" w:eastAsia="Times New Roman" w:hAnsi="Times New Roman" w:cs="Times New Roman"/>
          <w:spacing w:val="15"/>
        </w:rPr>
        <w:t>Q</w:t>
      </w:r>
      <w:r>
        <w:rPr>
          <w:rFonts w:ascii="Times New Roman" w:eastAsia="Times New Roman" w:hAnsi="Times New Roman" w:cs="Times New Roman"/>
          <w:spacing w:val="44"/>
          <w:w w:val="101"/>
        </w:rPr>
        <w:t xml:space="preserve"> </w:t>
      </w:r>
      <w:r>
        <w:rPr>
          <w:spacing w:val="15"/>
        </w:rPr>
        <w:t>表的</w:t>
      </w:r>
      <w:r>
        <w:t xml:space="preserve"> </w:t>
      </w:r>
      <w:r>
        <w:rPr>
          <w:spacing w:val="10"/>
        </w:rPr>
        <w:t>主、微调谐电容度盘，产生谐振后使直流电压表显示重新出现最大值，记下此时直流电</w:t>
      </w:r>
      <w:r>
        <w:rPr>
          <w:spacing w:val="12"/>
        </w:rPr>
        <w:t xml:space="preserve"> </w:t>
      </w:r>
      <w:r>
        <w:rPr>
          <w:spacing w:val="8"/>
        </w:rPr>
        <w:t>压表对应的</w:t>
      </w:r>
      <w:r>
        <w:rPr>
          <w:spacing w:val="-32"/>
        </w:rPr>
        <w:t xml:space="preserve"> </w:t>
      </w:r>
      <w:r>
        <w:rPr>
          <w:spacing w:val="8"/>
        </w:rPr>
        <w:t>Q 值为Q</w:t>
      </w:r>
      <w:r>
        <w:rPr>
          <w:rFonts w:ascii="Calibri" w:eastAsia="Calibri" w:hAnsi="Calibri" w:cs="Calibri"/>
          <w:spacing w:val="8"/>
        </w:rPr>
        <w:t xml:space="preserve">₂  </w:t>
      </w:r>
      <w:r>
        <w:rPr>
          <w:spacing w:val="8"/>
        </w:rPr>
        <w:t>以及主、微调谐电容之和为</w:t>
      </w:r>
      <w:r>
        <w:rPr>
          <w:spacing w:val="-67"/>
        </w:rPr>
        <w:t xml:space="preserve"> </w:t>
      </w:r>
      <w:r>
        <w:rPr>
          <w:spacing w:val="8"/>
        </w:rPr>
        <w:t>C</w:t>
      </w:r>
      <w:r>
        <w:rPr>
          <w:rFonts w:ascii="Calibri" w:eastAsia="Calibri" w:hAnsi="Calibri" w:cs="Calibri"/>
          <w:spacing w:val="8"/>
        </w:rPr>
        <w:t>₂</w:t>
      </w:r>
      <w:r>
        <w:rPr>
          <w:spacing w:val="8"/>
        </w:rPr>
        <w:t>。</w:t>
      </w:r>
    </w:p>
    <w:sdt>
      <w:sdtPr>
        <w:rPr>
          <w:rFonts w:ascii="SimSun" w:eastAsia="SimSun" w:hAnsi="SimSun" w:cs="SimSun"/>
          <w:sz w:val="23"/>
          <w:szCs w:val="23"/>
        </w:rPr>
        <w:id w:val="445501118"/>
        <w:docPartObj>
          <w:docPartGallery w:val="Table of Contents"/>
          <w:docPartUnique/>
        </w:docPartObj>
      </w:sdtPr>
      <w:sdtEndPr>
        <w:rPr>
          <w:rFonts w:ascii="SimSun" w:eastAsia="SimSun" w:hAnsi="SimSun" w:cs="SimSun"/>
          <w:sz w:val="23"/>
          <w:szCs w:val="23"/>
        </w:rPr>
      </w:sdtEndPr>
      <w:sdtContent>
        <w:p>
          <w:pPr>
            <w:pStyle w:val="BodyText"/>
            <w:spacing w:before="77" w:line="219" w:lineRule="auto"/>
            <w:ind w:left="125"/>
          </w:pPr>
          <w:r>
            <w:rPr>
              <w:spacing w:val="15"/>
            </w:rPr>
            <w:t>6.3.8</w:t>
          </w:r>
          <w:r>
            <w:rPr>
              <w:spacing w:val="14"/>
            </w:rPr>
            <w:t xml:space="preserve">  </w:t>
          </w:r>
          <w:r>
            <w:rPr>
              <w:spacing w:val="15"/>
            </w:rPr>
            <w:t>按式(2)计算被校高频电容损耗标准器的初损耗值：</w:t>
          </w:r>
        </w:p>
        <w:p>
          <w:pPr>
            <w:pStyle w:val="BodyText"/>
            <w:spacing w:before="87"/>
            <w:ind w:left="1855"/>
          </w:pPr>
          <w:r>
            <w:rPr>
              <w:position w:val="-18"/>
            </w:rPr>
            <w:drawing>
              <wp:inline distT="0" distB="0" distL="0" distR="0">
                <wp:extent cx="3613180" cy="35555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3613180" cy="355551"/>
                        </a:xfrm>
                        <a:prstGeom prst="rect">
                          <a:avLst/>
                        </a:prstGeom>
                      </pic:spPr>
                    </pic:pic>
                  </a:graphicData>
                </a:graphic>
              </wp:inline>
            </w:drawing>
          </w:r>
          <w:r>
            <w:rPr>
              <w:spacing w:val="10"/>
            </w:rPr>
            <w:t xml:space="preserve">           </w:t>
          </w:r>
          <w:r>
            <w:rPr>
              <w:spacing w:val="-17"/>
            </w:rPr>
            <w:t>(</w:t>
          </w:r>
          <w:hyperlink w:anchor="bookmark3" w:history="1">
            <w:r>
              <w:rPr>
                <w:spacing w:val="-17"/>
              </w:rPr>
              <w:t>2)</w:t>
            </w:r>
          </w:hyperlink>
        </w:p>
      </w:sdtContent>
    </w:sdt>
    <w:p>
      <w:pPr>
        <w:pStyle w:val="BodyText"/>
        <w:spacing w:before="120" w:line="220" w:lineRule="auto"/>
        <w:ind w:left="595"/>
      </w:pPr>
      <w:r>
        <w:rPr>
          <w:spacing w:val="-8"/>
        </w:rPr>
        <w:t>式中：</w:t>
      </w:r>
    </w:p>
    <w:p>
      <w:pPr>
        <w:pStyle w:val="BodyText"/>
        <w:spacing w:before="80" w:line="212" w:lineRule="auto"/>
        <w:ind w:left="575"/>
        <w:rPr>
          <w:rFonts w:ascii="Times New Roman" w:eastAsia="Times New Roman" w:hAnsi="Times New Roman" w:cs="Times New Roman"/>
        </w:rPr>
      </w:pPr>
      <w:r>
        <w:rPr>
          <w:rFonts w:ascii="Times New Roman" w:eastAsia="Times New Roman" w:hAnsi="Times New Roman" w:cs="Times New Roman"/>
          <w:spacing w:val="3"/>
        </w:rPr>
        <w:t>o——</w:t>
      </w:r>
      <w:r>
        <w:rPr>
          <w:rFonts w:ascii="Times New Roman" w:eastAsia="Times New Roman" w:hAnsi="Times New Roman" w:cs="Times New Roman"/>
          <w:spacing w:val="41"/>
        </w:rPr>
        <w:t xml:space="preserve"> </w:t>
      </w:r>
      <w:r>
        <w:rPr>
          <w:spacing w:val="3"/>
        </w:rPr>
        <w:t>高频电容损耗标准器工作角频率，</w:t>
      </w:r>
      <w:r>
        <w:rPr>
          <w:spacing w:val="-55"/>
        </w:rPr>
        <w:t xml:space="preserve"> </w:t>
      </w:r>
      <w:r>
        <w:rPr>
          <w:rFonts w:ascii="Times New Roman" w:eastAsia="Times New Roman" w:hAnsi="Times New Roman" w:cs="Times New Roman"/>
        </w:rPr>
        <w:t>rad</w:t>
      </w:r>
      <w:r>
        <w:rPr>
          <w:rFonts w:ascii="Times New Roman" w:eastAsia="Times New Roman" w:hAnsi="Times New Roman" w:cs="Times New Roman"/>
          <w:spacing w:val="3"/>
        </w:rPr>
        <w:t>/s;</w:t>
      </w:r>
    </w:p>
    <w:p>
      <w:pPr>
        <w:pStyle w:val="BodyText"/>
        <w:spacing w:before="120" w:line="360" w:lineRule="exact"/>
        <w:ind w:left="515"/>
      </w:pPr>
      <w:r>
        <w:rPr>
          <w:spacing w:val="7"/>
          <w:position w:val="9"/>
        </w:rPr>
        <w:t>r</w:t>
      </w:r>
      <w:r>
        <w:rPr>
          <w:rFonts w:ascii="Calibri" w:eastAsia="Calibri" w:hAnsi="Calibri" w:cs="Calibri"/>
          <w:spacing w:val="7"/>
          <w:position w:val="9"/>
        </w:rPr>
        <w:t>₂</w:t>
      </w:r>
      <w:r>
        <w:rPr>
          <w:spacing w:val="7"/>
          <w:position w:val="9"/>
        </w:rPr>
        <w:t>——</w:t>
      </w:r>
      <w:r>
        <w:rPr>
          <w:spacing w:val="-58"/>
          <w:position w:val="9"/>
        </w:rPr>
        <w:t xml:space="preserve"> </w:t>
      </w:r>
      <w:r>
        <w:rPr>
          <w:spacing w:val="7"/>
          <w:position w:val="9"/>
        </w:rPr>
        <w:t>连接夹具和高频</w:t>
      </w:r>
      <w:r>
        <w:rPr>
          <w:spacing w:val="-64"/>
          <w:position w:val="9"/>
        </w:rPr>
        <w:t xml:space="preserve"> </w:t>
      </w:r>
      <w:r>
        <w:rPr>
          <w:spacing w:val="7"/>
          <w:position w:val="9"/>
        </w:rPr>
        <w:t>Q 表电容接线柱残阻之和，Ω;</w:t>
      </w:r>
    </w:p>
    <w:p>
      <w:pPr>
        <w:pStyle w:val="BodyText"/>
        <w:spacing w:line="219" w:lineRule="auto"/>
        <w:ind w:left="515"/>
      </w:pPr>
      <w:r>
        <w:t>re</w:t>
      </w:r>
      <w:r>
        <w:rPr>
          <w:spacing w:val="3"/>
        </w:rPr>
        <w:t>——高频</w:t>
      </w:r>
      <w:r>
        <w:rPr>
          <w:spacing w:val="-24"/>
        </w:rPr>
        <w:t xml:space="preserve"> </w:t>
      </w:r>
      <w:r>
        <w:rPr>
          <w:spacing w:val="3"/>
        </w:rPr>
        <w:t>Q 表调谐电容器等效串联残阻，Ω。</w:t>
      </w:r>
    </w:p>
    <w:p>
      <w:pPr>
        <w:pStyle w:val="BodyText"/>
        <w:spacing w:before="112" w:line="219" w:lineRule="auto"/>
        <w:ind w:left="595"/>
      </w:pPr>
      <w:r>
        <w:rPr>
          <w:rFonts w:ascii="FangSong" w:eastAsia="FangSong" w:hAnsi="FangSong" w:cs="FangSong"/>
          <w:spacing w:val="12"/>
        </w:rPr>
        <w:t>注：接线柱残阻</w:t>
      </w:r>
      <w:r>
        <w:rPr>
          <w:rFonts w:ascii="Times New Roman" w:eastAsia="Times New Roman" w:hAnsi="Times New Roman" w:cs="Times New Roman"/>
          <w:spacing w:val="12"/>
        </w:rPr>
        <w:t>r₂</w:t>
      </w:r>
      <w:r>
        <w:rPr>
          <w:rFonts w:ascii="Times New Roman" w:eastAsia="Times New Roman" w:hAnsi="Times New Roman" w:cs="Times New Roman"/>
          <w:spacing w:val="1"/>
        </w:rPr>
        <w:t xml:space="preserve">  </w:t>
      </w:r>
      <w:r>
        <w:rPr>
          <w:rFonts w:ascii="FangSong" w:eastAsia="FangSong" w:hAnsi="FangSong" w:cs="FangSong"/>
          <w:spacing w:val="12"/>
        </w:rPr>
        <w:t>与调谐电容器等效串联残阻</w:t>
      </w:r>
      <w:r>
        <w:rPr>
          <w:rFonts w:ascii="Times New Roman" w:eastAsia="Times New Roman" w:hAnsi="Times New Roman" w:cs="Times New Roman"/>
        </w:rPr>
        <w:t>re</w:t>
      </w:r>
      <w:r>
        <w:rPr>
          <w:rFonts w:ascii="Times New Roman" w:eastAsia="Times New Roman" w:hAnsi="Times New Roman" w:cs="Times New Roman"/>
          <w:spacing w:val="12"/>
        </w:rPr>
        <w:t xml:space="preserve"> </w:t>
      </w:r>
      <w:r>
        <w:rPr>
          <w:rFonts w:ascii="FangSong" w:eastAsia="FangSong" w:hAnsi="FangSong" w:cs="FangSong"/>
          <w:spacing w:val="12"/>
        </w:rPr>
        <w:t>的计算方法参见附录</w:t>
      </w:r>
      <w:r>
        <w:rPr>
          <w:rFonts w:ascii="Times New Roman" w:eastAsia="Times New Roman" w:hAnsi="Times New Roman" w:cs="Times New Roman"/>
          <w:spacing w:val="12"/>
        </w:rPr>
        <w:t>D</w:t>
      </w:r>
      <w:r>
        <w:rPr>
          <w:spacing w:val="12"/>
        </w:rPr>
        <w:t>。</w:t>
      </w:r>
    </w:p>
    <w:p>
      <w:pPr>
        <w:pStyle w:val="BodyText"/>
        <w:spacing w:before="91" w:line="219" w:lineRule="auto"/>
        <w:ind w:left="115"/>
      </w:pPr>
      <w:r>
        <w:rPr>
          <w:spacing w:val="8"/>
        </w:rPr>
        <w:t>6.3.9</w:t>
      </w:r>
      <w:r>
        <w:rPr>
          <w:spacing w:val="115"/>
        </w:rPr>
        <w:t xml:space="preserve"> </w:t>
      </w:r>
      <w:r>
        <w:rPr>
          <w:spacing w:val="8"/>
        </w:rPr>
        <w:t>将上述校准过程中的量值及初损耗值计算结果记录到附录</w:t>
      </w:r>
      <w:r>
        <w:rPr>
          <w:rFonts w:ascii="Times New Roman" w:eastAsia="Times New Roman" w:hAnsi="Times New Roman" w:cs="Times New Roman"/>
          <w:spacing w:val="8"/>
        </w:rPr>
        <w:t>A</w:t>
      </w:r>
      <w:r>
        <w:rPr>
          <w:rFonts w:ascii="Times New Roman" w:eastAsia="Times New Roman" w:hAnsi="Times New Roman" w:cs="Times New Roman"/>
          <w:spacing w:val="28"/>
          <w:w w:val="101"/>
        </w:rPr>
        <w:t xml:space="preserve"> </w:t>
      </w:r>
      <w:r>
        <w:rPr>
          <w:spacing w:val="8"/>
        </w:rPr>
        <w:t>表</w:t>
      </w:r>
      <w:r>
        <w:rPr>
          <w:spacing w:val="-37"/>
        </w:rPr>
        <w:t xml:space="preserve"> </w:t>
      </w:r>
      <w:r>
        <w:rPr>
          <w:rFonts w:ascii="Times New Roman" w:eastAsia="Times New Roman" w:hAnsi="Times New Roman" w:cs="Times New Roman"/>
          <w:spacing w:val="8"/>
        </w:rPr>
        <w:t xml:space="preserve">A.1   </w:t>
      </w:r>
      <w:r>
        <w:rPr>
          <w:spacing w:val="8"/>
        </w:rPr>
        <w:t>中。</w:t>
      </w:r>
    </w:p>
    <w:p>
      <w:pPr>
        <w:pStyle w:val="BodyText"/>
        <w:spacing w:before="73" w:line="212" w:lineRule="auto"/>
        <w:ind w:left="105"/>
      </w:pPr>
      <w:r>
        <w:rPr>
          <w:spacing w:val="9"/>
        </w:rPr>
        <w:t xml:space="preserve">6.4  电容值在300 </w:t>
      </w:r>
      <w:r>
        <w:rPr>
          <w:rFonts w:ascii="Times New Roman" w:eastAsia="Times New Roman" w:hAnsi="Times New Roman" w:cs="Times New Roman"/>
        </w:rPr>
        <w:t>pF</w:t>
      </w:r>
      <w:r>
        <w:rPr>
          <w:rFonts w:ascii="Times New Roman" w:eastAsia="Times New Roman" w:hAnsi="Times New Roman" w:cs="Times New Roman"/>
          <w:spacing w:val="9"/>
        </w:rPr>
        <w:t xml:space="preserve">  </w:t>
      </w:r>
      <w:r>
        <w:rPr>
          <w:spacing w:val="9"/>
        </w:rPr>
        <w:t>以上的高频电容损耗标准器的初</w:t>
      </w:r>
      <w:r>
        <w:rPr>
          <w:spacing w:val="8"/>
        </w:rPr>
        <w:t>损耗值</w:t>
      </w:r>
    </w:p>
    <w:p>
      <w:pPr>
        <w:pStyle w:val="BodyText"/>
        <w:spacing w:before="96" w:line="212" w:lineRule="auto"/>
        <w:ind w:left="105"/>
        <w:rPr>
          <w:rFonts w:ascii="Times New Roman" w:eastAsia="Times New Roman" w:hAnsi="Times New Roman" w:cs="Times New Roman"/>
        </w:rPr>
      </w:pPr>
      <w:r>
        <w:rPr>
          <w:spacing w:val="10"/>
        </w:rPr>
        <w:t>6.4.1  根据被校高频电容损耗标准器的标称电容值选定</w:t>
      </w:r>
      <w:r>
        <w:rPr>
          <w:spacing w:val="9"/>
        </w:rPr>
        <w:t>组合的电容单元</w:t>
      </w:r>
      <w:r>
        <w:rPr>
          <w:rFonts w:ascii="Times New Roman" w:eastAsia="Times New Roman" w:hAnsi="Times New Roman" w:cs="Times New Roman"/>
          <w:spacing w:val="9"/>
        </w:rPr>
        <w:t>a,b,c,…,</w:t>
      </w:r>
    </w:p>
    <w:p>
      <w:pPr>
        <w:pStyle w:val="BodyText"/>
        <w:spacing w:before="116" w:line="252" w:lineRule="auto"/>
        <w:ind w:left="144" w:right="51" w:hanging="39"/>
      </w:pPr>
      <w:r>
        <w:rPr>
          <w:spacing w:val="14"/>
        </w:rPr>
        <w:t>通过并联测量夹具构成“组合模拟损耗标准器”,并联后的“组</w:t>
      </w:r>
      <w:r>
        <w:rPr>
          <w:spacing w:val="13"/>
        </w:rPr>
        <w:t>合模拟损耗标准器”的</w:t>
      </w:r>
      <w:r>
        <w:t xml:space="preserve"> </w:t>
      </w:r>
      <w:r>
        <w:rPr>
          <w:spacing w:val="31"/>
        </w:rPr>
        <w:t>电容和损耗按式(3)和式(4)计算：</w:t>
      </w:r>
    </w:p>
    <w:sdt>
      <w:sdtPr>
        <w:rPr>
          <w:rFonts w:ascii="Times New Roman" w:eastAsia="Times New Roman" w:hAnsi="Times New Roman" w:cs="Times New Roman"/>
          <w:sz w:val="23"/>
          <w:szCs w:val="23"/>
        </w:rPr>
        <w:id w:val="1527423483"/>
        <w:docPartObj>
          <w:docPartGallery w:val="Table of Contents"/>
          <w:docPartUnique/>
        </w:docPartObj>
      </w:sdtPr>
      <w:sdtEndPr>
        <w:rPr>
          <w:rFonts w:ascii="SimSun" w:eastAsia="SimSun" w:hAnsi="SimSun" w:cs="SimSun"/>
          <w:sz w:val="23"/>
          <w:szCs w:val="23"/>
        </w:rPr>
      </w:sdtEndPr>
      <w:sdtContent>
        <w:p>
          <w:pPr>
            <w:pStyle w:val="BodyText"/>
            <w:tabs>
              <w:tab w:val="right" w:leader="dot" w:pos="9210"/>
            </w:tabs>
            <w:spacing w:before="101" w:line="222" w:lineRule="auto"/>
            <w:ind w:left="3495"/>
          </w:pPr>
          <w:r>
            <w:rPr>
              <w:rFonts w:ascii="Times New Roman" w:eastAsia="Times New Roman" w:hAnsi="Times New Roman" w:cs="Times New Roman"/>
              <w:spacing w:val="-4"/>
            </w:rPr>
            <w:t>C#=C</w:t>
          </w:r>
          <w:r>
            <w:rPr>
              <w:rFonts w:ascii="Times New Roman" w:eastAsia="Times New Roman" w:hAnsi="Times New Roman" w:cs="Times New Roman"/>
              <w:spacing w:val="-21"/>
            </w:rPr>
            <w:t xml:space="preserve"> </w:t>
          </w:r>
          <w:r>
            <w:rPr>
              <w:spacing w:val="-4"/>
            </w:rPr>
            <w:t>。</w:t>
          </w:r>
          <w:r>
            <w:rPr>
              <w:rFonts w:ascii="Times New Roman" w:eastAsia="Times New Roman" w:hAnsi="Times New Roman" w:cs="Times New Roman"/>
              <w:spacing w:val="-4"/>
            </w:rPr>
            <w:t>+C₀+C.+</w:t>
          </w:r>
          <w:r>
            <w:rPr>
              <w:rFonts w:ascii="Times New Roman" w:eastAsia="Times New Roman" w:hAnsi="Times New Roman" w:cs="Times New Roman"/>
              <w:spacing w:val="-32"/>
            </w:rPr>
            <w:t xml:space="preserve"> </w:t>
          </w:r>
          <w:r>
            <w:rPr>
              <w:rFonts w:ascii="Times New Roman" w:eastAsia="Times New Roman" w:hAnsi="Times New Roman" w:cs="Times New Roman"/>
            </w:rPr>
            <w:tab/>
          </w:r>
          <w:r>
            <w:rPr>
              <w:rFonts w:ascii="Times New Roman" w:eastAsia="Times New Roman" w:hAnsi="Times New Roman" w:cs="Times New Roman"/>
              <w:spacing w:val="1"/>
            </w:rPr>
            <w:t xml:space="preserve">                               </w:t>
          </w:r>
          <w:r>
            <w:rPr>
              <w:rFonts w:ascii="Times New Roman" w:eastAsia="Times New Roman" w:hAnsi="Times New Roman" w:cs="Times New Roman"/>
            </w:rPr>
            <w:t xml:space="preserve">                               </w:t>
          </w:r>
          <w:r>
            <w:rPr>
              <w:spacing w:val="-17"/>
              <w:position w:val="1"/>
            </w:rPr>
            <w:t>(</w:t>
          </w:r>
          <w:hyperlink w:anchor="bookmark4" w:history="1">
            <w:r>
              <w:rPr>
                <w:spacing w:val="-17"/>
                <w:position w:val="1"/>
              </w:rPr>
              <w:t>3)</w:t>
            </w:r>
          </w:hyperlink>
        </w:p>
        <w:p>
          <w:pPr>
            <w:pStyle w:val="BodyText"/>
            <w:spacing w:before="90"/>
            <w:ind w:left="2244"/>
          </w:pPr>
          <w:r>
            <w:rPr>
              <w:position w:val="-18"/>
            </w:rPr>
            <w:drawing>
              <wp:inline distT="0" distB="0" distL="0" distR="0">
                <wp:extent cx="3092484" cy="34289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3092484" cy="342894"/>
                        </a:xfrm>
                        <a:prstGeom prst="rect">
                          <a:avLst/>
                        </a:prstGeom>
                      </pic:spPr>
                    </pic:pic>
                  </a:graphicData>
                </a:graphic>
              </wp:inline>
            </w:drawing>
          </w:r>
          <w:r>
            <w:rPr>
              <w:spacing w:val="5"/>
            </w:rPr>
            <w:t xml:space="preserve">               </w:t>
          </w:r>
          <w:r>
            <w:rPr>
              <w:spacing w:val="-17"/>
            </w:rPr>
            <w:t>(</w:t>
          </w:r>
          <w:hyperlink w:anchor="bookmark2" w:history="1">
            <w:r>
              <w:rPr>
                <w:spacing w:val="-17"/>
              </w:rPr>
              <w:t>4)</w:t>
            </w:r>
          </w:hyperlink>
        </w:p>
      </w:sdtContent>
    </w:sdt>
    <w:p>
      <w:pPr>
        <w:pStyle w:val="BodyText"/>
        <w:spacing w:before="110" w:line="220" w:lineRule="auto"/>
        <w:ind w:left="575"/>
      </w:pPr>
      <w:r>
        <w:rPr>
          <w:spacing w:val="-6"/>
        </w:rPr>
        <w:t>式中：</w:t>
      </w:r>
    </w:p>
    <w:p>
      <w:pPr>
        <w:pStyle w:val="BodyText"/>
        <w:spacing w:before="90" w:line="212" w:lineRule="auto"/>
        <w:ind w:left="585"/>
        <w:rPr>
          <w:rFonts w:ascii="Times New Roman" w:eastAsia="Times New Roman" w:hAnsi="Times New Roman" w:cs="Times New Roman"/>
        </w:rPr>
      </w:pPr>
      <w:r>
        <w:rPr>
          <w:rFonts w:ascii="Times New Roman" w:eastAsia="Times New Roman" w:hAnsi="Times New Roman" w:cs="Times New Roman"/>
          <w:spacing w:val="1"/>
        </w:rPr>
        <w:t>C</w:t>
      </w:r>
      <w:r>
        <w:rPr>
          <w:spacing w:val="1"/>
        </w:rPr>
        <w:t>并——“组合模拟损耗标准器”的电容值，</w:t>
      </w:r>
      <w:r>
        <w:t xml:space="preserve"> </w:t>
      </w:r>
      <w:r>
        <w:rPr>
          <w:rFonts w:ascii="Times New Roman" w:eastAsia="Times New Roman" w:hAnsi="Times New Roman" w:cs="Times New Roman"/>
        </w:rPr>
        <w:t>pF;</w:t>
      </w:r>
    </w:p>
    <w:p>
      <w:pPr>
        <w:pStyle w:val="BodyText"/>
        <w:spacing w:before="116" w:line="214" w:lineRule="auto"/>
        <w:ind w:left="645"/>
      </w:pPr>
      <w:r>
        <w:rPr>
          <w:spacing w:val="-3"/>
        </w:rPr>
        <w:t>C;——</w:t>
      </w:r>
      <w:r>
        <w:rPr>
          <w:spacing w:val="-28"/>
        </w:rPr>
        <w:t xml:space="preserve"> </w:t>
      </w:r>
      <w:r>
        <w:rPr>
          <w:spacing w:val="-3"/>
        </w:rPr>
        <w:t>电容单元i 的电容值， i=a,b,c,…,pF;</w:t>
      </w:r>
    </w:p>
    <w:p>
      <w:pPr>
        <w:pStyle w:val="BodyText"/>
        <w:spacing w:before="107" w:line="219" w:lineRule="auto"/>
        <w:ind w:left="315"/>
      </w:pPr>
      <w:r>
        <w:t>tan</w:t>
      </w:r>
      <w:r>
        <w:rPr>
          <w:spacing w:val="4"/>
        </w:rPr>
        <w:t>ô并——“组合模拟损耗标准器”的损耗，无量纲；</w:t>
      </w:r>
    </w:p>
    <w:p>
      <w:pPr>
        <w:pStyle w:val="BodyText"/>
        <w:spacing w:before="84" w:line="212" w:lineRule="auto"/>
        <w:ind w:left="375"/>
      </w:pPr>
      <w:r>
        <w:rPr>
          <w:rFonts w:ascii="Times New Roman" w:eastAsia="Times New Roman" w:hAnsi="Times New Roman" w:cs="Times New Roman"/>
        </w:rPr>
        <w:t>tan</w:t>
      </w:r>
      <w:r>
        <w:rPr>
          <w:rFonts w:ascii="Times New Roman" w:eastAsia="Times New Roman" w:hAnsi="Times New Roman" w:cs="Times New Roman"/>
          <w:spacing w:val="1"/>
        </w:rPr>
        <w:t>ò;——</w:t>
      </w:r>
      <w:r>
        <w:rPr>
          <w:rFonts w:ascii="Times New Roman" w:eastAsia="Times New Roman" w:hAnsi="Times New Roman" w:cs="Times New Roman"/>
          <w:spacing w:val="54"/>
        </w:rPr>
        <w:t xml:space="preserve"> </w:t>
      </w:r>
      <w:r>
        <w:rPr>
          <w:spacing w:val="1"/>
        </w:rPr>
        <w:t>电容单元</w:t>
      </w:r>
      <w:r>
        <w:rPr>
          <w:rFonts w:ascii="Times New Roman" w:eastAsia="Times New Roman" w:hAnsi="Times New Roman" w:cs="Times New Roman"/>
          <w:spacing w:val="1"/>
        </w:rPr>
        <w:t xml:space="preserve">i  </w:t>
      </w:r>
      <w:r>
        <w:rPr>
          <w:spacing w:val="1"/>
        </w:rPr>
        <w:t xml:space="preserve">的损耗， </w:t>
      </w:r>
      <w:r>
        <w:rPr>
          <w:rFonts w:ascii="Times New Roman" w:eastAsia="Times New Roman" w:hAnsi="Times New Roman" w:cs="Times New Roman"/>
          <w:spacing w:val="1"/>
        </w:rPr>
        <w:t>i=a,b</w:t>
      </w:r>
      <w:r>
        <w:rPr>
          <w:rFonts w:ascii="Times New Roman" w:eastAsia="Times New Roman" w:hAnsi="Times New Roman" w:cs="Times New Roman"/>
        </w:rPr>
        <w:t>,c,…,</w:t>
      </w:r>
      <w:r>
        <w:rPr>
          <w:rFonts w:ascii="Times New Roman" w:eastAsia="Times New Roman" w:hAnsi="Times New Roman" w:cs="Times New Roman"/>
          <w:spacing w:val="2"/>
        </w:rPr>
        <w:t xml:space="preserve">               </w:t>
      </w:r>
      <w:r>
        <w:t>无量纲。</w:t>
      </w:r>
    </w:p>
    <w:p>
      <w:pPr>
        <w:pStyle w:val="BodyText"/>
        <w:spacing w:before="117" w:line="255" w:lineRule="auto"/>
        <w:ind w:right="58" w:firstLine="105"/>
      </w:pPr>
      <w:r>
        <w:rPr>
          <w:spacing w:val="25"/>
        </w:rPr>
        <w:t>6.4.2</w:t>
      </w:r>
      <w:r>
        <w:rPr>
          <w:spacing w:val="12"/>
        </w:rPr>
        <w:t xml:space="preserve">  </w:t>
      </w:r>
      <w:r>
        <w:rPr>
          <w:spacing w:val="25"/>
        </w:rPr>
        <w:t>校准时的仪器连接参照图2,其中“被校高频电容损耗标准器”部分替换为</w:t>
      </w:r>
      <w:r>
        <w:rPr>
          <w:spacing w:val="1"/>
        </w:rPr>
        <w:t xml:space="preserve"> </w:t>
      </w:r>
      <w:r>
        <w:rPr>
          <w:spacing w:val="8"/>
        </w:rPr>
        <w:t>“组合模拟损耗标准器”。选择合适的测量辅助线圈连接到</w:t>
      </w:r>
      <w:r>
        <w:rPr>
          <w:spacing w:val="7"/>
        </w:rPr>
        <w:t>高频Q 表的电感端。</w:t>
      </w:r>
    </w:p>
    <w:p>
      <w:pPr>
        <w:pStyle w:val="BodyText"/>
        <w:spacing w:before="88" w:line="242" w:lineRule="auto"/>
        <w:ind w:left="105" w:right="60"/>
      </w:pPr>
      <w:r>
        <w:rPr>
          <w:spacing w:val="11"/>
        </w:rPr>
        <w:t>6.4.3  调节高频</w:t>
      </w:r>
      <w:r>
        <w:rPr>
          <w:spacing w:val="-64"/>
        </w:rPr>
        <w:t xml:space="preserve"> </w:t>
      </w:r>
      <w:r>
        <w:rPr>
          <w:spacing w:val="11"/>
        </w:rPr>
        <w:t>Q 表的主、微调谐电容度盘，使其能够产生谐振，产生谐振后使直流</w:t>
      </w:r>
      <w:r>
        <w:t xml:space="preserve"> </w:t>
      </w:r>
      <w:r>
        <w:rPr>
          <w:spacing w:val="10"/>
        </w:rPr>
        <w:t>电压表显示重新出现最大值。记下此时的调谐电容为</w:t>
      </w:r>
      <w:r>
        <w:rPr>
          <w:spacing w:val="-67"/>
        </w:rPr>
        <w:t xml:space="preserve"> </w:t>
      </w:r>
      <w:r>
        <w:rPr>
          <w:rFonts w:ascii="Times New Roman" w:eastAsia="Times New Roman" w:hAnsi="Times New Roman" w:cs="Times New Roman"/>
          <w:spacing w:val="10"/>
        </w:rPr>
        <w:t xml:space="preserve">C₁,Q     </w:t>
      </w:r>
      <w:r>
        <w:rPr>
          <w:spacing w:val="10"/>
        </w:rPr>
        <w:t>值读数为</w:t>
      </w:r>
      <w:r>
        <w:rPr>
          <w:rFonts w:ascii="Times New Roman" w:eastAsia="Times New Roman" w:hAnsi="Times New Roman" w:cs="Times New Roman"/>
          <w:spacing w:val="10"/>
        </w:rPr>
        <w:t>Q₁</w:t>
      </w:r>
      <w:r>
        <w:rPr>
          <w:spacing w:val="10"/>
        </w:rPr>
        <w:t>。</w:t>
      </w:r>
    </w:p>
    <w:p>
      <w:pPr>
        <w:pStyle w:val="BodyText"/>
        <w:spacing w:before="94" w:line="261" w:lineRule="auto"/>
        <w:ind w:left="95" w:right="28"/>
      </w:pPr>
      <w:r>
        <w:rPr>
          <w:spacing w:val="11"/>
        </w:rPr>
        <w:t>6.4.4  取下“组合模拟损耗标准器</w:t>
      </w:r>
      <w:r>
        <w:rPr>
          <w:spacing w:val="10"/>
        </w:rPr>
        <w:t>”,换上被校高频电容损耗标准器，再次微调高频</w:t>
      </w:r>
      <w:r>
        <w:rPr>
          <w:spacing w:val="-64"/>
        </w:rPr>
        <w:t xml:space="preserve"> </w:t>
      </w:r>
      <w:r>
        <w:rPr>
          <w:rFonts w:ascii="Times New Roman" w:eastAsia="Times New Roman" w:hAnsi="Times New Roman" w:cs="Times New Roman"/>
          <w:spacing w:val="10"/>
        </w:rPr>
        <w:t>Q</w:t>
      </w:r>
      <w:r>
        <w:rPr>
          <w:rFonts w:ascii="Times New Roman" w:eastAsia="Times New Roman" w:hAnsi="Times New Roman" w:cs="Times New Roman"/>
        </w:rPr>
        <w:t xml:space="preserve"> </w:t>
      </w:r>
      <w:r>
        <w:rPr>
          <w:spacing w:val="12"/>
        </w:rPr>
        <w:t>表主、微微调谐电容度盘，产生谐振后使直流电压</w:t>
      </w:r>
      <w:r>
        <w:rPr>
          <w:spacing w:val="11"/>
        </w:rPr>
        <w:t>表显示再次出现最大值，记下此时直</w:t>
      </w:r>
      <w:r>
        <w:t xml:space="preserve"> </w:t>
      </w:r>
      <w:r>
        <w:rPr>
          <w:spacing w:val="4"/>
        </w:rPr>
        <w:t>流电压表对应的</w:t>
      </w:r>
      <w:r>
        <w:rPr>
          <w:spacing w:val="-30"/>
        </w:rPr>
        <w:t xml:space="preserve"> </w:t>
      </w:r>
      <w:r>
        <w:rPr>
          <w:rFonts w:ascii="Times New Roman" w:eastAsia="Times New Roman" w:hAnsi="Times New Roman" w:cs="Times New Roman"/>
          <w:spacing w:val="4"/>
        </w:rPr>
        <w:t xml:space="preserve">Q </w:t>
      </w:r>
      <w:r>
        <w:rPr>
          <w:spacing w:val="4"/>
        </w:rPr>
        <w:t>值读数</w:t>
      </w:r>
      <w:r>
        <w:rPr>
          <w:spacing w:val="-35"/>
        </w:rPr>
        <w:t xml:space="preserve"> </w:t>
      </w:r>
      <w:r>
        <w:rPr>
          <w:rFonts w:ascii="Times New Roman" w:eastAsia="Times New Roman" w:hAnsi="Times New Roman" w:cs="Times New Roman"/>
        </w:rPr>
        <w:t>Ql</w:t>
      </w:r>
      <w:r>
        <w:rPr>
          <w:spacing w:val="4"/>
        </w:rPr>
        <w:t>。</w:t>
      </w:r>
    </w:p>
    <w:p>
      <w:pPr>
        <w:pStyle w:val="BodyText"/>
        <w:spacing w:before="138" w:line="219" w:lineRule="auto"/>
        <w:ind w:left="84"/>
      </w:pPr>
      <w:r>
        <w:rPr>
          <w:spacing w:val="16"/>
        </w:rPr>
        <w:t>6.4.5  按式(5)计算被校高频电容损耗标准器的初损耗</w:t>
      </w:r>
      <w:r>
        <w:rPr>
          <w:spacing w:val="15"/>
        </w:rPr>
        <w:t>值：</w:t>
      </w:r>
    </w:p>
    <w:p>
      <w:pPr>
        <w:pStyle w:val="BodyText"/>
        <w:spacing w:before="78"/>
        <w:ind w:right="78"/>
        <w:jc w:val="right"/>
        <w:sectPr>
          <w:headerReference w:type="default" r:id="rId24"/>
          <w:footerReference w:type="default" r:id="rId25"/>
          <w:pgSz w:w="11290" w:h="16610"/>
          <w:pgMar w:top="1529" w:right="1139" w:bottom="1075" w:left="844" w:header="1274" w:footer="926" w:gutter="0"/>
          <w:pgNumType w:start="9"/>
          <w:cols w:space="708"/>
        </w:sectPr>
      </w:pPr>
      <w:r>
        <w:rPr>
          <w:position w:val="-20"/>
        </w:rPr>
        <w:drawing>
          <wp:inline distT="0" distB="0" distL="0" distR="0">
            <wp:extent cx="2266956" cy="37464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6"/>
                    <a:stretch>
                      <a:fillRect/>
                    </a:stretch>
                  </pic:blipFill>
                  <pic:spPr>
                    <a:xfrm>
                      <a:off x="0" y="0"/>
                      <a:ext cx="2266956" cy="374641"/>
                    </a:xfrm>
                    <a:prstGeom prst="rect">
                      <a:avLst/>
                    </a:prstGeom>
                  </pic:spPr>
                </pic:pic>
              </a:graphicData>
            </a:graphic>
          </wp:inline>
        </w:drawing>
      </w:r>
      <w:r>
        <w:rPr>
          <w:spacing w:val="3"/>
        </w:rPr>
        <w:t xml:space="preserve">                     </w:t>
      </w:r>
      <w:r>
        <w:rPr>
          <w:spacing w:val="-11"/>
        </w:rPr>
        <w:t>(5)</w:t>
      </w:r>
    </w:p>
    <w:p>
      <w:pPr>
        <w:pStyle w:val="BodyText"/>
        <w:spacing w:before="100" w:line="220" w:lineRule="auto"/>
        <w:ind w:left="565"/>
      </w:pPr>
      <w:r>
        <w:rPr>
          <w:spacing w:val="-4"/>
        </w:rPr>
        <w:t>式中：</w:t>
      </w:r>
    </w:p>
    <w:p>
      <w:pPr>
        <w:pStyle w:val="BodyText"/>
        <w:spacing w:before="104" w:line="365" w:lineRule="exact"/>
        <w:ind w:left="554"/>
      </w:pPr>
      <w:r>
        <w:rPr>
          <w:rFonts w:ascii="Times New Roman" w:eastAsia="Times New Roman" w:hAnsi="Times New Roman" w:cs="Times New Roman"/>
          <w:position w:val="9"/>
        </w:rPr>
        <w:t>tan</w:t>
      </w:r>
      <w:r>
        <w:rPr>
          <w:rFonts w:ascii="Times New Roman" w:eastAsia="Times New Roman" w:hAnsi="Times New Roman" w:cs="Times New Roman"/>
          <w:spacing w:val="6"/>
          <w:position w:val="9"/>
        </w:rPr>
        <w:t xml:space="preserve">à </w:t>
      </w:r>
      <w:r>
        <w:rPr>
          <w:spacing w:val="6"/>
          <w:position w:val="9"/>
        </w:rPr>
        <w:t>井——“组合模拟损耗标准器”的损耗，无量纲；</w:t>
      </w:r>
    </w:p>
    <w:p>
      <w:pPr>
        <w:pStyle w:val="BodyText"/>
        <w:spacing w:line="214" w:lineRule="auto"/>
        <w:ind w:left="825"/>
      </w:pPr>
      <w:r>
        <w:rPr>
          <w:spacing w:val="2"/>
        </w:rPr>
        <w:t>C</w:t>
      </w:r>
      <w:r>
        <w:rPr>
          <w:spacing w:val="-46"/>
        </w:rPr>
        <w:t xml:space="preserve"> </w:t>
      </w:r>
      <w:r>
        <w:rPr>
          <w:spacing w:val="2"/>
        </w:rPr>
        <w:t>并——“组合模拟损耗标准器”的电容，</w:t>
      </w:r>
      <w:r>
        <w:rPr>
          <w:spacing w:val="-55"/>
        </w:rPr>
        <w:t xml:space="preserve"> </w:t>
      </w:r>
      <w:r>
        <w:t>pF</w:t>
      </w:r>
      <w:r>
        <w:rPr>
          <w:spacing w:val="2"/>
        </w:rPr>
        <w:t>;</w:t>
      </w:r>
    </w:p>
    <w:p>
      <w:pPr>
        <w:pStyle w:val="BodyText"/>
        <w:spacing w:before="93" w:line="214" w:lineRule="auto"/>
        <w:ind w:left="884"/>
      </w:pPr>
      <w:r>
        <w:rPr>
          <w:spacing w:val="1"/>
        </w:rPr>
        <w:t>C</w:t>
      </w:r>
      <w:r>
        <w:rPr>
          <w:rFonts w:ascii="Calibri" w:eastAsia="Calibri" w:hAnsi="Calibri" w:cs="Calibri"/>
          <w:spacing w:val="1"/>
        </w:rPr>
        <w:t>₁</w:t>
      </w:r>
      <w:r>
        <w:rPr>
          <w:spacing w:val="1"/>
        </w:rPr>
        <w:t>——  “组合模拟损耗标准器”产生谐振时的调谐电容，</w:t>
      </w:r>
      <w:r>
        <w:t xml:space="preserve"> pF;</w:t>
      </w:r>
    </w:p>
    <w:p>
      <w:pPr>
        <w:spacing w:line="214" w:lineRule="auto"/>
        <w:sectPr>
          <w:headerReference w:type="default" r:id="rId27"/>
          <w:footerReference w:type="default" r:id="rId28"/>
          <w:type w:val="nextPage"/>
          <w:pgSz w:w="11290" w:h="16610"/>
          <w:pgMar w:top="1529" w:right="1139" w:bottom="1075" w:left="844" w:header="1274" w:footer="926" w:gutter="0"/>
          <w:pgNumType w:start="10"/>
          <w:cols w:space="708"/>
          <w:titlePg w:val="0"/>
        </w:sectPr>
      </w:pPr>
    </w:p>
    <w:p>
      <w:pPr>
        <w:pStyle w:val="BodyText"/>
        <w:spacing w:before="208" w:line="244" w:lineRule="auto"/>
        <w:ind w:left="819" w:right="1840"/>
        <w:rPr>
          <w:sz w:val="24"/>
          <w:szCs w:val="24"/>
        </w:rPr>
      </w:pPr>
      <w:r>
        <w:rPr>
          <w:rFonts w:ascii="Arial" w:eastAsia="Arial" w:hAnsi="Arial" w:cs="Arial"/>
          <w:spacing w:val="-3"/>
          <w:sz w:val="24"/>
          <w:szCs w:val="24"/>
        </w:rPr>
        <w:t>Q</w:t>
      </w:r>
      <w:r>
        <w:rPr>
          <w:rFonts w:ascii="Calibri" w:eastAsia="Calibri" w:hAnsi="Calibri" w:cs="Calibri"/>
          <w:spacing w:val="-3"/>
          <w:sz w:val="24"/>
          <w:szCs w:val="24"/>
        </w:rPr>
        <w:t xml:space="preserve">₁ </w:t>
      </w:r>
      <w:r>
        <w:rPr>
          <w:rFonts w:ascii="Calibri" w:eastAsia="Calibri" w:hAnsi="Calibri" w:cs="Calibri"/>
          <w:spacing w:val="-3"/>
          <w:sz w:val="24"/>
          <w:szCs w:val="24"/>
          <w:u w:val="single" w:color="auto"/>
        </w:rPr>
        <w:t xml:space="preserve">         </w:t>
      </w:r>
      <w:r>
        <w:rPr>
          <w:rFonts w:ascii="Calibri" w:eastAsia="Calibri" w:hAnsi="Calibri" w:cs="Calibri"/>
          <w:spacing w:val="-3"/>
          <w:sz w:val="24"/>
          <w:szCs w:val="24"/>
        </w:rPr>
        <w:t xml:space="preserve">  </w:t>
      </w:r>
      <w:r>
        <w:rPr>
          <w:spacing w:val="-3"/>
          <w:sz w:val="24"/>
          <w:szCs w:val="24"/>
        </w:rPr>
        <w:t>“组合模拟损耗标准器”产生谐振时的</w:t>
      </w:r>
      <w:r>
        <w:rPr>
          <w:rFonts w:ascii="Times New Roman" w:eastAsia="Times New Roman" w:hAnsi="Times New Roman" w:cs="Times New Roman"/>
          <w:spacing w:val="-3"/>
          <w:sz w:val="24"/>
          <w:szCs w:val="24"/>
        </w:rPr>
        <w:t>Q</w:t>
      </w:r>
      <w:r>
        <w:rPr>
          <w:rFonts w:ascii="Times New Roman" w:eastAsia="Times New Roman" w:hAnsi="Times New Roman" w:cs="Times New Roman"/>
          <w:spacing w:val="22"/>
          <w:w w:val="101"/>
          <w:sz w:val="24"/>
          <w:szCs w:val="24"/>
        </w:rPr>
        <w:t xml:space="preserve"> </w:t>
      </w:r>
      <w:r>
        <w:rPr>
          <w:spacing w:val="-3"/>
          <w:sz w:val="24"/>
          <w:szCs w:val="24"/>
        </w:rPr>
        <w:t>值，无量纲；</w:t>
      </w:r>
      <w:r>
        <w:rPr>
          <w:sz w:val="24"/>
          <w:szCs w:val="24"/>
        </w:rPr>
        <w:t xml:space="preserve"> </w:t>
      </w:r>
      <w:r>
        <w:rPr>
          <w:rFonts w:ascii="Times New Roman" w:eastAsia="Times New Roman" w:hAnsi="Times New Roman" w:cs="Times New Roman"/>
          <w:spacing w:val="2"/>
          <w:sz w:val="24"/>
          <w:szCs w:val="24"/>
        </w:rPr>
        <w:t>Q/——</w:t>
      </w:r>
      <w:r>
        <w:rPr>
          <w:rFonts w:ascii="Times New Roman" w:eastAsia="Times New Roman" w:hAnsi="Times New Roman" w:cs="Times New Roman"/>
          <w:spacing w:val="-7"/>
          <w:sz w:val="24"/>
          <w:szCs w:val="24"/>
        </w:rPr>
        <w:t xml:space="preserve"> </w:t>
      </w:r>
      <w:r>
        <w:rPr>
          <w:spacing w:val="2"/>
          <w:sz w:val="24"/>
          <w:szCs w:val="24"/>
        </w:rPr>
        <w:t>被校电容损耗标准器产生谐振时的</w:t>
      </w:r>
      <w:r>
        <w:rPr>
          <w:rFonts w:ascii="Times New Roman" w:eastAsia="Times New Roman" w:hAnsi="Times New Roman" w:cs="Times New Roman"/>
          <w:spacing w:val="2"/>
          <w:sz w:val="24"/>
          <w:szCs w:val="24"/>
        </w:rPr>
        <w:t xml:space="preserve">Q </w:t>
      </w:r>
      <w:r>
        <w:rPr>
          <w:spacing w:val="2"/>
          <w:sz w:val="24"/>
          <w:szCs w:val="24"/>
        </w:rPr>
        <w:t>值，无量纲。</w:t>
      </w:r>
    </w:p>
    <w:p>
      <w:pPr>
        <w:pStyle w:val="BodyText"/>
        <w:spacing w:before="115" w:line="219" w:lineRule="auto"/>
        <w:ind w:left="9"/>
        <w:rPr>
          <w:sz w:val="24"/>
          <w:szCs w:val="24"/>
        </w:rPr>
      </w:pPr>
      <w:r>
        <w:rPr>
          <w:spacing w:val="1"/>
          <w:sz w:val="24"/>
          <w:szCs w:val="24"/>
        </w:rPr>
        <w:t>6.4.6</w:t>
      </w:r>
      <w:r>
        <w:rPr>
          <w:spacing w:val="110"/>
          <w:sz w:val="24"/>
          <w:szCs w:val="24"/>
        </w:rPr>
        <w:t xml:space="preserve"> </w:t>
      </w:r>
      <w:r>
        <w:rPr>
          <w:spacing w:val="1"/>
          <w:sz w:val="24"/>
          <w:szCs w:val="24"/>
        </w:rPr>
        <w:t>将上述校准过程中的量值及初损耗值计算结果记录到附录</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19"/>
          <w:sz w:val="24"/>
          <w:szCs w:val="24"/>
        </w:rPr>
        <w:t xml:space="preserve"> </w:t>
      </w: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A.2</w:t>
      </w:r>
      <w:r>
        <w:rPr>
          <w:rFonts w:ascii="Times New Roman" w:eastAsia="Times New Roman" w:hAnsi="Times New Roman" w:cs="Times New Roman"/>
          <w:spacing w:val="19"/>
          <w:w w:val="101"/>
          <w:sz w:val="24"/>
          <w:szCs w:val="24"/>
        </w:rPr>
        <w:t xml:space="preserve">  </w:t>
      </w:r>
      <w:r>
        <w:rPr>
          <w:spacing w:val="1"/>
          <w:sz w:val="24"/>
          <w:szCs w:val="24"/>
        </w:rPr>
        <w:t>中</w:t>
      </w:r>
    </w:p>
    <w:p>
      <w:pPr>
        <w:pStyle w:val="BodyText"/>
        <w:spacing w:before="87" w:line="219" w:lineRule="auto"/>
        <w:ind w:left="9"/>
        <w:rPr>
          <w:sz w:val="24"/>
          <w:szCs w:val="24"/>
        </w:rPr>
      </w:pPr>
      <w:r>
        <w:rPr>
          <w:spacing w:val="-3"/>
          <w:sz w:val="24"/>
          <w:szCs w:val="24"/>
        </w:rPr>
        <w:t>6.5  大损耗值</w:t>
      </w:r>
    </w:p>
    <w:p>
      <w:pPr>
        <w:pStyle w:val="BodyText"/>
        <w:spacing w:before="44" w:line="260" w:lineRule="auto"/>
        <w:ind w:left="9" w:right="70"/>
        <w:rPr>
          <w:sz w:val="24"/>
          <w:szCs w:val="24"/>
        </w:rPr>
      </w:pPr>
      <w:r>
        <w:rPr>
          <w:spacing w:val="6"/>
          <w:sz w:val="24"/>
          <w:szCs w:val="24"/>
        </w:rPr>
        <w:t>6.5.1</w:t>
      </w:r>
      <w:r>
        <w:rPr>
          <w:spacing w:val="103"/>
          <w:sz w:val="24"/>
          <w:szCs w:val="24"/>
        </w:rPr>
        <w:t xml:space="preserve"> </w:t>
      </w:r>
      <w:r>
        <w:rPr>
          <w:spacing w:val="6"/>
          <w:sz w:val="24"/>
          <w:szCs w:val="24"/>
        </w:rPr>
        <w:t>仪器连接如图3所示。</w:t>
      </w:r>
      <w:r>
        <w:rPr>
          <w:rFonts w:ascii="Times New Roman" w:eastAsia="Times New Roman" w:hAnsi="Times New Roman" w:cs="Times New Roman"/>
          <w:sz w:val="24"/>
          <w:szCs w:val="24"/>
        </w:rPr>
        <w:t>LCR</w:t>
      </w:r>
      <w:r>
        <w:rPr>
          <w:rFonts w:ascii="Times New Roman" w:eastAsia="Times New Roman" w:hAnsi="Times New Roman" w:cs="Times New Roman"/>
          <w:spacing w:val="6"/>
          <w:sz w:val="24"/>
          <w:szCs w:val="24"/>
        </w:rPr>
        <w:t xml:space="preserve"> </w:t>
      </w:r>
      <w:r>
        <w:rPr>
          <w:spacing w:val="6"/>
          <w:sz w:val="24"/>
          <w:szCs w:val="24"/>
        </w:rPr>
        <w:t>表或其他符合要求的设备需预先经过开路、短路校</w:t>
      </w:r>
      <w:r>
        <w:rPr>
          <w:sz w:val="24"/>
          <w:szCs w:val="24"/>
        </w:rPr>
        <w:t xml:space="preserve"> </w:t>
      </w:r>
      <w:r>
        <w:rPr>
          <w:spacing w:val="-4"/>
          <w:sz w:val="24"/>
          <w:szCs w:val="24"/>
        </w:rPr>
        <w:t>准，并进行适当的夹具补偿。</w:t>
      </w:r>
    </w:p>
    <w:p>
      <w:pPr>
        <w:spacing w:before="93"/>
      </w:pPr>
    </w:p>
    <w:p>
      <w:pPr>
        <w:sectPr>
          <w:headerReference w:type="default" r:id="rId29"/>
          <w:footerReference w:type="default" r:id="rId30"/>
          <w:pgSz w:w="11290" w:h="16610"/>
          <w:pgMar w:top="1569" w:right="979" w:bottom="1044" w:left="1090" w:header="1265" w:footer="896" w:gutter="0"/>
          <w:pgNumType w:start="11"/>
          <w:cols w:num="1" w:space="708" w:equalWidth="0">
            <w:col w:w="9220" w:space="0"/>
          </w:cols>
        </w:sectPr>
      </w:pPr>
    </w:p>
    <w:p>
      <w:pPr>
        <w:spacing w:line="315" w:lineRule="auto"/>
        <w:rPr>
          <w:rFonts w:ascii="Arial"/>
          <w:sz w:val="21"/>
        </w:rPr>
      </w:pPr>
    </w:p>
    <w:p>
      <w:pPr>
        <w:pStyle w:val="BodyText"/>
        <w:spacing w:before="62" w:line="221" w:lineRule="auto"/>
        <w:ind w:left="2839"/>
        <w:rPr>
          <w:sz w:val="19"/>
          <w:szCs w:val="19"/>
        </w:rPr>
      </w:pPr>
      <w:r>
        <w:drawing>
          <wp:anchor distT="0" distB="0" distL="0" distR="0" simplePos="0" relativeHeight="251659264" behindDoc="1" locked="0" layoutInCell="1" allowOverlap="1">
            <wp:simplePos x="0" y="0"/>
            <wp:positionH relativeFrom="column">
              <wp:posOffset>1435048</wp:posOffset>
            </wp:positionH>
            <wp:positionV relativeFrom="paragraph">
              <wp:posOffset>-353528</wp:posOffset>
            </wp:positionV>
            <wp:extent cx="2965447" cy="996935"/>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1"/>
                    <a:stretch>
                      <a:fillRect/>
                    </a:stretch>
                  </pic:blipFill>
                  <pic:spPr>
                    <a:xfrm>
                      <a:off x="0" y="0"/>
                      <a:ext cx="2965447" cy="996935"/>
                    </a:xfrm>
                    <a:prstGeom prst="rect">
                      <a:avLst/>
                    </a:prstGeom>
                  </pic:spPr>
                </pic:pic>
              </a:graphicData>
            </a:graphic>
          </wp:anchor>
        </w:drawing>
      </w:r>
      <w:r>
        <w:rPr>
          <w:rFonts w:ascii="Times New Roman" w:eastAsia="Times New Roman" w:hAnsi="Times New Roman" w:cs="Times New Roman"/>
          <w:spacing w:val="-1"/>
          <w:sz w:val="19"/>
          <w:szCs w:val="19"/>
        </w:rPr>
        <w:t>LCR</w:t>
      </w:r>
      <w:r>
        <w:rPr>
          <w:spacing w:val="-1"/>
          <w:sz w:val="19"/>
          <w:szCs w:val="19"/>
        </w:rPr>
        <w:t>表</w:t>
      </w:r>
    </w:p>
    <w:p>
      <w:pPr>
        <w:spacing w:line="14" w:lineRule="auto"/>
        <w:rPr>
          <w:rFonts w:ascii="Arial"/>
          <w:sz w:val="2"/>
        </w:rPr>
      </w:pPr>
      <w:r>
        <w:rPr>
          <w:rFonts w:ascii="Arial" w:eastAsia="Arial" w:hAnsi="Arial" w:cs="Arial"/>
          <w:sz w:val="2"/>
          <w:szCs w:val="2"/>
        </w:rPr>
        <w:br w:type="column"/>
      </w:r>
    </w:p>
    <w:p>
      <w:pPr>
        <w:pStyle w:val="BodyText"/>
        <w:spacing w:before="36" w:line="390" w:lineRule="exact"/>
        <w:rPr>
          <w:sz w:val="19"/>
          <w:szCs w:val="19"/>
        </w:rPr>
      </w:pPr>
      <w:r>
        <w:rPr>
          <w:spacing w:val="-9"/>
          <w:position w:val="15"/>
          <w:sz w:val="19"/>
          <w:szCs w:val="19"/>
        </w:rPr>
        <w:t>被校高频</w:t>
      </w:r>
    </w:p>
    <w:p>
      <w:pPr>
        <w:pStyle w:val="BodyText"/>
        <w:spacing w:line="219" w:lineRule="auto"/>
        <w:rPr>
          <w:sz w:val="19"/>
          <w:szCs w:val="19"/>
        </w:rPr>
      </w:pPr>
      <w:r>
        <w:rPr>
          <w:spacing w:val="-16"/>
          <w:sz w:val="19"/>
          <w:szCs w:val="19"/>
        </w:rPr>
        <w:t>电容损耗</w:t>
      </w:r>
    </w:p>
    <w:p>
      <w:pPr>
        <w:spacing w:before="186" w:line="187" w:lineRule="auto"/>
        <w:ind w:left="89"/>
        <w:rPr>
          <w:rFonts w:ascii="SimHei" w:eastAsia="SimHei" w:hAnsi="SimHei" w:cs="SimHei"/>
          <w:sz w:val="19"/>
          <w:szCs w:val="19"/>
        </w:rPr>
      </w:pPr>
      <w:r>
        <w:rPr>
          <w:rFonts w:ascii="SimHei" w:eastAsia="SimHei" w:hAnsi="SimHei" w:cs="SimHei"/>
          <w:spacing w:val="-7"/>
          <w:sz w:val="19"/>
          <w:szCs w:val="19"/>
        </w:rPr>
        <w:t>标准器</w:t>
      </w:r>
    </w:p>
    <w:p>
      <w:pPr>
        <w:spacing w:line="187" w:lineRule="auto"/>
        <w:rPr>
          <w:rFonts w:ascii="SimHei" w:eastAsia="SimHei" w:hAnsi="SimHei" w:cs="SimHei"/>
          <w:sz w:val="19"/>
          <w:szCs w:val="19"/>
        </w:rPr>
        <w:sectPr>
          <w:headerReference w:type="default" r:id="rId32"/>
          <w:footerReference w:type="default" r:id="rId33"/>
          <w:type w:val="continuous"/>
          <w:pgSz w:w="11290" w:h="16610"/>
          <w:pgMar w:top="1569" w:right="979" w:bottom="1044" w:left="1090" w:header="1265" w:footer="896" w:gutter="0"/>
          <w:pgNumType w:start="12"/>
          <w:cols w:num="2" w:space="708" w:equalWidth="0">
            <w:col w:w="5610" w:space="100"/>
            <w:col w:w="3511" w:space="0"/>
          </w:cols>
        </w:sectPr>
      </w:pPr>
    </w:p>
    <w:p>
      <w:pPr>
        <w:spacing w:line="332" w:lineRule="auto"/>
        <w:rPr>
          <w:rFonts w:ascii="Arial"/>
          <w:sz w:val="21"/>
        </w:rPr>
      </w:pPr>
    </w:p>
    <w:p>
      <w:pPr>
        <w:pStyle w:val="BodyText"/>
        <w:spacing w:before="61" w:line="219" w:lineRule="auto"/>
        <w:ind w:left="3719"/>
        <w:rPr>
          <w:sz w:val="19"/>
          <w:szCs w:val="19"/>
        </w:rPr>
      </w:pPr>
      <w:r>
        <w:rPr>
          <w:spacing w:val="9"/>
          <w:sz w:val="19"/>
          <w:szCs w:val="19"/>
        </w:rPr>
        <w:t>图 3  大损耗的校准</w:t>
      </w:r>
    </w:p>
    <w:p>
      <w:pPr>
        <w:pStyle w:val="BodyText"/>
        <w:spacing w:before="71" w:line="265" w:lineRule="auto"/>
        <w:ind w:left="9" w:right="127"/>
        <w:rPr>
          <w:sz w:val="24"/>
          <w:szCs w:val="24"/>
        </w:rPr>
      </w:pPr>
      <w:r>
        <w:rPr>
          <w:spacing w:val="4"/>
          <w:sz w:val="24"/>
          <w:szCs w:val="24"/>
        </w:rPr>
        <w:t>6.5.2</w:t>
      </w:r>
      <w:r>
        <w:rPr>
          <w:spacing w:val="101"/>
          <w:sz w:val="24"/>
          <w:szCs w:val="24"/>
        </w:rPr>
        <w:t xml:space="preserve"> </w:t>
      </w:r>
      <w:r>
        <w:rPr>
          <w:spacing w:val="4"/>
          <w:sz w:val="24"/>
          <w:szCs w:val="24"/>
        </w:rPr>
        <w:t>分别测量被校高频电容损耗标准器标称频率下</w:t>
      </w:r>
      <w:r>
        <w:rPr>
          <w:spacing w:val="3"/>
          <w:sz w:val="24"/>
          <w:szCs w:val="24"/>
        </w:rPr>
        <w:t>的电容值</w:t>
      </w:r>
      <w:r>
        <w:rPr>
          <w:rFonts w:ascii="Times New Roman" w:eastAsia="Times New Roman" w:hAnsi="Times New Roman" w:cs="Times New Roman"/>
          <w:spacing w:val="3"/>
          <w:sz w:val="24"/>
          <w:szCs w:val="24"/>
        </w:rPr>
        <w:t>C</w:t>
      </w:r>
      <w:r>
        <w:rPr>
          <w:rFonts w:ascii="Times New Roman" w:eastAsia="Times New Roman" w:hAnsi="Times New Roman" w:cs="Times New Roman"/>
          <w:spacing w:val="49"/>
          <w:sz w:val="24"/>
          <w:szCs w:val="24"/>
        </w:rPr>
        <w:t xml:space="preserve"> </w:t>
      </w:r>
      <w:r>
        <w:rPr>
          <w:spacing w:val="3"/>
          <w:sz w:val="24"/>
          <w:szCs w:val="24"/>
        </w:rPr>
        <w:t>和电阻值</w:t>
      </w:r>
      <w:r>
        <w:rPr>
          <w:rFonts w:ascii="Times New Roman" w:eastAsia="Times New Roman" w:hAnsi="Times New Roman" w:cs="Times New Roman"/>
          <w:spacing w:val="3"/>
          <w:sz w:val="24"/>
          <w:szCs w:val="24"/>
        </w:rPr>
        <w:t xml:space="preserve">R,   </w:t>
      </w:r>
      <w:r>
        <w:rPr>
          <w:spacing w:val="3"/>
          <w:sz w:val="24"/>
          <w:szCs w:val="24"/>
        </w:rPr>
        <w:t>将结果</w:t>
      </w:r>
      <w:r>
        <w:rPr>
          <w:sz w:val="24"/>
          <w:szCs w:val="24"/>
        </w:rPr>
        <w:t xml:space="preserve"> </w:t>
      </w:r>
      <w:r>
        <w:rPr>
          <w:spacing w:val="-3"/>
          <w:sz w:val="24"/>
          <w:szCs w:val="24"/>
        </w:rPr>
        <w:t>记录到附录</w:t>
      </w:r>
      <w:r>
        <w:rPr>
          <w:spacing w:val="-37"/>
          <w:sz w:val="24"/>
          <w:szCs w:val="24"/>
        </w:rPr>
        <w:t xml:space="preserve"> </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12"/>
          <w:sz w:val="24"/>
          <w:szCs w:val="24"/>
        </w:rPr>
        <w:t xml:space="preserve"> </w:t>
      </w:r>
      <w:r>
        <w:rPr>
          <w:spacing w:val="-3"/>
          <w:sz w:val="24"/>
          <w:szCs w:val="24"/>
        </w:rPr>
        <w:t>表</w:t>
      </w:r>
      <w:r>
        <w:rPr>
          <w:spacing w:val="-51"/>
          <w:sz w:val="24"/>
          <w:szCs w:val="24"/>
        </w:rPr>
        <w:t xml:space="preserve"> </w:t>
      </w:r>
      <w:r>
        <w:rPr>
          <w:rFonts w:ascii="Times New Roman" w:eastAsia="Times New Roman" w:hAnsi="Times New Roman" w:cs="Times New Roman"/>
          <w:spacing w:val="-3"/>
          <w:sz w:val="24"/>
          <w:szCs w:val="24"/>
        </w:rPr>
        <w:t xml:space="preserve">A.1  </w:t>
      </w:r>
      <w:r>
        <w:rPr>
          <w:spacing w:val="-3"/>
          <w:sz w:val="24"/>
          <w:szCs w:val="24"/>
        </w:rPr>
        <w:t>或表</w:t>
      </w:r>
      <w:r>
        <w:rPr>
          <w:spacing w:val="-28"/>
          <w:sz w:val="24"/>
          <w:szCs w:val="24"/>
        </w:rPr>
        <w:t xml:space="preserve"> </w:t>
      </w:r>
      <w:r>
        <w:rPr>
          <w:rFonts w:ascii="Times New Roman" w:eastAsia="Times New Roman" w:hAnsi="Times New Roman" w:cs="Times New Roman"/>
          <w:spacing w:val="-3"/>
          <w:sz w:val="24"/>
          <w:szCs w:val="24"/>
        </w:rPr>
        <w:t>A.2</w:t>
      </w:r>
      <w:r>
        <w:rPr>
          <w:rFonts w:ascii="Times New Roman" w:eastAsia="Times New Roman" w:hAnsi="Times New Roman" w:cs="Times New Roman"/>
          <w:spacing w:val="9"/>
          <w:sz w:val="24"/>
          <w:szCs w:val="24"/>
        </w:rPr>
        <w:t xml:space="preserve">  </w:t>
      </w:r>
      <w:r>
        <w:rPr>
          <w:spacing w:val="-3"/>
          <w:sz w:val="24"/>
          <w:szCs w:val="24"/>
        </w:rPr>
        <w:t>中。</w:t>
      </w:r>
    </w:p>
    <w:sdt>
      <w:sdtPr>
        <w:rPr>
          <w:rFonts w:ascii="SimSun" w:eastAsia="SimSun" w:hAnsi="SimSun" w:cs="SimSun"/>
          <w:sz w:val="24"/>
          <w:szCs w:val="24"/>
        </w:rPr>
        <w:id w:val="206528436"/>
        <w:docPartObj>
          <w:docPartGallery w:val="Table of Contents"/>
          <w:docPartUnique/>
        </w:docPartObj>
      </w:sdtPr>
      <w:sdtEndPr>
        <w:rPr>
          <w:rFonts w:ascii="SimSun" w:eastAsia="SimSun" w:hAnsi="SimSun" w:cs="SimSun"/>
          <w:sz w:val="19"/>
          <w:szCs w:val="19"/>
        </w:rPr>
      </w:sdtEndPr>
      <w:sdtContent>
        <w:p>
          <w:pPr>
            <w:pStyle w:val="BodyText"/>
            <w:spacing w:before="67" w:line="219" w:lineRule="auto"/>
            <w:ind w:left="9"/>
            <w:rPr>
              <w:sz w:val="24"/>
              <w:szCs w:val="24"/>
            </w:rPr>
          </w:pPr>
          <w:r>
            <w:rPr>
              <w:spacing w:val="-1"/>
              <w:sz w:val="24"/>
              <w:szCs w:val="24"/>
            </w:rPr>
            <w:t>6.5.3</w:t>
          </w:r>
          <w:r>
            <w:rPr>
              <w:spacing w:val="115"/>
              <w:sz w:val="24"/>
              <w:szCs w:val="24"/>
            </w:rPr>
            <w:t xml:space="preserve"> </w:t>
          </w:r>
          <w:r>
            <w:rPr>
              <w:spacing w:val="-1"/>
              <w:sz w:val="24"/>
              <w:szCs w:val="24"/>
            </w:rPr>
            <w:t>按下式计算被校高频电容损耗标准器的大损耗值：</w:t>
          </w:r>
        </w:p>
        <w:p>
          <w:pPr>
            <w:pStyle w:val="BodyText"/>
            <w:spacing w:before="115" w:line="215" w:lineRule="auto"/>
            <w:ind w:left="3199"/>
            <w:rPr>
              <w:sz w:val="19"/>
              <w:szCs w:val="19"/>
            </w:rPr>
          </w:pPr>
          <w:r>
            <w:rPr>
              <w:rFonts w:ascii="Times New Roman" w:eastAsia="Times New Roman" w:hAnsi="Times New Roman" w:cs="Times New Roman"/>
              <w:spacing w:val="-1"/>
              <w:sz w:val="24"/>
              <w:szCs w:val="24"/>
            </w:rPr>
            <w:t xml:space="preserve">tanð₂=tanô₁+2πf·R·C                                                             </w:t>
          </w:r>
          <w:r>
            <w:rPr>
              <w:spacing w:val="-1"/>
              <w:position w:val="2"/>
              <w:sz w:val="19"/>
              <w:szCs w:val="19"/>
            </w:rPr>
            <w:t>(</w:t>
          </w:r>
          <w:hyperlink w:anchor="bookmark5" w:history="1">
            <w:r>
              <w:rPr>
                <w:spacing w:val="-1"/>
                <w:position w:val="2"/>
                <w:sz w:val="19"/>
                <w:szCs w:val="19"/>
              </w:rPr>
              <w:t>6)</w:t>
            </w:r>
          </w:hyperlink>
        </w:p>
      </w:sdtContent>
    </w:sdt>
    <w:p>
      <w:pPr>
        <w:pStyle w:val="BodyText"/>
        <w:spacing w:before="151" w:line="220" w:lineRule="auto"/>
        <w:ind w:left="519"/>
        <w:rPr>
          <w:sz w:val="19"/>
          <w:szCs w:val="19"/>
        </w:rPr>
      </w:pPr>
      <w:r>
        <w:rPr>
          <w:spacing w:val="-13"/>
          <w:sz w:val="19"/>
          <w:szCs w:val="19"/>
        </w:rPr>
        <w:t>式</w:t>
      </w:r>
      <w:r>
        <w:rPr>
          <w:spacing w:val="6"/>
          <w:sz w:val="19"/>
          <w:szCs w:val="19"/>
        </w:rPr>
        <w:t xml:space="preserve"> </w:t>
      </w:r>
      <w:r>
        <w:rPr>
          <w:spacing w:val="-13"/>
          <w:sz w:val="19"/>
          <w:szCs w:val="19"/>
        </w:rPr>
        <w:t>中</w:t>
      </w:r>
      <w:r>
        <w:rPr>
          <w:spacing w:val="-20"/>
          <w:sz w:val="19"/>
          <w:szCs w:val="19"/>
        </w:rPr>
        <w:t xml:space="preserve"> </w:t>
      </w:r>
      <w:r>
        <w:rPr>
          <w:spacing w:val="-13"/>
          <w:sz w:val="19"/>
          <w:szCs w:val="19"/>
        </w:rPr>
        <w:t>：</w:t>
      </w:r>
    </w:p>
    <w:p>
      <w:pPr>
        <w:pStyle w:val="BodyText"/>
        <w:spacing w:before="105" w:line="354" w:lineRule="exact"/>
        <w:ind w:left="519"/>
        <w:rPr>
          <w:sz w:val="24"/>
          <w:szCs w:val="24"/>
        </w:rPr>
      </w:pPr>
      <w:r>
        <w:rPr>
          <w:rFonts w:ascii="Times New Roman" w:eastAsia="Times New Roman" w:hAnsi="Times New Roman" w:cs="Times New Roman"/>
          <w:spacing w:val="-1"/>
          <w:position w:val="8"/>
          <w:sz w:val="24"/>
          <w:szCs w:val="24"/>
        </w:rPr>
        <w:t>tanò₁——</w:t>
      </w:r>
      <w:r>
        <w:rPr>
          <w:rFonts w:ascii="Times New Roman" w:eastAsia="Times New Roman" w:hAnsi="Times New Roman" w:cs="Times New Roman"/>
          <w:spacing w:val="32"/>
          <w:position w:val="8"/>
          <w:sz w:val="24"/>
          <w:szCs w:val="24"/>
        </w:rPr>
        <w:t xml:space="preserve"> </w:t>
      </w:r>
      <w:r>
        <w:rPr>
          <w:spacing w:val="-1"/>
          <w:position w:val="8"/>
          <w:sz w:val="24"/>
          <w:szCs w:val="24"/>
        </w:rPr>
        <w:t>被校高频电容损耗标准器的初损耗值，无量纲；</w:t>
      </w:r>
    </w:p>
    <w:p>
      <w:pPr>
        <w:pStyle w:val="BodyText"/>
        <w:spacing w:before="1" w:line="212" w:lineRule="auto"/>
        <w:ind w:left="81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 xml:space="preserve">f—— </w:t>
      </w:r>
      <w:r>
        <w:rPr>
          <w:spacing w:val="-5"/>
          <w:sz w:val="24"/>
          <w:szCs w:val="24"/>
        </w:rPr>
        <w:t xml:space="preserve">被校高频电容损耗标准器的测试频率， </w:t>
      </w:r>
      <w:r>
        <w:rPr>
          <w:rFonts w:ascii="Times New Roman" w:eastAsia="Times New Roman" w:hAnsi="Times New Roman" w:cs="Times New Roman"/>
          <w:spacing w:val="-5"/>
          <w:sz w:val="24"/>
          <w:szCs w:val="24"/>
        </w:rPr>
        <w:t>Hz;</w:t>
      </w:r>
    </w:p>
    <w:p>
      <w:pPr>
        <w:pStyle w:val="BodyText"/>
        <w:spacing w:before="109" w:line="370" w:lineRule="exact"/>
        <w:ind w:left="819"/>
        <w:rPr>
          <w:sz w:val="24"/>
          <w:szCs w:val="24"/>
        </w:rPr>
      </w:pPr>
      <w:r>
        <w:rPr>
          <w:rFonts w:ascii="Times New Roman" w:eastAsia="Times New Roman" w:hAnsi="Times New Roman" w:cs="Times New Roman"/>
          <w:spacing w:val="-1"/>
          <w:position w:val="9"/>
          <w:sz w:val="24"/>
          <w:szCs w:val="24"/>
        </w:rPr>
        <w:t>R——</w:t>
      </w:r>
      <w:r>
        <w:rPr>
          <w:spacing w:val="-1"/>
          <w:position w:val="9"/>
          <w:sz w:val="24"/>
          <w:szCs w:val="24"/>
        </w:rPr>
        <w:t>被校高频电容损耗标准器的电阻测量值，Ω;</w:t>
      </w:r>
    </w:p>
    <w:p>
      <w:pPr>
        <w:pStyle w:val="BodyText"/>
        <w:spacing w:before="1" w:line="219" w:lineRule="auto"/>
        <w:ind w:left="819"/>
        <w:rPr>
          <w:sz w:val="24"/>
          <w:szCs w:val="24"/>
        </w:rPr>
      </w:pPr>
      <w:r>
        <w:rPr>
          <w:rFonts w:ascii="Times New Roman" w:eastAsia="Times New Roman" w:hAnsi="Times New Roman" w:cs="Times New Roman"/>
          <w:sz w:val="24"/>
          <w:szCs w:val="24"/>
        </w:rPr>
        <w:t>C——</w:t>
      </w:r>
      <w:r>
        <w:rPr>
          <w:sz w:val="24"/>
          <w:szCs w:val="24"/>
        </w:rPr>
        <w:t>被校高频电容损耗标准器的电容测量值，</w:t>
      </w:r>
      <w:r>
        <w:rPr>
          <w:rFonts w:ascii="Times New Roman" w:eastAsia="Times New Roman" w:hAnsi="Times New Roman" w:cs="Times New Roman"/>
          <w:sz w:val="24"/>
          <w:szCs w:val="24"/>
        </w:rPr>
        <w:t>F</w:t>
      </w:r>
      <w:r>
        <w:rPr>
          <w:sz w:val="24"/>
          <w:szCs w:val="24"/>
        </w:rPr>
        <w:t>。</w:t>
      </w:r>
    </w:p>
    <w:p>
      <w:pPr>
        <w:spacing w:before="262" w:line="222" w:lineRule="auto"/>
        <w:ind w:left="13"/>
        <w:rPr>
          <w:rFonts w:ascii="SimHei" w:eastAsia="SimHei" w:hAnsi="SimHei" w:cs="SimHei"/>
          <w:sz w:val="24"/>
          <w:szCs w:val="24"/>
        </w:rPr>
      </w:pPr>
      <w:r>
        <w:rPr>
          <w:rFonts w:ascii="SimHei" w:eastAsia="SimHei" w:hAnsi="SimHei" w:cs="SimHei"/>
          <w:b/>
          <w:bCs/>
          <w:spacing w:val="-4"/>
          <w:sz w:val="24"/>
          <w:szCs w:val="24"/>
        </w:rPr>
        <w:t>7</w:t>
      </w:r>
      <w:r>
        <w:rPr>
          <w:rFonts w:ascii="SimHei" w:eastAsia="SimHei" w:hAnsi="SimHei" w:cs="SimHei"/>
          <w:spacing w:val="-4"/>
          <w:sz w:val="24"/>
          <w:szCs w:val="24"/>
        </w:rPr>
        <w:t xml:space="preserve">  </w:t>
      </w:r>
      <w:r>
        <w:rPr>
          <w:rFonts w:ascii="SimHei" w:eastAsia="SimHei" w:hAnsi="SimHei" w:cs="SimHei"/>
          <w:b/>
          <w:bCs/>
          <w:spacing w:val="-4"/>
          <w:sz w:val="24"/>
          <w:szCs w:val="24"/>
        </w:rPr>
        <w:t>校准结果表达</w:t>
      </w:r>
    </w:p>
    <w:p>
      <w:pPr>
        <w:pStyle w:val="BodyText"/>
        <w:spacing w:before="243" w:line="354" w:lineRule="exact"/>
        <w:ind w:left="519"/>
        <w:rPr>
          <w:sz w:val="24"/>
          <w:szCs w:val="24"/>
        </w:rPr>
      </w:pPr>
      <w:r>
        <w:rPr>
          <w:spacing w:val="2"/>
          <w:position w:val="8"/>
          <w:sz w:val="24"/>
          <w:szCs w:val="24"/>
        </w:rPr>
        <w:t>校准结果应在校准证书上反映，校准证书应</w:t>
      </w:r>
      <w:r>
        <w:rPr>
          <w:spacing w:val="1"/>
          <w:position w:val="8"/>
          <w:sz w:val="24"/>
          <w:szCs w:val="24"/>
        </w:rPr>
        <w:t>至少包括以下信息</w:t>
      </w:r>
    </w:p>
    <w:p>
      <w:pPr>
        <w:pStyle w:val="BodyText"/>
        <w:spacing w:line="212" w:lineRule="auto"/>
        <w:ind w:left="519"/>
        <w:rPr>
          <w:sz w:val="24"/>
          <w:szCs w:val="24"/>
        </w:rPr>
      </w:pPr>
      <w:r>
        <w:rPr>
          <w:rFonts w:ascii="Times New Roman" w:eastAsia="Times New Roman" w:hAnsi="Times New Roman" w:cs="Times New Roman"/>
          <w:spacing w:val="-14"/>
          <w:sz w:val="24"/>
          <w:szCs w:val="24"/>
        </w:rPr>
        <w:t xml:space="preserve">a)  </w:t>
      </w:r>
      <w:r>
        <w:rPr>
          <w:spacing w:val="-14"/>
          <w:sz w:val="24"/>
          <w:szCs w:val="24"/>
        </w:rPr>
        <w:t>标题：“校准证书”;</w:t>
      </w:r>
    </w:p>
    <w:p>
      <w:pPr>
        <w:pStyle w:val="BodyText"/>
        <w:spacing w:before="95" w:line="212" w:lineRule="auto"/>
        <w:ind w:left="519"/>
        <w:rPr>
          <w:sz w:val="24"/>
          <w:szCs w:val="24"/>
        </w:rPr>
      </w:pPr>
      <w:r>
        <w:rPr>
          <w:rFonts w:ascii="Times New Roman" w:eastAsia="Times New Roman" w:hAnsi="Times New Roman" w:cs="Times New Roman"/>
          <w:sz w:val="24"/>
          <w:szCs w:val="24"/>
        </w:rPr>
        <w:t xml:space="preserve">b)  </w:t>
      </w:r>
      <w:r>
        <w:rPr>
          <w:sz w:val="24"/>
          <w:szCs w:val="24"/>
        </w:rPr>
        <w:t>实验室名称和地址；</w:t>
      </w:r>
    </w:p>
    <w:p>
      <w:pPr>
        <w:pStyle w:val="BodyText"/>
        <w:spacing w:before="94" w:line="212" w:lineRule="auto"/>
        <w:ind w:left="519"/>
        <w:rPr>
          <w:sz w:val="24"/>
          <w:szCs w:val="24"/>
        </w:rPr>
      </w:pPr>
      <w:r>
        <w:rPr>
          <w:rFonts w:ascii="Times New Roman" w:eastAsia="Times New Roman" w:hAnsi="Times New Roman" w:cs="Times New Roman"/>
          <w:spacing w:val="7"/>
          <w:sz w:val="24"/>
          <w:szCs w:val="24"/>
        </w:rPr>
        <w:t xml:space="preserve">c)  </w:t>
      </w:r>
      <w:r>
        <w:rPr>
          <w:spacing w:val="7"/>
          <w:sz w:val="24"/>
          <w:szCs w:val="24"/>
        </w:rPr>
        <w:t>进行校准的地点(如果与实验室的地址不同);</w:t>
      </w:r>
    </w:p>
    <w:p>
      <w:pPr>
        <w:pStyle w:val="BodyText"/>
        <w:spacing w:before="84" w:line="370" w:lineRule="exact"/>
        <w:ind w:left="519"/>
        <w:rPr>
          <w:sz w:val="24"/>
          <w:szCs w:val="24"/>
        </w:rPr>
      </w:pPr>
      <w:r>
        <w:rPr>
          <w:rFonts w:ascii="Times New Roman" w:eastAsia="Times New Roman" w:hAnsi="Times New Roman" w:cs="Times New Roman"/>
          <w:spacing w:val="9"/>
          <w:position w:val="9"/>
          <w:sz w:val="24"/>
          <w:szCs w:val="24"/>
        </w:rPr>
        <w:t xml:space="preserve">d)  </w:t>
      </w:r>
      <w:r>
        <w:rPr>
          <w:spacing w:val="9"/>
          <w:position w:val="9"/>
          <w:sz w:val="24"/>
          <w:szCs w:val="24"/>
        </w:rPr>
        <w:t>证书的唯一性标识(如编号),每页及总页数的标识；</w:t>
      </w:r>
    </w:p>
    <w:p>
      <w:pPr>
        <w:pStyle w:val="BodyText"/>
        <w:spacing w:line="212" w:lineRule="auto"/>
        <w:ind w:left="519"/>
        <w:rPr>
          <w:sz w:val="24"/>
          <w:szCs w:val="24"/>
        </w:rPr>
      </w:pPr>
      <w:r>
        <w:rPr>
          <w:rFonts w:ascii="Times New Roman" w:eastAsia="Times New Roman" w:hAnsi="Times New Roman" w:cs="Times New Roman"/>
          <w:spacing w:val="-3"/>
          <w:sz w:val="24"/>
          <w:szCs w:val="24"/>
        </w:rPr>
        <w:t>e)</w:t>
      </w:r>
      <w:r>
        <w:rPr>
          <w:rFonts w:ascii="Times New Roman" w:eastAsia="Times New Roman" w:hAnsi="Times New Roman" w:cs="Times New Roman"/>
          <w:spacing w:val="13"/>
          <w:sz w:val="24"/>
          <w:szCs w:val="24"/>
        </w:rPr>
        <w:t xml:space="preserve">  </w:t>
      </w:r>
      <w:r>
        <w:rPr>
          <w:spacing w:val="-3"/>
          <w:sz w:val="24"/>
          <w:szCs w:val="24"/>
        </w:rPr>
        <w:t>客户的名称和地址；</w:t>
      </w:r>
    </w:p>
    <w:p>
      <w:pPr>
        <w:pStyle w:val="BodyText"/>
        <w:spacing w:before="85" w:line="212" w:lineRule="auto"/>
        <w:ind w:left="519"/>
        <w:rPr>
          <w:sz w:val="24"/>
          <w:szCs w:val="24"/>
        </w:rPr>
      </w:pPr>
      <w:r>
        <w:rPr>
          <w:rFonts w:ascii="Times New Roman" w:eastAsia="Times New Roman" w:hAnsi="Times New Roman" w:cs="Times New Roman"/>
          <w:spacing w:val="-1"/>
          <w:sz w:val="24"/>
          <w:szCs w:val="24"/>
        </w:rPr>
        <w:t xml:space="preserve">f)  </w:t>
      </w:r>
      <w:r>
        <w:rPr>
          <w:spacing w:val="-1"/>
          <w:sz w:val="24"/>
          <w:szCs w:val="24"/>
        </w:rPr>
        <w:t>被校对象的描述和明确标识；</w:t>
      </w:r>
    </w:p>
    <w:p>
      <w:pPr>
        <w:pStyle w:val="BodyText"/>
        <w:spacing w:before="103" w:line="214" w:lineRule="auto"/>
        <w:ind w:right="21"/>
        <w:jc w:val="right"/>
        <w:rPr>
          <w:sz w:val="24"/>
          <w:szCs w:val="24"/>
        </w:rPr>
        <w:sectPr>
          <w:headerReference w:type="default" r:id="rId34"/>
          <w:footerReference w:type="default" r:id="rId35"/>
          <w:type w:val="continuous"/>
          <w:pgSz w:w="11290" w:h="16610"/>
          <w:pgMar w:top="1569" w:right="979" w:bottom="1044" w:left="1090" w:header="1265" w:footer="896" w:gutter="0"/>
          <w:pgNumType w:start="13"/>
          <w:cols w:num="1" w:space="708" w:equalWidth="0">
            <w:col w:w="9220" w:space="0"/>
          </w:cols>
        </w:sectPr>
      </w:pPr>
      <w:r>
        <w:rPr>
          <w:spacing w:val="4"/>
          <w:sz w:val="24"/>
          <w:szCs w:val="24"/>
        </w:rPr>
        <w:t>g) 进行校准的日期，如果与校准结果的有效性和应用有关时，应说明被校对象的</w:t>
      </w:r>
    </w:p>
    <w:p>
      <w:pPr>
        <w:pStyle w:val="BodyText"/>
        <w:spacing w:before="158" w:line="219" w:lineRule="auto"/>
        <w:ind w:left="9"/>
        <w:rPr>
          <w:sz w:val="19"/>
          <w:szCs w:val="19"/>
        </w:rPr>
      </w:pPr>
      <w:r>
        <w:rPr>
          <w:spacing w:val="-12"/>
          <w:sz w:val="19"/>
          <w:szCs w:val="19"/>
        </w:rPr>
        <w:t>接</w:t>
      </w:r>
      <w:r>
        <w:rPr>
          <w:spacing w:val="-23"/>
          <w:sz w:val="19"/>
          <w:szCs w:val="19"/>
        </w:rPr>
        <w:t xml:space="preserve"> </w:t>
      </w:r>
      <w:r>
        <w:rPr>
          <w:spacing w:val="-12"/>
          <w:sz w:val="19"/>
          <w:szCs w:val="19"/>
        </w:rPr>
        <w:t>收 日</w:t>
      </w:r>
      <w:r>
        <w:rPr>
          <w:spacing w:val="-29"/>
          <w:sz w:val="19"/>
          <w:szCs w:val="19"/>
        </w:rPr>
        <w:t xml:space="preserve"> </w:t>
      </w:r>
      <w:r>
        <w:rPr>
          <w:spacing w:val="-12"/>
          <w:sz w:val="19"/>
          <w:szCs w:val="19"/>
        </w:rPr>
        <w:t>期</w:t>
      </w:r>
      <w:r>
        <w:rPr>
          <w:spacing w:val="-38"/>
          <w:sz w:val="19"/>
          <w:szCs w:val="19"/>
        </w:rPr>
        <w:t xml:space="preserve"> </w:t>
      </w:r>
      <w:r>
        <w:rPr>
          <w:spacing w:val="-12"/>
          <w:sz w:val="19"/>
          <w:szCs w:val="19"/>
        </w:rPr>
        <w:t>；</w:t>
      </w:r>
    </w:p>
    <w:p>
      <w:pPr>
        <w:pStyle w:val="BodyText"/>
        <w:spacing w:before="40" w:line="252" w:lineRule="auto"/>
        <w:ind w:left="519" w:right="170"/>
        <w:rPr>
          <w:sz w:val="24"/>
          <w:szCs w:val="24"/>
        </w:rPr>
      </w:pPr>
      <w:r>
        <w:rPr>
          <w:rFonts w:ascii="Times New Roman" w:eastAsia="Times New Roman" w:hAnsi="Times New Roman" w:cs="Times New Roman"/>
          <w:sz w:val="24"/>
          <w:szCs w:val="24"/>
        </w:rPr>
        <w:t>h)</w:t>
      </w:r>
      <w:r>
        <w:rPr>
          <w:rFonts w:ascii="Times New Roman" w:eastAsia="Times New Roman" w:hAnsi="Times New Roman" w:cs="Times New Roman"/>
          <w:spacing w:val="24"/>
          <w:sz w:val="24"/>
          <w:szCs w:val="24"/>
        </w:rPr>
        <w:t xml:space="preserve">  </w:t>
      </w:r>
      <w:r>
        <w:rPr>
          <w:sz w:val="24"/>
          <w:szCs w:val="24"/>
        </w:rPr>
        <w:t xml:space="preserve">如果与校准结果的有效性和应用有关时，应对被校样品的抽样程序进行说明； </w:t>
      </w:r>
      <w:r>
        <w:rPr>
          <w:rFonts w:ascii="Times New Roman" w:eastAsia="Times New Roman" w:hAnsi="Times New Roman" w:cs="Times New Roman"/>
          <w:spacing w:val="1"/>
          <w:sz w:val="24"/>
          <w:szCs w:val="24"/>
        </w:rPr>
        <w:t xml:space="preserve">i)  </w:t>
      </w:r>
      <w:r>
        <w:rPr>
          <w:spacing w:val="1"/>
          <w:sz w:val="24"/>
          <w:szCs w:val="24"/>
        </w:rPr>
        <w:t>校准所依据的技术规范的标识，包括名称及代号；</w:t>
      </w:r>
    </w:p>
    <w:p>
      <w:pPr>
        <w:pStyle w:val="BodyText"/>
        <w:spacing w:before="125" w:line="339" w:lineRule="exact"/>
        <w:ind w:left="519"/>
        <w:rPr>
          <w:sz w:val="24"/>
          <w:szCs w:val="24"/>
        </w:rPr>
      </w:pPr>
      <w:r>
        <w:rPr>
          <w:position w:val="7"/>
          <w:sz w:val="24"/>
          <w:szCs w:val="24"/>
        </w:rPr>
        <w:t>j)</w:t>
      </w:r>
      <w:r>
        <w:rPr>
          <w:spacing w:val="-52"/>
          <w:position w:val="7"/>
          <w:sz w:val="24"/>
          <w:szCs w:val="24"/>
        </w:rPr>
        <w:t xml:space="preserve"> </w:t>
      </w:r>
      <w:r>
        <w:rPr>
          <w:position w:val="7"/>
          <w:sz w:val="24"/>
          <w:szCs w:val="24"/>
        </w:rPr>
        <w:t>本次校准所用测量标准的溯源性及有效性说明；</w:t>
      </w:r>
    </w:p>
    <w:p>
      <w:pPr>
        <w:pStyle w:val="BodyText"/>
        <w:spacing w:line="212" w:lineRule="auto"/>
        <w:ind w:left="519"/>
        <w:rPr>
          <w:sz w:val="24"/>
          <w:szCs w:val="24"/>
        </w:rPr>
      </w:pPr>
      <w:r>
        <w:rPr>
          <w:rFonts w:ascii="Times New Roman" w:eastAsia="Times New Roman" w:hAnsi="Times New Roman" w:cs="Times New Roman"/>
          <w:sz w:val="24"/>
          <w:szCs w:val="24"/>
        </w:rPr>
        <w:t xml:space="preserve">k)  </w:t>
      </w:r>
      <w:r>
        <w:rPr>
          <w:sz w:val="24"/>
          <w:szCs w:val="24"/>
        </w:rPr>
        <w:t>校准环境的描述；</w:t>
      </w:r>
    </w:p>
    <w:p>
      <w:pPr>
        <w:pStyle w:val="BodyText"/>
        <w:spacing w:before="102" w:line="353" w:lineRule="exact"/>
        <w:ind w:left="519"/>
        <w:rPr>
          <w:sz w:val="24"/>
          <w:szCs w:val="24"/>
        </w:rPr>
      </w:pPr>
      <w:r>
        <w:rPr>
          <w:spacing w:val="1"/>
          <w:position w:val="8"/>
          <w:sz w:val="24"/>
          <w:szCs w:val="24"/>
        </w:rPr>
        <w:t>1)校准结果及其测量不确定度的说明；</w:t>
      </w:r>
    </w:p>
    <w:p>
      <w:pPr>
        <w:pStyle w:val="BodyText"/>
        <w:spacing w:before="1" w:line="197" w:lineRule="auto"/>
        <w:ind w:left="519"/>
        <w:rPr>
          <w:sz w:val="24"/>
          <w:szCs w:val="24"/>
        </w:rPr>
      </w:pPr>
      <w:r>
        <w:rPr>
          <w:rFonts w:ascii="Times New Roman" w:eastAsia="Times New Roman" w:hAnsi="Times New Roman" w:cs="Times New Roman"/>
          <w:sz w:val="24"/>
          <w:szCs w:val="24"/>
        </w:rPr>
        <w:t xml:space="preserve">m)  </w:t>
      </w:r>
      <w:r>
        <w:rPr>
          <w:sz w:val="24"/>
          <w:szCs w:val="24"/>
        </w:rPr>
        <w:t>对校准规范的偏离的说明；</w:t>
      </w:r>
    </w:p>
    <w:p>
      <w:pPr>
        <w:spacing w:line="197" w:lineRule="auto"/>
        <w:rPr>
          <w:sz w:val="24"/>
          <w:szCs w:val="24"/>
        </w:rPr>
        <w:sectPr>
          <w:headerReference w:type="default" r:id="rId36"/>
          <w:footerReference w:type="default" r:id="rId37"/>
          <w:type w:val="nextPage"/>
          <w:pgSz w:w="11290" w:h="16610"/>
          <w:pgMar w:top="1569" w:right="979" w:bottom="1044" w:left="1090" w:header="1265" w:footer="896" w:gutter="0"/>
          <w:pgNumType w:start="14"/>
          <w:cols w:num="1" w:space="708" w:equalWidth="0">
            <w:col w:w="9220" w:space="0"/>
          </w:cols>
          <w:titlePg w:val="0"/>
        </w:sectPr>
      </w:pPr>
    </w:p>
    <w:p>
      <w:pPr>
        <w:pStyle w:val="BodyText"/>
        <w:spacing w:before="192" w:line="370" w:lineRule="exact"/>
        <w:ind w:left="500"/>
        <w:rPr>
          <w:sz w:val="24"/>
          <w:szCs w:val="24"/>
        </w:rPr>
      </w:pPr>
      <w:bookmarkStart w:id="2" w:name="bookmark5"/>
      <w:bookmarkEnd w:id="2"/>
      <w:r>
        <w:rPr>
          <w:rFonts w:ascii="Times New Roman" w:eastAsia="Times New Roman" w:hAnsi="Times New Roman" w:cs="Times New Roman"/>
          <w:spacing w:val="3"/>
          <w:position w:val="9"/>
          <w:sz w:val="24"/>
          <w:szCs w:val="24"/>
        </w:rPr>
        <w:t>n)</w:t>
      </w:r>
      <w:r>
        <w:rPr>
          <w:rFonts w:ascii="Times New Roman" w:eastAsia="Times New Roman" w:hAnsi="Times New Roman" w:cs="Times New Roman"/>
          <w:spacing w:val="24"/>
          <w:position w:val="9"/>
          <w:sz w:val="24"/>
          <w:szCs w:val="24"/>
        </w:rPr>
        <w:t xml:space="preserve">  </w:t>
      </w:r>
      <w:r>
        <w:rPr>
          <w:spacing w:val="3"/>
          <w:position w:val="9"/>
          <w:sz w:val="24"/>
          <w:szCs w:val="24"/>
        </w:rPr>
        <w:t>校准证书或校准报告签发人的签名、职务或等效标识</w:t>
      </w:r>
    </w:p>
    <w:p>
      <w:pPr>
        <w:pStyle w:val="BodyText"/>
        <w:spacing w:line="212" w:lineRule="auto"/>
        <w:ind w:left="500"/>
        <w:rPr>
          <w:sz w:val="24"/>
          <w:szCs w:val="24"/>
        </w:rPr>
      </w:pPr>
      <w:r>
        <w:rPr>
          <w:rFonts w:ascii="Times New Roman" w:eastAsia="Times New Roman" w:hAnsi="Times New Roman" w:cs="Times New Roman"/>
          <w:sz w:val="24"/>
          <w:szCs w:val="24"/>
        </w:rPr>
        <w:t xml:space="preserve">o)  </w:t>
      </w:r>
      <w:r>
        <w:rPr>
          <w:sz w:val="24"/>
          <w:szCs w:val="24"/>
        </w:rPr>
        <w:t>校准结果仅对被校对象有效的声明；</w:t>
      </w:r>
    </w:p>
    <w:p>
      <w:pPr>
        <w:pStyle w:val="BodyText"/>
        <w:spacing w:before="64" w:line="212" w:lineRule="auto"/>
        <w:ind w:left="500"/>
        <w:rPr>
          <w:sz w:val="24"/>
          <w:szCs w:val="24"/>
        </w:rPr>
      </w:pPr>
      <w:r>
        <w:rPr>
          <w:rFonts w:ascii="Times New Roman" w:eastAsia="Times New Roman" w:hAnsi="Times New Roman" w:cs="Times New Roman"/>
          <w:spacing w:val="2"/>
          <w:sz w:val="24"/>
          <w:szCs w:val="24"/>
        </w:rPr>
        <w:t xml:space="preserve">p)  </w:t>
      </w:r>
      <w:r>
        <w:rPr>
          <w:spacing w:val="2"/>
          <w:sz w:val="24"/>
          <w:szCs w:val="24"/>
        </w:rPr>
        <w:t>未经实验室书面批准，不得部分复制证书</w:t>
      </w:r>
      <w:r>
        <w:rPr>
          <w:spacing w:val="1"/>
          <w:sz w:val="24"/>
          <w:szCs w:val="24"/>
        </w:rPr>
        <w:t>的声明。</w:t>
      </w:r>
    </w:p>
    <w:p>
      <w:pPr>
        <w:pStyle w:val="BodyText"/>
        <w:spacing w:before="149" w:line="219" w:lineRule="auto"/>
        <w:ind w:left="500"/>
        <w:rPr>
          <w:sz w:val="24"/>
          <w:szCs w:val="24"/>
        </w:rPr>
      </w:pPr>
      <w:r>
        <w:rPr>
          <w:spacing w:val="-1"/>
          <w:sz w:val="24"/>
          <w:szCs w:val="24"/>
        </w:rPr>
        <w:t>原始记录和校准证书内页格式分别参见附录</w:t>
      </w:r>
      <w:r>
        <w:rPr>
          <w:spacing w:val="-29"/>
          <w:sz w:val="24"/>
          <w:szCs w:val="24"/>
        </w:rPr>
        <w:t xml:space="preserve"> </w:t>
      </w:r>
      <w:r>
        <w:rPr>
          <w:spacing w:val="-1"/>
          <w:sz w:val="24"/>
          <w:szCs w:val="24"/>
        </w:rPr>
        <w:t>A 和附录</w:t>
      </w:r>
      <w:r>
        <w:rPr>
          <w:spacing w:val="-49"/>
          <w:sz w:val="24"/>
          <w:szCs w:val="24"/>
        </w:rPr>
        <w:t xml:space="preserve"> </w:t>
      </w:r>
      <w:r>
        <w:rPr>
          <w:spacing w:val="-1"/>
          <w:sz w:val="24"/>
          <w:szCs w:val="24"/>
        </w:rPr>
        <w:t>B。</w:t>
      </w:r>
    </w:p>
    <w:p>
      <w:pPr>
        <w:spacing w:before="221" w:line="222" w:lineRule="auto"/>
        <w:ind w:left="33"/>
        <w:rPr>
          <w:rFonts w:ascii="SimHei" w:eastAsia="SimHei" w:hAnsi="SimHei" w:cs="SimHei"/>
          <w:sz w:val="24"/>
          <w:szCs w:val="24"/>
        </w:rPr>
      </w:pPr>
      <w:r>
        <w:rPr>
          <w:rFonts w:ascii="SimHei" w:eastAsia="SimHei" w:hAnsi="SimHei" w:cs="SimHei"/>
          <w:b/>
          <w:bCs/>
          <w:spacing w:val="-5"/>
          <w:sz w:val="24"/>
          <w:szCs w:val="24"/>
        </w:rPr>
        <w:t>8</w:t>
      </w:r>
      <w:r>
        <w:rPr>
          <w:rFonts w:ascii="SimHei" w:eastAsia="SimHei" w:hAnsi="SimHei" w:cs="SimHei"/>
          <w:spacing w:val="106"/>
          <w:sz w:val="24"/>
          <w:szCs w:val="24"/>
        </w:rPr>
        <w:t xml:space="preserve"> </w:t>
      </w:r>
      <w:r>
        <w:rPr>
          <w:rFonts w:ascii="SimHei" w:eastAsia="SimHei" w:hAnsi="SimHei" w:cs="SimHei"/>
          <w:b/>
          <w:bCs/>
          <w:spacing w:val="-5"/>
          <w:sz w:val="24"/>
          <w:szCs w:val="24"/>
        </w:rPr>
        <w:t>复校时间间隔</w:t>
      </w:r>
    </w:p>
    <w:p>
      <w:pPr>
        <w:pStyle w:val="BodyText"/>
        <w:spacing w:before="288"/>
        <w:ind w:right="57" w:firstLine="500"/>
        <w:rPr>
          <w:sz w:val="24"/>
          <w:szCs w:val="24"/>
        </w:rPr>
      </w:pPr>
      <w:r>
        <w:rPr>
          <w:spacing w:val="8"/>
          <w:sz w:val="24"/>
          <w:szCs w:val="24"/>
        </w:rPr>
        <w:t>高频电容损耗标准器的复校时间由用户根据使用情况决定，建议复校时间间隔为</w:t>
      </w:r>
      <w:r>
        <w:rPr>
          <w:spacing w:val="11"/>
          <w:sz w:val="24"/>
          <w:szCs w:val="24"/>
        </w:rPr>
        <w:t xml:space="preserve"> </w:t>
      </w:r>
      <w:r>
        <w:rPr>
          <w:sz w:val="24"/>
          <w:szCs w:val="24"/>
        </w:rPr>
        <w:t>1年。</w:t>
      </w:r>
    </w:p>
    <w:p>
      <w:pPr>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https://d.book118.com/318012024043006025</w:t>
        </w:r>
      </w:hyperlink>
    </w:p>
    <w:p>
      <w:pPr>
        <w:rPr>
          <w:sz w:val="24"/>
          <w:szCs w:val="24"/>
        </w:rPr>
      </w:pPr>
    </w:p>
    <w:sectPr>
      <w:headerReference w:type="default" r:id="rId39"/>
      <w:footerReference w:type="default" r:id="rId40"/>
      <w:pgSz w:w="11290" w:h="16610"/>
      <w:pgMar w:top="1540" w:right="1099" w:bottom="1035" w:left="940" w:header="1245" w:footer="886"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20"/>
      <w:rPr>
        <w:sz w:val="15"/>
        <w:szCs w:val="15"/>
      </w:rPr>
    </w:pPr>
    <w:r>
      <w:rPr>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20"/>
      <w:rPr>
        <w:sz w:val="15"/>
        <w:szCs w:val="15"/>
      </w:rPr>
    </w:pPr>
    <w:r>
      <w:rPr>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9"/>
      <w:rPr>
        <w:sz w:val="15"/>
        <w:szCs w:val="15"/>
      </w:rPr>
    </w:pPr>
    <w:r>
      <w:rPr>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9"/>
      <w:rPr>
        <w:sz w:val="15"/>
        <w:szCs w:val="15"/>
      </w:rPr>
    </w:pPr>
    <w:r>
      <w:rPr>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95"/>
      <w:rPr>
        <w:sz w:val="15"/>
        <w:szCs w:val="15"/>
      </w:rPr>
    </w:pPr>
    <w:r>
      <w:rPr>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95"/>
      <w:rPr>
        <w:sz w:val="15"/>
        <w:szCs w:val="15"/>
      </w:rPr>
    </w:pPr>
    <w:r>
      <w:rPr>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59"/>
      <w:rPr>
        <w:sz w:val="15"/>
        <w:szCs w:val="15"/>
      </w:rPr>
    </w:pPr>
    <w:r>
      <w:rPr>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59"/>
      <w:rPr>
        <w:sz w:val="15"/>
        <w:szCs w:val="15"/>
      </w:rPr>
    </w:pPr>
    <w:r>
      <w:rPr>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59"/>
      <w:rPr>
        <w:sz w:val="15"/>
        <w:szCs w:val="15"/>
      </w:rPr>
    </w:pPr>
    <w:r>
      <w:rPr>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59"/>
      <w:rPr>
        <w:sz w:val="15"/>
        <w:szCs w:val="15"/>
      </w:rPr>
    </w:pPr>
    <w:r>
      <w:rPr>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69"/>
      <w:rPr>
        <w:sz w:val="15"/>
        <w:szCs w:val="15"/>
      </w:rPr>
    </w:pPr>
    <w:r>
      <w:rPr>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drawing>
        <wp:anchor distT="0" distB="0" distL="0" distR="0" simplePos="0" relativeHeight="251658240" behindDoc="0" locked="0" layoutInCell="0" allowOverlap="1">
          <wp:simplePos x="0" y="0"/>
          <wp:positionH relativeFrom="page">
            <wp:posOffset>730250</wp:posOffset>
          </wp:positionH>
          <wp:positionV relativeFrom="page">
            <wp:posOffset>984278</wp:posOffset>
          </wp:positionV>
          <wp:extent cx="5861067" cy="1265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61067" cy="12656"/>
                  </a:xfrm>
                  <a:prstGeom prst="rect">
                    <a:avLst/>
                  </a:prstGeom>
                </pic:spPr>
              </pic:pic>
            </a:graphicData>
          </a:graphic>
        </wp:anchor>
      </w:drawing>
    </w:r>
    <w:r>
      <w:rPr>
        <w:spacing w:val="-14"/>
      </w:rPr>
      <w:t>JJF</w:t>
    </w:r>
    <w:r>
      <w:rPr>
        <w:spacing w:val="20"/>
      </w:rPr>
      <w:t xml:space="preserve"> </w:t>
    </w:r>
    <w:r>
      <w:rPr>
        <w:spacing w:val="-14"/>
      </w:rPr>
      <w:t>1713—2018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drawing>
        <wp:anchor distT="0" distB="0" distL="0" distR="0" simplePos="0" relativeHeight="251659264" behindDoc="0" locked="0" layoutInCell="0" allowOverlap="1">
          <wp:simplePos x="0" y="0"/>
          <wp:positionH relativeFrom="page">
            <wp:posOffset>730250</wp:posOffset>
          </wp:positionH>
          <wp:positionV relativeFrom="page">
            <wp:posOffset>984278</wp:posOffset>
          </wp:positionV>
          <wp:extent cx="5861067" cy="12656"/>
          <wp:effectExtent l="0" t="0" r="0" b="0"/>
          <wp:wrapNone/>
          <wp:docPr id="1624537842" name="IM 2"/>
          <wp:cNvGraphicFramePr/>
          <a:graphic xmlns:a="http://schemas.openxmlformats.org/drawingml/2006/main">
            <a:graphicData uri="http://schemas.openxmlformats.org/drawingml/2006/picture">
              <pic:pic xmlns:pic="http://schemas.openxmlformats.org/drawingml/2006/picture">
                <pic:nvPicPr>
                  <pic:cNvPr id="1624537842" name="IM 2"/>
                  <pic:cNvPicPr/>
                </pic:nvPicPr>
                <pic:blipFill>
                  <a:blip xmlns:r="http://schemas.openxmlformats.org/officeDocument/2006/relationships" r:embed="rId1"/>
                  <a:stretch>
                    <a:fillRect/>
                  </a:stretch>
                </pic:blipFill>
                <pic:spPr>
                  <a:xfrm>
                    <a:off x="0" y="0"/>
                    <a:ext cx="5861067" cy="12656"/>
                  </a:xfrm>
                  <a:prstGeom prst="rect">
                    <a:avLst/>
                  </a:prstGeom>
                </pic:spPr>
              </pic:pic>
            </a:graphicData>
          </a:graphic>
        </wp:anchor>
      </w:drawing>
    </w:r>
    <w:r>
      <w:rPr>
        <w:spacing w:val="-14"/>
      </w:rPr>
      <w:t>JJF</w:t>
    </w:r>
    <w:r>
      <w:rPr>
        <w:spacing w:val="20"/>
      </w:rPr>
      <w:t xml:space="preserve"> </w:t>
    </w:r>
    <w:r>
      <w:rPr>
        <w:spacing w:val="-14"/>
      </w:rPr>
      <w:t>1713—2018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19"/>
        <w:szCs w:val="19"/>
      </w:rPr>
    </w:pPr>
    <w:r>
      <w:drawing>
        <wp:anchor distT="0" distB="0" distL="0" distR="0" simplePos="0" relativeHeight="251660288" behindDoc="0" locked="0" layoutInCell="0" allowOverlap="1">
          <wp:simplePos x="0" y="0"/>
          <wp:positionH relativeFrom="page">
            <wp:posOffset>596903</wp:posOffset>
          </wp:positionH>
          <wp:positionV relativeFrom="page">
            <wp:posOffset>965177</wp:posOffset>
          </wp:positionV>
          <wp:extent cx="5854685"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54685" cy="6350"/>
                  </a:xfrm>
                  <a:prstGeom prst="rect">
                    <a:avLst/>
                  </a:prstGeom>
                </pic:spPr>
              </pic:pic>
            </a:graphicData>
          </a:graphic>
        </wp:anchor>
      </w:drawing>
    </w:r>
    <w:r>
      <w:rPr>
        <w:b/>
        <w:bCs/>
        <w:spacing w:val="-5"/>
        <w:sz w:val="19"/>
        <w:szCs w:val="19"/>
      </w:rPr>
      <w:t>JJF</w:t>
    </w:r>
    <w:r>
      <w:rPr>
        <w:spacing w:val="17"/>
        <w:sz w:val="19"/>
        <w:szCs w:val="19"/>
      </w:rPr>
      <w:t xml:space="preserve">  </w:t>
    </w:r>
    <w:r>
      <w:rPr>
        <w:b/>
        <w:bCs/>
        <w:spacing w:val="-5"/>
        <w:sz w:val="19"/>
        <w:szCs w:val="19"/>
      </w:rPr>
      <w:t>1713—2018</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19"/>
        <w:szCs w:val="19"/>
      </w:rPr>
    </w:pPr>
    <w:r>
      <w:drawing>
        <wp:anchor distT="0" distB="0" distL="0" distR="0" simplePos="0" relativeHeight="251661312" behindDoc="0" locked="0" layoutInCell="0" allowOverlap="1">
          <wp:simplePos x="0" y="0"/>
          <wp:positionH relativeFrom="page">
            <wp:posOffset>596903</wp:posOffset>
          </wp:positionH>
          <wp:positionV relativeFrom="page">
            <wp:posOffset>965177</wp:posOffset>
          </wp:positionV>
          <wp:extent cx="5854685" cy="6350"/>
          <wp:effectExtent l="0" t="0" r="0" b="0"/>
          <wp:wrapNone/>
          <wp:docPr id="1498368834" name="IM 6"/>
          <wp:cNvGraphicFramePr/>
          <a:graphic xmlns:a="http://schemas.openxmlformats.org/drawingml/2006/main">
            <a:graphicData uri="http://schemas.openxmlformats.org/drawingml/2006/picture">
              <pic:pic xmlns:pic="http://schemas.openxmlformats.org/drawingml/2006/picture">
                <pic:nvPicPr>
                  <pic:cNvPr id="1498368834" name="IM 6"/>
                  <pic:cNvPicPr/>
                </pic:nvPicPr>
                <pic:blipFill>
                  <a:blip xmlns:r="http://schemas.openxmlformats.org/officeDocument/2006/relationships" r:embed="rId1"/>
                  <a:stretch>
                    <a:fillRect/>
                  </a:stretch>
                </pic:blipFill>
                <pic:spPr>
                  <a:xfrm>
                    <a:off x="0" y="0"/>
                    <a:ext cx="5854685" cy="6350"/>
                  </a:xfrm>
                  <a:prstGeom prst="rect">
                    <a:avLst/>
                  </a:prstGeom>
                </pic:spPr>
              </pic:pic>
            </a:graphicData>
          </a:graphic>
        </wp:anchor>
      </w:drawing>
    </w:r>
    <w:r>
      <w:rPr>
        <w:b/>
        <w:bCs/>
        <w:spacing w:val="-5"/>
        <w:sz w:val="19"/>
        <w:szCs w:val="19"/>
      </w:rPr>
      <w:t>JJF</w:t>
    </w:r>
    <w:r>
      <w:rPr>
        <w:spacing w:val="17"/>
        <w:sz w:val="19"/>
        <w:szCs w:val="19"/>
      </w:rPr>
      <w:t xml:space="preserve">  </w:t>
    </w:r>
    <w:r>
      <w:rPr>
        <w:b/>
        <w:bCs/>
        <w:spacing w:val="-5"/>
        <w:sz w:val="19"/>
        <w:szCs w:val="19"/>
      </w:rPr>
      <w:t>1713—2018</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19"/>
        <w:szCs w:val="19"/>
      </w:rPr>
    </w:pPr>
    <w:r>
      <w:drawing>
        <wp:anchor distT="0" distB="0" distL="0" distR="0" simplePos="0" relativeHeight="251662336" behindDoc="0" locked="0" layoutInCell="0" allowOverlap="1">
          <wp:simplePos x="0" y="0"/>
          <wp:positionH relativeFrom="page">
            <wp:posOffset>596903</wp:posOffset>
          </wp:positionH>
          <wp:positionV relativeFrom="page">
            <wp:posOffset>965177</wp:posOffset>
          </wp:positionV>
          <wp:extent cx="5854685" cy="6350"/>
          <wp:effectExtent l="0" t="0" r="0" b="0"/>
          <wp:wrapNone/>
          <wp:docPr id="2141513009" name="IM 6"/>
          <wp:cNvGraphicFramePr/>
          <a:graphic xmlns:a="http://schemas.openxmlformats.org/drawingml/2006/main">
            <a:graphicData uri="http://schemas.openxmlformats.org/drawingml/2006/picture">
              <pic:pic xmlns:pic="http://schemas.openxmlformats.org/drawingml/2006/picture">
                <pic:nvPicPr>
                  <pic:cNvPr id="2141513009" name="IM 6"/>
                  <pic:cNvPicPr/>
                </pic:nvPicPr>
                <pic:blipFill>
                  <a:blip xmlns:r="http://schemas.openxmlformats.org/officeDocument/2006/relationships" r:embed="rId1"/>
                  <a:stretch>
                    <a:fillRect/>
                  </a:stretch>
                </pic:blipFill>
                <pic:spPr>
                  <a:xfrm>
                    <a:off x="0" y="0"/>
                    <a:ext cx="5854685" cy="6350"/>
                  </a:xfrm>
                  <a:prstGeom prst="rect">
                    <a:avLst/>
                  </a:prstGeom>
                </pic:spPr>
              </pic:pic>
            </a:graphicData>
          </a:graphic>
        </wp:anchor>
      </w:drawing>
    </w:r>
    <w:r>
      <w:rPr>
        <w:b/>
        <w:bCs/>
        <w:spacing w:val="-5"/>
        <w:sz w:val="19"/>
        <w:szCs w:val="19"/>
      </w:rPr>
      <w:t>JJF</w:t>
    </w:r>
    <w:r>
      <w:rPr>
        <w:spacing w:val="17"/>
        <w:sz w:val="19"/>
        <w:szCs w:val="19"/>
      </w:rPr>
      <w:t xml:space="preserve">  </w:t>
    </w:r>
    <w:r>
      <w:rPr>
        <w:b/>
        <w:bCs/>
        <w:spacing w:val="-5"/>
        <w:sz w:val="19"/>
        <w:szCs w:val="19"/>
      </w:rPr>
      <w:t>1713—2018</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2"/>
      <w:rPr>
        <w:sz w:val="19"/>
        <w:szCs w:val="19"/>
      </w:rPr>
    </w:pPr>
    <w:r>
      <w:drawing>
        <wp:anchor distT="0" distB="0" distL="0" distR="0" simplePos="0" relativeHeight="251663360" behindDoc="0" locked="0" layoutInCell="0" allowOverlap="1">
          <wp:simplePos x="0" y="0"/>
          <wp:positionH relativeFrom="page">
            <wp:posOffset>596903</wp:posOffset>
          </wp:positionH>
          <wp:positionV relativeFrom="page">
            <wp:posOffset>965177</wp:posOffset>
          </wp:positionV>
          <wp:extent cx="5854685" cy="6350"/>
          <wp:effectExtent l="0" t="0" r="0" b="0"/>
          <wp:wrapNone/>
          <wp:docPr id="1263136539" name="IM 6"/>
          <wp:cNvGraphicFramePr/>
          <a:graphic xmlns:a="http://schemas.openxmlformats.org/drawingml/2006/main">
            <a:graphicData uri="http://schemas.openxmlformats.org/drawingml/2006/picture">
              <pic:pic xmlns:pic="http://schemas.openxmlformats.org/drawingml/2006/picture">
                <pic:nvPicPr>
                  <pic:cNvPr id="1263136539" name="IM 6"/>
                  <pic:cNvPicPr/>
                </pic:nvPicPr>
                <pic:blipFill>
                  <a:blip xmlns:r="http://schemas.openxmlformats.org/officeDocument/2006/relationships" r:embed="rId1"/>
                  <a:stretch>
                    <a:fillRect/>
                  </a:stretch>
                </pic:blipFill>
                <pic:spPr>
                  <a:xfrm>
                    <a:off x="0" y="0"/>
                    <a:ext cx="5854685" cy="6350"/>
                  </a:xfrm>
                  <a:prstGeom prst="rect">
                    <a:avLst/>
                  </a:prstGeom>
                </pic:spPr>
              </pic:pic>
            </a:graphicData>
          </a:graphic>
        </wp:anchor>
      </w:drawing>
    </w:r>
    <w:r>
      <w:rPr>
        <w:b/>
        <w:bCs/>
        <w:spacing w:val="-5"/>
        <w:sz w:val="19"/>
        <w:szCs w:val="19"/>
      </w:rPr>
      <w:t>JJF</w:t>
    </w:r>
    <w:r>
      <w:rPr>
        <w:spacing w:val="17"/>
        <w:sz w:val="19"/>
        <w:szCs w:val="19"/>
      </w:rPr>
      <w:t xml:space="preserve">  </w:t>
    </w:r>
    <w:r>
      <w:rPr>
        <w:b/>
        <w:bCs/>
        <w:spacing w:val="-5"/>
        <w:sz w:val="19"/>
        <w:szCs w:val="19"/>
      </w:rPr>
      <w:t>1713—2018</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0"/>
      <w:rPr>
        <w:sz w:val="19"/>
        <w:szCs w:val="19"/>
      </w:rPr>
    </w:pPr>
    <w:r>
      <w:drawing>
        <wp:anchor distT="0" distB="0" distL="0" distR="0" simplePos="0" relativeHeight="251664384" behindDoc="0" locked="0" layoutInCell="0" allowOverlap="1">
          <wp:simplePos x="0" y="0"/>
          <wp:positionH relativeFrom="page">
            <wp:posOffset>717560</wp:posOffset>
          </wp:positionH>
          <wp:positionV relativeFrom="page">
            <wp:posOffset>990606</wp:posOffset>
          </wp:positionV>
          <wp:extent cx="5861067" cy="1265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61067" cy="12656"/>
                  </a:xfrm>
                  <a:prstGeom prst="rect">
                    <a:avLst/>
                  </a:prstGeom>
                </pic:spPr>
              </pic:pic>
            </a:graphicData>
          </a:graphic>
        </wp:anchor>
      </w:drawing>
    </w:r>
    <w:r>
      <w:rPr>
        <w:spacing w:val="-3"/>
        <w:sz w:val="19"/>
        <w:szCs w:val="19"/>
      </w:rPr>
      <w:t>JJF</w:t>
    </w:r>
    <w:r>
      <w:rPr>
        <w:spacing w:val="25"/>
        <w:sz w:val="19"/>
        <w:szCs w:val="19"/>
      </w:rPr>
      <w:t xml:space="preserve">  </w:t>
    </w:r>
    <w:r>
      <w:rPr>
        <w:spacing w:val="-3"/>
        <w:sz w:val="19"/>
        <w:szCs w:val="19"/>
      </w:rPr>
      <w:t>1713—2018</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0"/>
      <w:rPr>
        <w:sz w:val="19"/>
        <w:szCs w:val="19"/>
      </w:rPr>
    </w:pPr>
    <w:r>
      <w:drawing>
        <wp:anchor distT="0" distB="0" distL="0" distR="0" simplePos="0" relativeHeight="251665408" behindDoc="0" locked="0" layoutInCell="0" allowOverlap="1">
          <wp:simplePos x="0" y="0"/>
          <wp:positionH relativeFrom="page">
            <wp:posOffset>717560</wp:posOffset>
          </wp:positionH>
          <wp:positionV relativeFrom="page">
            <wp:posOffset>990606</wp:posOffset>
          </wp:positionV>
          <wp:extent cx="5861067" cy="12656"/>
          <wp:effectExtent l="0" t="0" r="0" b="0"/>
          <wp:wrapNone/>
          <wp:docPr id="354601184" name="IM 8"/>
          <wp:cNvGraphicFramePr/>
          <a:graphic xmlns:a="http://schemas.openxmlformats.org/drawingml/2006/main">
            <a:graphicData uri="http://schemas.openxmlformats.org/drawingml/2006/picture">
              <pic:pic xmlns:pic="http://schemas.openxmlformats.org/drawingml/2006/picture">
                <pic:nvPicPr>
                  <pic:cNvPr id="354601184" name="IM 8"/>
                  <pic:cNvPicPr/>
                </pic:nvPicPr>
                <pic:blipFill>
                  <a:blip xmlns:r="http://schemas.openxmlformats.org/officeDocument/2006/relationships" r:embed="rId1"/>
                  <a:stretch>
                    <a:fillRect/>
                  </a:stretch>
                </pic:blipFill>
                <pic:spPr>
                  <a:xfrm>
                    <a:off x="0" y="0"/>
                    <a:ext cx="5861067" cy="12656"/>
                  </a:xfrm>
                  <a:prstGeom prst="rect">
                    <a:avLst/>
                  </a:prstGeom>
                </pic:spPr>
              </pic:pic>
            </a:graphicData>
          </a:graphic>
        </wp:anchor>
      </w:drawing>
    </w:r>
    <w:r>
      <w:rPr>
        <w:spacing w:val="-3"/>
        <w:sz w:val="19"/>
        <w:szCs w:val="19"/>
      </w:rPr>
      <w:t>JJF</w:t>
    </w:r>
    <w:r>
      <w:rPr>
        <w:spacing w:val="25"/>
        <w:sz w:val="19"/>
        <w:szCs w:val="19"/>
      </w:rPr>
      <w:t xml:space="preserve">  </w:t>
    </w:r>
    <w:r>
      <w:rPr>
        <w:spacing w:val="-3"/>
        <w:sz w:val="19"/>
        <w:szCs w:val="19"/>
      </w:rPr>
      <w:t>1713—2018</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5"/>
      <w:rPr>
        <w:rFonts w:ascii="Times New Roman" w:eastAsia="Times New Roman" w:hAnsi="Times New Roman" w:cs="Times New Roman"/>
        <w:sz w:val="18"/>
        <w:szCs w:val="18"/>
      </w:rPr>
    </w:pPr>
    <w:r>
      <w:drawing>
        <wp:anchor distT="0" distB="0" distL="0" distR="0" simplePos="0" relativeHeight="251666432" behindDoc="0" locked="0" layoutInCell="0" allowOverlap="1">
          <wp:simplePos x="0" y="0"/>
          <wp:positionH relativeFrom="page">
            <wp:posOffset>584213</wp:posOffset>
          </wp:positionH>
          <wp:positionV relativeFrom="page">
            <wp:posOffset>965177</wp:posOffset>
          </wp:positionV>
          <wp:extent cx="5861066"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861066" cy="6350"/>
                  </a:xfrm>
                  <a:prstGeom prst="rect">
                    <a:avLst/>
                  </a:prstGeom>
                </pic:spPr>
              </pic:pic>
            </a:graphicData>
          </a:graphic>
        </wp:anchor>
      </w:drawing>
    </w:r>
    <w:r>
      <w:rPr>
        <w:rFonts w:ascii="Times New Roman" w:eastAsia="Times New Roman" w:hAnsi="Times New Roman" w:cs="Times New Roman"/>
        <w:spacing w:val="-2"/>
        <w:sz w:val="18"/>
        <w:szCs w:val="18"/>
      </w:rPr>
      <w:t>JJF       1713—2018</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5"/>
      <w:rPr>
        <w:rFonts w:ascii="Times New Roman" w:eastAsia="Times New Roman" w:hAnsi="Times New Roman" w:cs="Times New Roman"/>
        <w:sz w:val="18"/>
        <w:szCs w:val="18"/>
      </w:rPr>
    </w:pPr>
    <w:r>
      <w:drawing>
        <wp:anchor distT="0" distB="0" distL="0" distR="0" simplePos="0" relativeHeight="251667456" behindDoc="0" locked="0" layoutInCell="0" allowOverlap="1">
          <wp:simplePos x="0" y="0"/>
          <wp:positionH relativeFrom="page">
            <wp:posOffset>584213</wp:posOffset>
          </wp:positionH>
          <wp:positionV relativeFrom="page">
            <wp:posOffset>965177</wp:posOffset>
          </wp:positionV>
          <wp:extent cx="5861066" cy="6350"/>
          <wp:effectExtent l="0" t="0" r="0" b="0"/>
          <wp:wrapNone/>
          <wp:docPr id="836806077" name="IM 10"/>
          <wp:cNvGraphicFramePr/>
          <a:graphic xmlns:a="http://schemas.openxmlformats.org/drawingml/2006/main">
            <a:graphicData uri="http://schemas.openxmlformats.org/drawingml/2006/picture">
              <pic:pic xmlns:pic="http://schemas.openxmlformats.org/drawingml/2006/picture">
                <pic:nvPicPr>
                  <pic:cNvPr id="836806077" name="IM 10"/>
                  <pic:cNvPicPr/>
                </pic:nvPicPr>
                <pic:blipFill>
                  <a:blip xmlns:r="http://schemas.openxmlformats.org/officeDocument/2006/relationships" r:embed="rId1"/>
                  <a:stretch>
                    <a:fillRect/>
                  </a:stretch>
                </pic:blipFill>
                <pic:spPr>
                  <a:xfrm>
                    <a:off x="0" y="0"/>
                    <a:ext cx="5861066" cy="6350"/>
                  </a:xfrm>
                  <a:prstGeom prst="rect">
                    <a:avLst/>
                  </a:prstGeom>
                </pic:spPr>
              </pic:pic>
            </a:graphicData>
          </a:graphic>
        </wp:anchor>
      </w:drawing>
    </w:r>
    <w:r>
      <w:rPr>
        <w:rFonts w:ascii="Times New Roman" w:eastAsia="Times New Roman" w:hAnsi="Times New Roman" w:cs="Times New Roman"/>
        <w:spacing w:val="-2"/>
        <w:sz w:val="18"/>
        <w:szCs w:val="18"/>
      </w:rPr>
      <w:t>JJF       1713—2018</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19"/>
        <w:szCs w:val="19"/>
      </w:rPr>
    </w:pPr>
    <w:r>
      <w:drawing>
        <wp:anchor distT="0" distB="0" distL="0" distR="0" simplePos="0" relativeHeight="251668480" behindDoc="0" locked="0" layoutInCell="0" allowOverlap="1">
          <wp:simplePos x="0" y="0"/>
          <wp:positionH relativeFrom="page">
            <wp:posOffset>692181</wp:posOffset>
          </wp:positionH>
          <wp:positionV relativeFrom="page">
            <wp:posOffset>984278</wp:posOffset>
          </wp:positionV>
          <wp:extent cx="5854685" cy="12656"/>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54685" cy="12656"/>
                  </a:xfrm>
                  <a:prstGeom prst="rect">
                    <a:avLst/>
                  </a:prstGeom>
                </pic:spPr>
              </pic:pic>
            </a:graphicData>
          </a:graphic>
        </wp:anchor>
      </w:drawing>
    </w:r>
    <w:r>
      <w:rPr>
        <w:spacing w:val="-3"/>
        <w:sz w:val="19"/>
        <w:szCs w:val="19"/>
      </w:rPr>
      <w:t>JJF</w:t>
    </w:r>
    <w:r>
      <w:rPr>
        <w:spacing w:val="10"/>
        <w:sz w:val="19"/>
        <w:szCs w:val="19"/>
      </w:rPr>
      <w:t xml:space="preserve">  </w:t>
    </w:r>
    <w:r>
      <w:rPr>
        <w:spacing w:val="-3"/>
        <w:sz w:val="19"/>
        <w:szCs w:val="19"/>
      </w:rPr>
      <w:t>1713—2018</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19"/>
        <w:szCs w:val="19"/>
      </w:rPr>
    </w:pPr>
    <w:r>
      <w:drawing>
        <wp:anchor distT="0" distB="0" distL="0" distR="0" simplePos="0" relativeHeight="251669504" behindDoc="0" locked="0" layoutInCell="0" allowOverlap="1">
          <wp:simplePos x="0" y="0"/>
          <wp:positionH relativeFrom="page">
            <wp:posOffset>692181</wp:posOffset>
          </wp:positionH>
          <wp:positionV relativeFrom="page">
            <wp:posOffset>984278</wp:posOffset>
          </wp:positionV>
          <wp:extent cx="5854685" cy="12656"/>
          <wp:effectExtent l="0" t="0" r="0" b="0"/>
          <wp:wrapNone/>
          <wp:docPr id="2121050000" name="IM 18"/>
          <wp:cNvGraphicFramePr/>
          <a:graphic xmlns:a="http://schemas.openxmlformats.org/drawingml/2006/main">
            <a:graphicData uri="http://schemas.openxmlformats.org/drawingml/2006/picture">
              <pic:pic xmlns:pic="http://schemas.openxmlformats.org/drawingml/2006/picture">
                <pic:nvPicPr>
                  <pic:cNvPr id="2121050000" name="IM 18"/>
                  <pic:cNvPicPr/>
                </pic:nvPicPr>
                <pic:blipFill>
                  <a:blip xmlns:r="http://schemas.openxmlformats.org/officeDocument/2006/relationships" r:embed="rId1"/>
                  <a:stretch>
                    <a:fillRect/>
                  </a:stretch>
                </pic:blipFill>
                <pic:spPr>
                  <a:xfrm>
                    <a:off x="0" y="0"/>
                    <a:ext cx="5854685" cy="12656"/>
                  </a:xfrm>
                  <a:prstGeom prst="rect">
                    <a:avLst/>
                  </a:prstGeom>
                </pic:spPr>
              </pic:pic>
            </a:graphicData>
          </a:graphic>
        </wp:anchor>
      </w:drawing>
    </w:r>
    <w:r>
      <w:rPr>
        <w:spacing w:val="-3"/>
        <w:sz w:val="19"/>
        <w:szCs w:val="19"/>
      </w:rPr>
      <w:t>JJF</w:t>
    </w:r>
    <w:r>
      <w:rPr>
        <w:spacing w:val="10"/>
        <w:sz w:val="19"/>
        <w:szCs w:val="19"/>
      </w:rPr>
      <w:t xml:space="preserve">  </w:t>
    </w:r>
    <w:r>
      <w:rPr>
        <w:spacing w:val="-3"/>
        <w:sz w:val="19"/>
        <w:szCs w:val="19"/>
      </w:rPr>
      <w:t>1713—2018</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19"/>
        <w:szCs w:val="19"/>
      </w:rPr>
    </w:pPr>
    <w:r>
      <w:drawing>
        <wp:anchor distT="0" distB="0" distL="0" distR="0" simplePos="0" relativeHeight="251670528" behindDoc="0" locked="0" layoutInCell="0" allowOverlap="1">
          <wp:simplePos x="0" y="0"/>
          <wp:positionH relativeFrom="page">
            <wp:posOffset>692181</wp:posOffset>
          </wp:positionH>
          <wp:positionV relativeFrom="page">
            <wp:posOffset>984278</wp:posOffset>
          </wp:positionV>
          <wp:extent cx="5854685" cy="12656"/>
          <wp:effectExtent l="0" t="0" r="0" b="0"/>
          <wp:wrapNone/>
          <wp:docPr id="1995942627" name="IM 18"/>
          <wp:cNvGraphicFramePr/>
          <a:graphic xmlns:a="http://schemas.openxmlformats.org/drawingml/2006/main">
            <a:graphicData uri="http://schemas.openxmlformats.org/drawingml/2006/picture">
              <pic:pic xmlns:pic="http://schemas.openxmlformats.org/drawingml/2006/picture">
                <pic:nvPicPr>
                  <pic:cNvPr id="1995942627" name="IM 18"/>
                  <pic:cNvPicPr/>
                </pic:nvPicPr>
                <pic:blipFill>
                  <a:blip xmlns:r="http://schemas.openxmlformats.org/officeDocument/2006/relationships" r:embed="rId1"/>
                  <a:stretch>
                    <a:fillRect/>
                  </a:stretch>
                </pic:blipFill>
                <pic:spPr>
                  <a:xfrm>
                    <a:off x="0" y="0"/>
                    <a:ext cx="5854685" cy="12656"/>
                  </a:xfrm>
                  <a:prstGeom prst="rect">
                    <a:avLst/>
                  </a:prstGeom>
                </pic:spPr>
              </pic:pic>
            </a:graphicData>
          </a:graphic>
        </wp:anchor>
      </w:drawing>
    </w:r>
    <w:r>
      <w:rPr>
        <w:spacing w:val="-3"/>
        <w:sz w:val="19"/>
        <w:szCs w:val="19"/>
      </w:rPr>
      <w:t>JJF</w:t>
    </w:r>
    <w:r>
      <w:rPr>
        <w:spacing w:val="10"/>
        <w:sz w:val="19"/>
        <w:szCs w:val="19"/>
      </w:rPr>
      <w:t xml:space="preserve">  </w:t>
    </w:r>
    <w:r>
      <w:rPr>
        <w:spacing w:val="-3"/>
        <w:sz w:val="19"/>
        <w:szCs w:val="19"/>
      </w:rPr>
      <w:t>1713—2018</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9"/>
      <w:rPr>
        <w:sz w:val="19"/>
        <w:szCs w:val="19"/>
      </w:rPr>
    </w:pPr>
    <w:r>
      <w:drawing>
        <wp:anchor distT="0" distB="0" distL="0" distR="0" simplePos="0" relativeHeight="251671552" behindDoc="0" locked="0" layoutInCell="0" allowOverlap="1">
          <wp:simplePos x="0" y="0"/>
          <wp:positionH relativeFrom="page">
            <wp:posOffset>692181</wp:posOffset>
          </wp:positionH>
          <wp:positionV relativeFrom="page">
            <wp:posOffset>984278</wp:posOffset>
          </wp:positionV>
          <wp:extent cx="5854685" cy="12656"/>
          <wp:effectExtent l="0" t="0" r="0" b="0"/>
          <wp:wrapNone/>
          <wp:docPr id="1663513953" name="IM 18"/>
          <wp:cNvGraphicFramePr/>
          <a:graphic xmlns:a="http://schemas.openxmlformats.org/drawingml/2006/main">
            <a:graphicData uri="http://schemas.openxmlformats.org/drawingml/2006/picture">
              <pic:pic xmlns:pic="http://schemas.openxmlformats.org/drawingml/2006/picture">
                <pic:nvPicPr>
                  <pic:cNvPr id="1663513953" name="IM 18"/>
                  <pic:cNvPicPr/>
                </pic:nvPicPr>
                <pic:blipFill>
                  <a:blip xmlns:r="http://schemas.openxmlformats.org/officeDocument/2006/relationships" r:embed="rId1"/>
                  <a:stretch>
                    <a:fillRect/>
                  </a:stretch>
                </pic:blipFill>
                <pic:spPr>
                  <a:xfrm>
                    <a:off x="0" y="0"/>
                    <a:ext cx="5854685" cy="12656"/>
                  </a:xfrm>
                  <a:prstGeom prst="rect">
                    <a:avLst/>
                  </a:prstGeom>
                </pic:spPr>
              </pic:pic>
            </a:graphicData>
          </a:graphic>
        </wp:anchor>
      </w:drawing>
    </w:r>
    <w:r>
      <w:rPr>
        <w:spacing w:val="-3"/>
        <w:sz w:val="19"/>
        <w:szCs w:val="19"/>
      </w:rPr>
      <w:t>JJF</w:t>
    </w:r>
    <w:r>
      <w:rPr>
        <w:spacing w:val="10"/>
        <w:sz w:val="19"/>
        <w:szCs w:val="19"/>
      </w:rPr>
      <w:t xml:space="preserve">  </w:t>
    </w:r>
    <w:r>
      <w:rPr>
        <w:spacing w:val="-3"/>
        <w:sz w:val="19"/>
        <w:szCs w:val="19"/>
      </w:rPr>
      <w:t>1713—2018</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19"/>
        <w:szCs w:val="19"/>
      </w:rPr>
    </w:pPr>
    <w:r>
      <w:rPr>
        <w:spacing w:val="-3"/>
        <w:sz w:val="19"/>
        <w:szCs w:val="19"/>
      </w:rPr>
      <w:t>JJF</w:t>
    </w:r>
    <w:r>
      <w:rPr>
        <w:spacing w:val="30"/>
        <w:sz w:val="19"/>
        <w:szCs w:val="19"/>
      </w:rPr>
      <w:t xml:space="preserve">  </w:t>
    </w:r>
    <w:r>
      <w:rPr>
        <w:spacing w:val="-3"/>
        <w:sz w:val="19"/>
        <w:szCs w:val="19"/>
      </w:rPr>
      <w:t>1713—2018</w:t>
    </w:r>
  </w:p>
  <w:p>
    <w:pPr>
      <w:spacing w:before="85" w:line="10" w:lineRule="exact"/>
      <w:ind w:firstLine="10"/>
    </w:pPr>
    <w:r>
      <w:drawing>
        <wp:inline distT="0" distB="0" distL="0" distR="0">
          <wp:extent cx="5867375" cy="641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67375" cy="641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4.jpe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8.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10.jpeg"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yperlink" Target="https://d.book118.com/318012024043006025" TargetMode="External" /><Relationship Id="rId39" Type="http://schemas.openxmlformats.org/officeDocument/2006/relationships/header" Target="header15.xml" /><Relationship Id="rId4" Type="http://schemas.openxmlformats.org/officeDocument/2006/relationships/image" Target="media/image1.jpeg" /><Relationship Id="rId40" Type="http://schemas.openxmlformats.org/officeDocument/2006/relationships/footer" Target="footer15.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9.jpeg" /></Relationships>
</file>

<file path=word/_rels/header12.xml.rels><?xml version="1.0" encoding="utf-8" standalone="yes"?><Relationships xmlns="http://schemas.openxmlformats.org/package/2006/relationships"><Relationship Id="rId1" Type="http://schemas.openxmlformats.org/officeDocument/2006/relationships/image" Target="media/image9.jpeg" /></Relationships>
</file>

<file path=word/_rels/header13.xml.rels><?xml version="1.0" encoding="utf-8" standalone="yes"?><Relationships xmlns="http://schemas.openxmlformats.org/package/2006/relationships"><Relationship Id="rId1" Type="http://schemas.openxmlformats.org/officeDocument/2006/relationships/image" Target="media/image9.jpeg" /></Relationships>
</file>

<file path=word/_rels/header14.xml.rels><?xml version="1.0" encoding="utf-8" standalone="yes"?><Relationships xmlns="http://schemas.openxmlformats.org/package/2006/relationships"><Relationship Id="rId1" Type="http://schemas.openxmlformats.org/officeDocument/2006/relationships/image" Target="media/image9.jpeg" /></Relationships>
</file>

<file path=word/_rels/header15.xml.rels><?xml version="1.0" encoding="utf-8" standalone="yes"?><Relationships xmlns="http://schemas.openxmlformats.org/package/2006/relationships"><Relationship Id="rId1" Type="http://schemas.openxmlformats.org/officeDocument/2006/relationships/image" Target="media/image1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2024-01-11T17:14:04Z</vt:filetime>
  </property>
  <property fmtid="{D5CDD505-2E9C-101B-9397-08002B2CF9AE}" pid="3" name="CRO">
    <vt:lpwstr>wqlLaW5nc29mdCBQREYgdG8gV1BTIDkw</vt:lpwstr>
  </property>
  <property fmtid="{D5CDD505-2E9C-101B-9397-08002B2CF9AE}" pid="4" name="UsrData">
    <vt:lpwstr>659fb1554bc505001ffa4d55wl</vt:lpwstr>
  </property>
</Properties>
</file>