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避光输液器竞争策略分析报告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434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_Toc25434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" w:history="1">
        <w:r>
          <w:rPr>
            <w:rFonts w:ascii="仿宋" w:eastAsia="仿宋" w:hAnsi="仿宋" w:cs="仿宋" w:hint="eastAsia"/>
            <w:lang w:val="en-GB"/>
          </w:rPr>
          <w:t>一、避光输液器危机管理与应对策略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5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_Toc6455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8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_Toc30568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9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_Toc14699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6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_Toc8396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5" w:history="1">
        <w:r>
          <w:rPr>
            <w:rFonts w:ascii="仿宋" w:eastAsia="仿宋" w:hAnsi="仿宋" w:cs="仿宋" w:hint="eastAsia"/>
            <w:lang w:val="en-GB"/>
          </w:rPr>
          <w:t>二、人力资源分析</w:t>
        </w:r>
        <w:r>
          <w:tab/>
        </w:r>
        <w:r>
          <w:fldChar w:fldCharType="begin"/>
        </w:r>
        <w:r>
          <w:instrText xml:space="preserve"> PAGEREF _Toc22745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9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_Toc17109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6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_Toc30826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89" w:history="1">
        <w:r>
          <w:rPr>
            <w:rFonts w:ascii="仿宋" w:eastAsia="仿宋" w:hAnsi="仿宋" w:cs="仿宋" w:hint="eastAsia"/>
            <w:lang w:val="en-GB"/>
          </w:rPr>
          <w:t>三、员工培训与绩效提升</w:t>
        </w:r>
        <w:r>
          <w:tab/>
        </w:r>
        <w:r>
          <w:fldChar w:fldCharType="begin"/>
        </w:r>
        <w:r>
          <w:instrText xml:space="preserve"> PAGEREF _Toc16189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2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_Toc11652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1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_Toc20221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8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_Toc13708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2" w:history="1">
        <w:r>
          <w:rPr>
            <w:rFonts w:ascii="仿宋" w:eastAsia="仿宋" w:hAnsi="仿宋" w:cs="仿宋" w:hint="eastAsia"/>
            <w:lang w:val="en-GB"/>
          </w:rPr>
          <w:t>四、发展规划分析</w:t>
        </w:r>
        <w:r>
          <w:tab/>
        </w:r>
        <w:r>
          <w:fldChar w:fldCharType="begin"/>
        </w:r>
        <w:r>
          <w:instrText xml:space="preserve"> PAGEREF _Toc21182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8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_Toc10618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21" w:history="1">
        <w:r>
          <w:rPr>
            <w:rFonts w:ascii="仿宋" w:eastAsia="仿宋" w:hAnsi="仿宋" w:cs="仿宋" w:hint="eastAsia"/>
            <w:lang w:val="en-GB"/>
          </w:rPr>
          <w:t>五、SWOT分析说明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8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_Toc4388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0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_Toc20970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0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_Toc23560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7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_Toc14227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9" w:history="1">
        <w:r>
          <w:rPr>
            <w:rFonts w:ascii="仿宋" w:eastAsia="仿宋" w:hAnsi="仿宋" w:cs="仿宋" w:hint="eastAsia"/>
            <w:lang w:val="en-GB"/>
          </w:rPr>
          <w:t>六、避光输液器组织市场分析</w:t>
        </w:r>
        <w:r>
          <w:tab/>
        </w:r>
        <w:r>
          <w:fldChar w:fldCharType="begin"/>
        </w:r>
        <w:r>
          <w:instrText xml:space="preserve"> PAGEREF _Toc22959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7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_Toc11727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7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_Toc14337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0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_Toc9190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3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_Toc9783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7" w:history="1">
        <w:r>
          <w:rPr>
            <w:rFonts w:ascii="仿宋" w:eastAsia="仿宋" w:hAnsi="仿宋" w:cs="仿宋" w:hint="eastAsia"/>
            <w:lang w:val="en-GB"/>
          </w:rPr>
          <w:t>七、市场趋势与消费者洞察</w:t>
        </w:r>
        <w:r>
          <w:tab/>
        </w:r>
        <w:r>
          <w:fldChar w:fldCharType="begin"/>
        </w:r>
        <w:r>
          <w:instrText xml:space="preserve"> PAGEREF _Toc23797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1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_Toc4251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1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5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_Toc17205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7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_Toc19067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4" w:history="1">
        <w:r>
          <w:rPr>
            <w:rFonts w:ascii="仿宋" w:eastAsia="仿宋" w:hAnsi="仿宋" w:cs="仿宋" w:hint="eastAsia"/>
            <w:lang w:val="en-GB"/>
          </w:rPr>
          <w:t>八、避光输液器消费者市场分析</w:t>
        </w:r>
        <w:r>
          <w:tab/>
        </w:r>
        <w:r>
          <w:fldChar w:fldCharType="begin"/>
        </w:r>
        <w:r>
          <w:instrText xml:space="preserve"> PAGEREF _Toc29384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_Toc27577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7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_Toc26317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3" w:history="1">
        <w:r>
          <w:rPr>
            <w:rFonts w:ascii="仿宋" w:eastAsia="仿宋" w:hAnsi="仿宋" w:cs="仿宋" w:hint="eastAsia"/>
            <w:lang w:val="en-GB"/>
          </w:rPr>
          <w:t>九、避光输液器市场地位与竞争战略</w:t>
        </w:r>
        <w:r>
          <w:tab/>
        </w:r>
        <w:r>
          <w:fldChar w:fldCharType="begin"/>
        </w:r>
        <w:r>
          <w:instrText xml:space="preserve"> PAGEREF _Toc20873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0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_Toc5210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8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_Toc13448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9" w:history="1">
        <w:r>
          <w:rPr>
            <w:rFonts w:ascii="仿宋" w:eastAsia="仿宋" w:hAnsi="仿宋" w:cs="仿宋" w:hint="eastAsia"/>
            <w:lang w:val="en-GB"/>
          </w:rPr>
          <w:t>十、技术与生产管理</w:t>
        </w:r>
        <w:r>
          <w:tab/>
        </w:r>
        <w:r>
          <w:fldChar w:fldCharType="begin"/>
        </w:r>
        <w:r>
          <w:instrText xml:space="preserve"> PAGEREF _Toc15979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05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4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_Toc12654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7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_Toc5267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6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_Toc14076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val="en-GB"/>
          </w:rPr>
          <w:t>十一、避光输液器数字化发展方案</w:t>
        </w:r>
        <w:r>
          <w:tab/>
        </w:r>
        <w:r>
          <w:fldChar w:fldCharType="begin"/>
        </w:r>
        <w:r>
          <w:instrText xml:space="preserve"> PAGEREF _Toc5479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7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0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_Toc32040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4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_Toc28124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6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_Toc17956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2" w:history="1">
        <w:r>
          <w:rPr>
            <w:rFonts w:ascii="仿宋" w:eastAsia="仿宋" w:hAnsi="仿宋" w:cs="仿宋" w:hint="eastAsia"/>
            <w:lang w:val="en-GB"/>
          </w:rPr>
          <w:t>十二、市场营销与销售策略</w:t>
        </w:r>
        <w:r>
          <w:tab/>
        </w:r>
        <w:r>
          <w:fldChar w:fldCharType="begin"/>
        </w:r>
        <w:r>
          <w:instrText xml:space="preserve"> PAGEREF _Toc26002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4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_Toc22564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6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_Toc28876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8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_Toc27888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1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_Toc8351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46" w:history="1">
        <w:r>
          <w:rPr>
            <w:rFonts w:ascii="仿宋" w:eastAsia="仿宋" w:hAnsi="仿宋" w:cs="仿宋" w:hint="eastAsia"/>
            <w:lang w:val="en-GB"/>
          </w:rPr>
          <w:t>十三、避光输液器风险管理与合规</w:t>
        </w:r>
        <w:r>
          <w:tab/>
        </w:r>
        <w:r>
          <w:fldChar w:fldCharType="begin"/>
        </w:r>
        <w:r>
          <w:instrText xml:space="preserve"> PAGEREF _Toc24046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0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_Toc27360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4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_Toc19354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6" w:history="1">
        <w:r>
          <w:rPr>
            <w:rFonts w:ascii="仿宋" w:eastAsia="仿宋" w:hAnsi="仿宋" w:cs="仿宋" w:hint="eastAsia"/>
            <w:lang w:val="en-GB"/>
          </w:rPr>
          <w:t>十四、避光输液器人才战略与团队建设</w:t>
        </w:r>
        <w:r>
          <w:tab/>
        </w:r>
        <w:r>
          <w:fldChar w:fldCharType="begin"/>
        </w:r>
        <w:r>
          <w:instrText xml:space="preserve"> PAGEREF _Toc13096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2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_Toc5382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7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_Toc29527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_Toc15185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0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_Toc11920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0" w:history="1">
        <w:r>
          <w:rPr>
            <w:rFonts w:ascii="仿宋" w:eastAsia="仿宋" w:hAnsi="仿宋" w:cs="仿宋" w:hint="eastAsia"/>
            <w:lang w:val="en-GB"/>
          </w:rPr>
          <w:t>十五、避光输液器行业高质量发展</w:t>
        </w:r>
        <w:r>
          <w:tab/>
        </w:r>
        <w:r>
          <w:fldChar w:fldCharType="begin"/>
        </w:r>
        <w:r>
          <w:instrText xml:space="preserve"> PAGEREF _Toc22400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5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_Toc26645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_Toc2309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2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_Toc24912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25434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避光输液器市场竞争的不断加剧，避光输液器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2593"/>
      <w:r>
        <w:rPr>
          <w:rFonts w:ascii="仿宋" w:eastAsia="仿宋" w:hAnsi="仿宋" w:cs="仿宋" w:hint="eastAsia"/>
          <w:sz w:val="28"/>
          <w:lang w:val="en-GB"/>
        </w:rPr>
        <w:t>一、避光输液器危机管理与应对策略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6455"/>
      <w:r>
        <w:rPr>
          <w:rFonts w:ascii="仿宋" w:eastAsia="仿宋" w:hAnsi="仿宋" w:cs="仿宋" w:hint="eastAsia"/>
          <w:lang w:val="en-GB"/>
        </w:rPr>
        <w:t>(一)、危机预警与应急计划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一、危机预警与监测体系的建立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应对复杂多变的商业环境，公司决定构建一套健全且高效的危机预警体系。此体系不仅将实时监测市场动态，还将深入分析经济环境和政策变化等多个层面，旨在及时发现并应对可能对公司经营产生负面影响的因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市场监测方面，公司将充分利用现代信息技术和数据分析工具，通过社交媒体分析、消费者调查以及竞争对手行为追踪等手段，全面把握市场脉搏。此外，公司还将密切关注国内外经济趋势、汇率波动等宏观经济因素，以及与公司业务相关的政策法规变化，确保公司经营策略与外部环境的动态变化保持同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实现这一目标，公司将建立一支专业的危机预警团队，负责数据的收集、整理和分析工作。该团队将与公司的其他部门紧密合作，确保信息的及时传递和有效应用。同时，公司将定期对预警系统进行评估和优化，以提高其准确性和有效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二、应急计划的制定与执行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在危机预警体系的基础上，公司决定制定一套详尽的应急计划。该计划将明确各部门的职责和应对步骤，确保在危机爆发时能够迅速做出反应，最大限度地减少损失。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应急计划将根据不同类型的危机制定相应的应对策略。例如，在面对市场竞争压力时，公司将调整营销策略，加大产品创新力度；在遭遇自然灾害等不可抗力因素时，公司将启动业务连续性计划，确保公司运营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应急计划的有效执行，公司将定期组织模拟演练和培训活动，提高员工的危机意识和应对能力。同时，公司将建立应急指挥中心，负责在危机发生时统一协调各部门的行动和资源，确保公司的快速响应和高效处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30568"/>
      <w:r>
        <w:rPr>
          <w:rFonts w:ascii="仿宋" w:eastAsia="仿宋" w:hAnsi="仿宋" w:cs="仿宋" w:hint="eastAsia"/>
          <w:sz w:val="28"/>
          <w:lang w:val="en-GB"/>
        </w:rPr>
        <w:t>(二)、公关与危机沟通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公关策略方面，公司将建立专业的公关团队，由资深公关专业人士组成。该团队将负责制定和执行全面的公关策略，包括品牌推广、形象建设、社会责任传播等方面。通过与媒体建立紧密的关系，公司将确保信息的及时传播和准确传递。在公关活动中，公司将强调透明度和真实性，确保公众对公司的认知是真实、全面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危机沟通团队的建立与培训是公司危机管理的重要组成部分。该团队将由危机管理专业人士、法务团队、高管层成员等组成。他们将负责在危机发生时的信息发布、危机应对策略的制定和执行。团队成员将接受定期的危机沟通培训，提高其在紧急情况下的应变能力和沟通技巧。培训内容将涵盖公关原则、媒体交往、社交媒体管理等多个方面，以确保团队在危机时能够迅速而有效地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社交媒体管理与舆情监测是公司危机沟通的重要环节。公司将加强对社交媒体的管理，建立完善的社交媒体监测系统。通过对各类社交媒体平台的实时监控，公司将及时了解公众对公司的关切点、舆论走向。在危机时，公司将积极参与社交媒体的互动，通过积极回应、解释公司立场等方式，引导舆论走向。同时，公司将保持高度警惕，及时发现和应对社交媒体上的谣言和负面信息，以避免信息传播的不当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关系维护与合作伙伴关系建设是公司危机管理的基石。公司将注重与各利益相关方的关系维护和合作伙伴关系建设。通过定期的交流活动、企业社会责任避光输液器项目的推动等方式，公司将增进与员工、客户、供应商、投资者等各方的良好关系。在危机时，公司将充分发挥各方关系的积极作用，争取更多理解和支持。与关键合作伙伴之间，公司将建立长期稳定的合作机制，共同应对危机，形成危机共建共享的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形象修复与长期声誉管理是公司在危机后重要的工作。公司将根据危机的具体情况，制定相应的形象修复策略。通过开展品牌形象宣传、产品升级、社会公益活动等多种手段，公司将努力恢复公众对其的信任。长期声誉管理方面，公司将不仅仅在危机时关注形象维护，而是通过日常经营和企业社会责任的全面推动，树立积极向上的企业形象，增强公众对公司的好感度和认同感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14699"/>
      <w:r>
        <w:rPr>
          <w:rFonts w:ascii="仿宋" w:eastAsia="仿宋" w:hAnsi="仿宋" w:cs="仿宋" w:hint="eastAsia"/>
          <w:sz w:val="28"/>
          <w:lang w:val="en-GB"/>
        </w:rPr>
        <w:t>(三)、媒体关系与舆情管理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媒体关系建设：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积极构建与各类媒体的良好关系。这包括与新闻机构、避光输液器行业媒体、社交媒体等多个媒体渠道的沟通与合作。建立定期的媒体沟通渠道，向媒体提供及时准确的企业信息，展示公司的发展成就和社会责任履行，以确保对外信息传递的一致性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舆情监测与分析：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建立全面的舆情监测系统，跟踪主流媒体、社交媒体和专业论坛等多个平台的舆情信息。通过先进的舆情分析工具，实时监测与公司相关的正面和负面舆情，深度分析舆情数据，及时了解公众关注点，为公司决策提供科学依据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危机舆情处理：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建立健全的危机舆情处理机制，包括危机应对预案、危机沟通团队等。在危机事件发生时，公司将迅速做出反应，通过透明的信息发布、迅速的问题解决和积极的危机沟通，及时平息不良舆情，保护企业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定期发布信息：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https://d.book118.com/318015125125006030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避光输液器竞争策略分析报告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避光输液器竞争策略分析报告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避光输液器竞争策略分析报告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避光输液器竞争策略分析报告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避光输液器竞争策略分析报告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避光输液器竞争策略分析报告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避光输液器竞争策略分析报告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3274DA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5A3274DA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8015125125006030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2024-01-08T17:34:00Z</dcterms:created>
  <dcterms:modified xsi:type="dcterms:W3CDTF">2024-01-08T17:35:04Z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3F8D2929FB2449C984967143923D949E_11</vt:lpwstr>
  </property>
  <property fmtid="{D5CDD505-2E9C-101B-9397-08002B2CF9AE}" pid="3" name="KSOProductBuildVer">
    <vt:lpwstr>2052-12.1.0.16120</vt:lpwstr>
  </property>
</Properties>
</file>