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spacing w:before="6"/>
        <w:rPr>
          <w:rFonts w:ascii="Times New Roman"/>
          <w:sz w:val="21"/>
        </w:rPr>
      </w:pPr>
    </w:p>
    <w:p>
      <w:pPr>
        <w:pStyle w:val="Heading1"/>
        <w:spacing w:line="539" w:lineRule="exact"/>
        <w:ind w:right="559"/>
      </w:pPr>
      <w:r>
        <w:rPr>
          <w:spacing w:val="-1"/>
        </w:rPr>
        <w:t>安全文明施工监理细则</w:t>
      </w:r>
    </w:p>
    <w:p>
      <w:pPr>
        <w:pStyle w:val="BodyText"/>
        <w:spacing w:before="11"/>
        <w:rPr>
          <w:rFonts w:ascii="Microsoft JhengHei"/>
          <w:b/>
          <w:sz w:val="26"/>
        </w:rPr>
      </w:pPr>
    </w:p>
    <w:p>
      <w:pPr>
        <w:spacing w:before="0" w:line="511" w:lineRule="exact"/>
        <w:ind w:left="1120" w:right="0" w:firstLine="0"/>
        <w:jc w:val="left"/>
        <w:rPr>
          <w:rFonts w:ascii="Microsoft JhengHei" w:eastAsia="Microsoft JhengHei"/>
          <w:b/>
          <w:sz w:val="24"/>
        </w:rPr>
      </w:pPr>
      <w:r>
        <w:rPr>
          <w:rFonts w:ascii="Microsoft JhengHei" w:eastAsia="Microsoft JhengHei"/>
          <w:b/>
          <w:sz w:val="30"/>
        </w:rPr>
        <w:t>一</w:t>
      </w:r>
      <w:r>
        <w:rPr>
          <w:rFonts w:ascii="Microsoft JhengHei" w:eastAsia="Microsoft JhengHei"/>
          <w:b/>
          <w:spacing w:val="-2"/>
          <w:sz w:val="24"/>
        </w:rPr>
        <w:t>、安全监理的任务</w:t>
      </w:r>
    </w:p>
    <w:p>
      <w:pPr>
        <w:pStyle w:val="BodyText"/>
        <w:spacing w:before="5"/>
        <w:rPr>
          <w:rFonts w:ascii="Microsoft JhengHei"/>
          <w:b/>
          <w:sz w:val="21"/>
        </w:rPr>
      </w:pPr>
    </w:p>
    <w:p>
      <w:pPr>
        <w:pStyle w:val="BodyText"/>
        <w:spacing w:line="364" w:lineRule="auto"/>
        <w:ind w:left="1120" w:right="1717"/>
      </w:pPr>
      <w:r>
        <w:rPr>
          <w:spacing w:val="32"/>
        </w:rPr>
        <w:t>安全监理的任务主要是贯彻落实国家安全生产方针政策，督促施工单</w:t>
      </w:r>
      <w:r>
        <w:rPr>
          <w:spacing w:val="29"/>
        </w:rPr>
        <w:t>位按照建筑施工安全生产法规和标准组织施工， 消除施工中的冒险</w:t>
      </w:r>
      <w:r>
        <w:rPr>
          <w:spacing w:val="25"/>
        </w:rPr>
        <w:t>性、盲目性和随意性，落实各项安全技术措施，有效的杜绝各类不安</w:t>
      </w:r>
      <w:r>
        <w:rPr>
          <w:spacing w:val="19"/>
        </w:rPr>
        <w:t>全隐患， 杜绝、控制和减少各类伤亡事故， 实现安全生产。</w:t>
      </w:r>
    </w:p>
    <w:p>
      <w:pPr>
        <w:pStyle w:val="BodyText"/>
        <w:spacing w:before="2"/>
        <w:ind w:left="1120"/>
      </w:pPr>
      <w:r>
        <w:rPr>
          <w:spacing w:val="35"/>
        </w:rPr>
        <w:t>安全监理的具体工作主要是：</w:t>
      </w:r>
    </w:p>
    <w:p>
      <w:pPr>
        <w:pStyle w:val="ListParagraph"/>
        <w:numPr>
          <w:ilvl w:val="0"/>
          <w:numId w:val="16"/>
        </w:numPr>
        <w:tabs>
          <w:tab w:val="left" w:pos="1401"/>
        </w:tabs>
        <w:spacing w:before="161" w:after="0" w:line="364" w:lineRule="auto"/>
        <w:ind w:left="1120" w:right="1744" w:firstLine="0"/>
        <w:jc w:val="left"/>
        <w:rPr>
          <w:sz w:val="24"/>
        </w:rPr>
      </w:pPr>
      <w:r>
        <w:rPr>
          <w:spacing w:val="11"/>
          <w:sz w:val="24"/>
        </w:rPr>
        <w:t>.贯彻执行“ 安全第一， 预防为主” 的方针， 遵守国家现行的安全</w:t>
      </w:r>
      <w:r>
        <w:rPr>
          <w:spacing w:val="35"/>
          <w:sz w:val="24"/>
        </w:rPr>
        <w:t>生产的法律、法规及建设行政主管部门的安全生产的规章和标准 ；</w:t>
      </w:r>
    </w:p>
    <w:p>
      <w:pPr>
        <w:pStyle w:val="ListParagraph"/>
        <w:numPr>
          <w:ilvl w:val="0"/>
          <w:numId w:val="16"/>
        </w:numPr>
        <w:tabs>
          <w:tab w:val="left" w:pos="1401"/>
        </w:tabs>
        <w:spacing w:before="1" w:after="0" w:line="364" w:lineRule="auto"/>
        <w:ind w:left="1120" w:right="1765" w:firstLine="0"/>
        <w:jc w:val="left"/>
        <w:rPr>
          <w:sz w:val="24"/>
        </w:rPr>
      </w:pPr>
      <w:r>
        <w:rPr>
          <w:spacing w:val="26"/>
          <w:sz w:val="24"/>
        </w:rPr>
        <w:t>.督促施工单位落实安全生产的组织保证体系， 建立健全安全生产</w:t>
      </w:r>
      <w:r>
        <w:rPr>
          <w:spacing w:val="27"/>
          <w:sz w:val="24"/>
        </w:rPr>
        <w:t>责任制；</w:t>
      </w:r>
    </w:p>
    <w:p>
      <w:pPr>
        <w:pStyle w:val="BodyText"/>
        <w:spacing w:before="1" w:line="364" w:lineRule="auto"/>
        <w:ind w:left="1120" w:right="1723" w:firstLine="160"/>
      </w:pPr>
      <w:r>
        <w:rPr>
          <w:spacing w:val="9"/>
        </w:rPr>
        <w:t>3</w:t>
      </w:r>
      <w:r>
        <w:rPr>
          <w:spacing w:val="32"/>
        </w:rPr>
        <w:t>． 督促施工单位对工人进行安全生产教育及分部分项工程的安全</w:t>
      </w:r>
      <w:r>
        <w:rPr>
          <w:spacing w:val="28"/>
        </w:rPr>
        <w:t>技术交底；</w:t>
      </w:r>
    </w:p>
    <w:p>
      <w:pPr>
        <w:pStyle w:val="BodyText"/>
        <w:spacing w:before="1"/>
        <w:ind w:left="1120"/>
      </w:pPr>
      <w:r>
        <w:t>4</w:t>
      </w:r>
      <w:r>
        <w:rPr>
          <w:spacing w:val="32"/>
        </w:rPr>
        <w:t xml:space="preserve"> .审查施工方案及安全技术措施；</w:t>
      </w:r>
    </w:p>
    <w:p>
      <w:pPr>
        <w:pStyle w:val="ListParagraph"/>
        <w:numPr>
          <w:ilvl w:val="0"/>
          <w:numId w:val="15"/>
        </w:numPr>
        <w:tabs>
          <w:tab w:val="left" w:pos="1540"/>
        </w:tabs>
        <w:spacing w:before="161" w:after="0" w:line="364" w:lineRule="auto"/>
        <w:ind w:left="1120" w:right="1765" w:firstLine="0"/>
        <w:jc w:val="left"/>
        <w:rPr>
          <w:sz w:val="24"/>
        </w:rPr>
      </w:pPr>
      <w:r>
        <w:rPr>
          <w:spacing w:val="26"/>
          <w:sz w:val="24"/>
        </w:rPr>
        <w:t>检查并督促施工单位， 按照建筑施工安全技术标准和规范要求，</w:t>
      </w:r>
      <w:r>
        <w:rPr>
          <w:spacing w:val="36"/>
          <w:sz w:val="24"/>
        </w:rPr>
        <w:t>落实分部、分项工程或各工序关键部位的安全防护措施；</w:t>
      </w:r>
    </w:p>
    <w:p>
      <w:pPr>
        <w:pStyle w:val="ListParagraph"/>
        <w:numPr>
          <w:ilvl w:val="0"/>
          <w:numId w:val="15"/>
        </w:numPr>
        <w:tabs>
          <w:tab w:val="left" w:pos="1540"/>
        </w:tabs>
        <w:spacing w:before="1" w:after="0" w:line="364" w:lineRule="auto"/>
        <w:ind w:left="1120" w:right="1765" w:firstLine="0"/>
        <w:jc w:val="left"/>
        <w:rPr>
          <w:sz w:val="24"/>
        </w:rPr>
      </w:pPr>
      <w:r>
        <w:rPr>
          <w:spacing w:val="36"/>
          <w:sz w:val="24"/>
        </w:rPr>
        <w:t>检查施工现场的消防、冬季防寒、夏季防暑、文明施工、卫生防</w:t>
      </w:r>
      <w:r>
        <w:rPr>
          <w:spacing w:val="30"/>
          <w:sz w:val="24"/>
        </w:rPr>
        <w:t>疫等项工作；</w:t>
      </w:r>
    </w:p>
    <w:p>
      <w:pPr>
        <w:pStyle w:val="ListParagraph"/>
        <w:numPr>
          <w:ilvl w:val="0"/>
          <w:numId w:val="15"/>
        </w:numPr>
        <w:tabs>
          <w:tab w:val="left" w:pos="1540"/>
        </w:tabs>
        <w:spacing w:before="1" w:after="0" w:line="240" w:lineRule="auto"/>
        <w:ind w:left="1540" w:right="0" w:hanging="420"/>
        <w:jc w:val="left"/>
        <w:rPr>
          <w:sz w:val="24"/>
        </w:rPr>
      </w:pPr>
      <w:r>
        <w:rPr>
          <w:spacing w:val="19"/>
          <w:sz w:val="24"/>
        </w:rPr>
        <w:t>不定期的组织安全综合检查， 可按＜ 建筑施工安全检查评分标准</w:t>
      </w:r>
    </w:p>
    <w:p>
      <w:pPr>
        <w:pStyle w:val="BodyText"/>
        <w:spacing w:before="161"/>
        <w:ind w:left="1120"/>
      </w:pPr>
      <w:r>
        <w:rPr>
          <w:spacing w:val="17"/>
        </w:rPr>
        <w:t>＞ 进行评价， 提出处理意见并限期整改；</w:t>
      </w:r>
    </w:p>
    <w:p>
      <w:pPr>
        <w:pStyle w:val="ListParagraph"/>
        <w:numPr>
          <w:ilvl w:val="0"/>
          <w:numId w:val="15"/>
        </w:numPr>
        <w:tabs>
          <w:tab w:val="left" w:pos="1560"/>
        </w:tabs>
        <w:spacing w:before="160" w:after="0" w:line="364" w:lineRule="auto"/>
        <w:ind w:left="1120" w:right="1744" w:firstLine="0"/>
        <w:jc w:val="left"/>
        <w:rPr>
          <w:sz w:val="24"/>
        </w:rPr>
      </w:pPr>
      <w:r>
        <w:rPr>
          <w:spacing w:val="28"/>
          <w:sz w:val="24"/>
        </w:rPr>
        <w:t>发现违章冒险作业的要责令其停止作业， 发现隐患的要责令其停</w:t>
      </w:r>
      <w:r>
        <w:rPr>
          <w:spacing w:val="27"/>
          <w:sz w:val="24"/>
        </w:rPr>
        <w:t>工整改。</w:t>
      </w:r>
    </w:p>
    <w:p>
      <w:pPr>
        <w:spacing w:before="0" w:line="363" w:lineRule="exact"/>
        <w:ind w:left="1120" w:right="0" w:firstLine="0"/>
        <w:jc w:val="left"/>
        <w:rPr>
          <w:rFonts w:ascii="Microsoft JhengHei" w:eastAsia="Microsoft JhengHei"/>
          <w:b/>
          <w:sz w:val="24"/>
        </w:rPr>
      </w:pPr>
      <w:r>
        <w:rPr>
          <w:rFonts w:ascii="Microsoft JhengHei" w:eastAsia="Microsoft JhengHei"/>
          <w:b/>
          <w:color w:val="333333"/>
          <w:spacing w:val="34"/>
          <w:sz w:val="24"/>
        </w:rPr>
        <w:t>二、安全监理的依据</w:t>
      </w:r>
    </w:p>
    <w:p>
      <w:pPr>
        <w:pStyle w:val="BodyText"/>
        <w:spacing w:before="4"/>
        <w:rPr>
          <w:rFonts w:ascii="Microsoft JhengHei"/>
          <w:b/>
          <w:sz w:val="31"/>
        </w:rPr>
      </w:pPr>
    </w:p>
    <w:p>
      <w:pPr>
        <w:pStyle w:val="ListParagraph"/>
        <w:numPr>
          <w:ilvl w:val="0"/>
          <w:numId w:val="14"/>
        </w:numPr>
        <w:tabs>
          <w:tab w:val="left" w:pos="1540"/>
        </w:tabs>
        <w:spacing w:before="0" w:after="0" w:line="240" w:lineRule="auto"/>
        <w:ind w:left="1540" w:right="0" w:hanging="420"/>
        <w:jc w:val="left"/>
        <w:rPr>
          <w:sz w:val="24"/>
        </w:rPr>
      </w:pPr>
      <w:r>
        <w:rPr>
          <w:spacing w:val="37"/>
          <w:sz w:val="24"/>
        </w:rPr>
        <w:t>《中华人民共和国建筑法》、《中华人民共和国安全生产法》、</w:t>
      </w:r>
    </w:p>
    <w:p>
      <w:pPr>
        <w:pStyle w:val="BodyText"/>
        <w:spacing w:before="161" w:line="364" w:lineRule="auto"/>
        <w:ind w:left="1120" w:right="1717"/>
      </w:pPr>
      <w:r>
        <w:rPr>
          <w:spacing w:val="30"/>
        </w:rPr>
        <w:t>《建设工程安全生产管理条例》、《建筑施工企业安全生产管理机构</w:t>
      </w:r>
      <w:r>
        <w:rPr>
          <w:spacing w:val="31"/>
        </w:rPr>
        <w:t>设置及专职安全生产管理人员配备办法》、《危险性较大工程安全专</w:t>
      </w:r>
    </w:p>
    <w:p>
      <w:pPr>
        <w:spacing w:after="0" w:line="364" w:lineRule="auto"/>
        <w:sectPr>
          <w:headerReference w:type="default" r:id="rId4"/>
          <w:footerReference w:type="default" r:id="rId5"/>
          <w:type w:val="continuous"/>
          <w:pgSz w:w="11910" w:h="16840"/>
          <w:pgMar w:top="1420" w:right="120" w:bottom="1240" w:left="680" w:header="884" w:footer="1056"/>
          <w:pgNumType w:start="1"/>
          <w:cols w:space="708"/>
        </w:sectPr>
      </w:pPr>
    </w:p>
    <w:p>
      <w:pPr>
        <w:pStyle w:val="BodyText"/>
        <w:spacing w:before="102" w:line="364" w:lineRule="auto"/>
        <w:ind w:left="1120" w:right="1717"/>
      </w:pPr>
      <w:r>
        <w:rPr>
          <w:spacing w:val="31"/>
        </w:rPr>
        <w:t>项施工方案编制及专家论证审查办法》、《关于落实建设工程安全生</w:t>
      </w:r>
      <w:r>
        <w:rPr>
          <w:spacing w:val="34"/>
        </w:rPr>
        <w:t>产监理责任的若干意见》。</w:t>
      </w:r>
    </w:p>
    <w:p>
      <w:pPr>
        <w:pStyle w:val="ListParagraph"/>
        <w:numPr>
          <w:ilvl w:val="0"/>
          <w:numId w:val="14"/>
        </w:numPr>
        <w:tabs>
          <w:tab w:val="left" w:pos="1540"/>
        </w:tabs>
        <w:spacing w:before="1" w:after="0" w:line="364" w:lineRule="auto"/>
        <w:ind w:left="1120" w:right="1765" w:firstLine="0"/>
        <w:jc w:val="left"/>
        <w:rPr>
          <w:sz w:val="24"/>
        </w:rPr>
      </w:pPr>
      <w:r>
        <w:rPr>
          <w:spacing w:val="36"/>
          <w:sz w:val="24"/>
        </w:rPr>
        <w:t>建设工程标准规范、建设工程委托监理合同、建设工程施工承包</w:t>
      </w:r>
      <w:r>
        <w:rPr>
          <w:spacing w:val="35"/>
          <w:sz w:val="24"/>
        </w:rPr>
        <w:t>合同以及有关的施工安全协议文件。</w:t>
      </w:r>
    </w:p>
    <w:p>
      <w:pPr>
        <w:spacing w:before="0" w:line="363" w:lineRule="exact"/>
        <w:ind w:left="1120" w:right="0" w:firstLine="0"/>
        <w:jc w:val="left"/>
        <w:rPr>
          <w:rFonts w:ascii="Microsoft JhengHei" w:eastAsia="Microsoft JhengHei"/>
          <w:b/>
          <w:sz w:val="24"/>
        </w:rPr>
      </w:pPr>
      <w:r>
        <w:rPr>
          <w:rFonts w:ascii="Microsoft JhengHei" w:eastAsia="Microsoft JhengHei"/>
          <w:b/>
          <w:spacing w:val="34"/>
          <w:sz w:val="24"/>
        </w:rPr>
        <w:t>三、安全监理流程图</w:t>
      </w:r>
    </w:p>
    <w:p>
      <w:pPr>
        <w:spacing w:after="0" w:line="363" w:lineRule="exact"/>
        <w:jc w:val="left"/>
        <w:rPr>
          <w:rFonts w:ascii="Microsoft JhengHei" w:eastAsia="Microsoft JhengHei"/>
          <w:sz w:val="24"/>
        </w:rPr>
        <w:sectPr>
          <w:headerReference w:type="default" r:id="rId6"/>
          <w:footerReference w:type="default" r:id="rId7"/>
          <w:pgSz w:w="11910" w:h="16840"/>
          <w:pgMar w:top="1420" w:right="120" w:bottom="1240" w:left="680" w:header="884" w:footer="1056"/>
          <w:pgNumType w:start="2"/>
          <w:cols w:space="708"/>
        </w:sectPr>
      </w:pPr>
    </w:p>
    <w:p>
      <w:pPr>
        <w:pStyle w:val="BodyText"/>
        <w:spacing w:before="13"/>
        <w:rPr>
          <w:rFonts w:ascii="Microsoft JhengHei"/>
          <w:b/>
          <w:sz w:val="7"/>
        </w:rPr>
      </w:pPr>
    </w:p>
    <w:p>
      <w:pPr>
        <w:pStyle w:val="BodyText"/>
        <w:ind w:left="1135"/>
        <w:rPr>
          <w:rFonts w:ascii="Microsoft JhengHei"/>
          <w:sz w:val="20"/>
        </w:rPr>
      </w:pPr>
      <w:r>
        <w:rPr>
          <w:rFonts w:ascii="Microsoft JhengHei"/>
          <w:sz w:val="20"/>
        </w:rPr>
        <w:drawing>
          <wp:inline distT="0" distB="0" distL="0" distR="0">
            <wp:extent cx="6205336" cy="847734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6205336" cy="8477345"/>
                    </a:xfrm>
                    <a:prstGeom prst="rect">
                      <a:avLst/>
                    </a:prstGeom>
                  </pic:spPr>
                </pic:pic>
              </a:graphicData>
            </a:graphic>
          </wp:inline>
        </w:drawing>
      </w:r>
    </w:p>
    <w:p>
      <w:pPr>
        <w:spacing w:after="0"/>
        <w:rPr>
          <w:rFonts w:ascii="Microsoft JhengHei"/>
          <w:sz w:val="20"/>
        </w:rPr>
        <w:sectPr>
          <w:headerReference w:type="default" r:id="rId9"/>
          <w:footerReference w:type="default" r:id="rId10"/>
          <w:pgSz w:w="11910" w:h="16840"/>
          <w:pgMar w:top="1420" w:right="120" w:bottom="1240" w:left="680" w:header="884" w:footer="1056"/>
          <w:pgNumType w:start="3"/>
          <w:cols w:space="708"/>
        </w:sectPr>
      </w:pPr>
    </w:p>
    <w:p>
      <w:pPr>
        <w:spacing w:before="23"/>
        <w:ind w:left="1120" w:right="0" w:firstLine="0"/>
        <w:jc w:val="left"/>
        <w:rPr>
          <w:rFonts w:ascii="Microsoft JhengHei" w:eastAsia="Microsoft JhengHei"/>
          <w:b/>
          <w:sz w:val="24"/>
        </w:rPr>
      </w:pPr>
      <w:r>
        <w:rPr>
          <w:rFonts w:ascii="Microsoft JhengHei" w:eastAsia="Microsoft JhengHei"/>
          <w:b/>
          <w:spacing w:val="35"/>
          <w:sz w:val="24"/>
        </w:rPr>
        <w:t>四、安全监理工作内容</w:t>
      </w:r>
    </w:p>
    <w:p>
      <w:pPr>
        <w:pStyle w:val="BodyText"/>
        <w:spacing w:before="3"/>
        <w:rPr>
          <w:rFonts w:ascii="Microsoft JhengHei"/>
          <w:b/>
          <w:sz w:val="31"/>
        </w:rPr>
      </w:pPr>
    </w:p>
    <w:p>
      <w:pPr>
        <w:pStyle w:val="BodyText"/>
        <w:ind w:left="1120"/>
      </w:pPr>
      <w:r>
        <w:t>（</w:t>
      </w:r>
      <w:r>
        <w:rPr>
          <w:spacing w:val="-21"/>
        </w:rPr>
        <w:t xml:space="preserve"> 一</w:t>
      </w:r>
      <w:r>
        <w:t>）</w:t>
      </w:r>
      <w:r>
        <w:rPr>
          <w:spacing w:val="25"/>
        </w:rPr>
        <w:t xml:space="preserve"> 施工准备阶段安全监理的主要工作内容</w:t>
      </w:r>
    </w:p>
    <w:p>
      <w:pPr>
        <w:pStyle w:val="BodyText"/>
        <w:spacing w:before="161" w:line="364" w:lineRule="auto"/>
        <w:ind w:left="1120" w:right="1465"/>
      </w:pPr>
      <w:r>
        <w:rPr>
          <w:color w:val="333333"/>
          <w:spacing w:val="19"/>
        </w:rPr>
        <w:t>1</w:t>
      </w:r>
      <w:r>
        <w:rPr>
          <w:color w:val="333333"/>
          <w:spacing w:val="30"/>
        </w:rPr>
        <w:t>、监理单位应根据《建设工程安全生产管理条例》的规定， 按照工</w:t>
      </w:r>
      <w:r>
        <w:rPr>
          <w:color w:val="333333"/>
          <w:spacing w:val="30"/>
        </w:rPr>
        <w:t xml:space="preserve"> </w:t>
      </w:r>
      <w:r>
        <w:rPr>
          <w:color w:val="333333"/>
          <w:spacing w:val="29"/>
        </w:rPr>
        <w:t>程建设强制性标准、《建设工程监理规范》的要求，编制包括安全监</w:t>
      </w:r>
      <w:r>
        <w:rPr>
          <w:color w:val="333333"/>
          <w:spacing w:val="30"/>
        </w:rPr>
        <w:t>理内容的项目监理规划，明确安全监理的范围、内容、工作程序和制</w:t>
      </w:r>
      <w:r>
        <w:rPr>
          <w:color w:val="333333"/>
          <w:spacing w:val="22"/>
        </w:rPr>
        <w:t xml:space="preserve">度措施，设立专职安全监理人员及兼职安全监理人员，明确职责分工。 </w:t>
      </w:r>
      <w:r>
        <w:rPr>
          <w:color w:val="333333"/>
          <w:spacing w:val="19"/>
        </w:rPr>
        <w:t>2</w:t>
      </w:r>
      <w:r>
        <w:rPr>
          <w:color w:val="333333"/>
          <w:spacing w:val="37"/>
        </w:rPr>
        <w:t xml:space="preserve">、对中型及以上项目和《建设工程安全生产管理条例》第二十六条 </w:t>
      </w:r>
      <w:r>
        <w:rPr>
          <w:color w:val="333333"/>
          <w:spacing w:val="30"/>
        </w:rPr>
        <w:t>规定的危险性较大的分部分项工程，监理单位应当编制监理实施细则。</w:t>
      </w:r>
      <w:r>
        <w:rPr>
          <w:color w:val="333333"/>
          <w:spacing w:val="32"/>
        </w:rPr>
        <w:t>实施细则应当明确安全监理的方法、措施和控制要点，以及对施工单</w:t>
      </w:r>
      <w:r>
        <w:rPr>
          <w:color w:val="333333"/>
          <w:spacing w:val="36"/>
        </w:rPr>
        <w:t>位安全技术措施的检查方案。</w:t>
      </w:r>
    </w:p>
    <w:p>
      <w:pPr>
        <w:pStyle w:val="BodyText"/>
        <w:spacing w:before="5" w:line="364" w:lineRule="auto"/>
        <w:ind w:left="1120" w:right="1723" w:firstLine="319"/>
      </w:pPr>
      <w:r>
        <w:rPr>
          <w:color w:val="333333"/>
          <w:spacing w:val="20"/>
        </w:rPr>
        <w:t>3</w:t>
      </w:r>
      <w:r>
        <w:rPr>
          <w:color w:val="333333"/>
          <w:spacing w:val="36"/>
        </w:rPr>
        <w:t>、审查施工单位编制的施工组织设计中的安全技术措施和危险性较大的分部分项工程安全专项施工方案是否符合工程建设强制性标</w:t>
      </w:r>
      <w:r>
        <w:rPr>
          <w:color w:val="333333"/>
          <w:spacing w:val="35"/>
        </w:rPr>
        <w:t>准要求。审查的主要内容应当包括：</w:t>
      </w:r>
    </w:p>
    <w:p>
      <w:pPr>
        <w:pStyle w:val="BodyText"/>
        <w:spacing w:before="2" w:line="364" w:lineRule="auto"/>
        <w:ind w:left="1120" w:right="1783" w:firstLine="540"/>
      </w:pPr>
      <w:r>
        <w:rPr>
          <w:color w:val="333333"/>
        </w:rPr>
        <w:t>（</w:t>
      </w:r>
      <w:r>
        <w:rPr>
          <w:color w:val="333333"/>
          <w:spacing w:val="-80"/>
        </w:rPr>
        <w:t xml:space="preserve"> </w:t>
      </w:r>
      <w:r>
        <w:rPr>
          <w:color w:val="333333"/>
          <w:spacing w:val="9"/>
        </w:rPr>
        <w:t>1）</w:t>
      </w:r>
      <w:r>
        <w:rPr>
          <w:color w:val="333333"/>
          <w:spacing w:val="26"/>
        </w:rPr>
        <w:t xml:space="preserve"> 施工单位编制的地下管线保护措施方案是否符合强制性标</w:t>
      </w:r>
      <w:r>
        <w:rPr>
          <w:color w:val="333333"/>
          <w:spacing w:val="27"/>
        </w:rPr>
        <w:t>准要求；</w:t>
      </w:r>
    </w:p>
    <w:p>
      <w:pPr>
        <w:pStyle w:val="BodyText"/>
        <w:spacing w:before="1" w:line="364" w:lineRule="auto"/>
        <w:ind w:left="1120" w:right="1597" w:firstLine="540"/>
      </w:pPr>
      <w:r>
        <w:rPr>
          <w:color w:val="333333"/>
        </w:rPr>
        <w:t>（</w:t>
      </w:r>
      <w:r>
        <w:rPr>
          <w:color w:val="333333"/>
          <w:spacing w:val="-80"/>
        </w:rPr>
        <w:t xml:space="preserve"> </w:t>
      </w:r>
      <w:r>
        <w:rPr>
          <w:color w:val="333333"/>
          <w:spacing w:val="17"/>
        </w:rPr>
        <w:t>2）</w:t>
      </w:r>
      <w:r>
        <w:rPr>
          <w:color w:val="333333"/>
          <w:spacing w:val="31"/>
        </w:rPr>
        <w:t>基坑支护与降水、土方开挖与边坡防护、模板、起重吊装、</w:t>
      </w:r>
      <w:r>
        <w:rPr>
          <w:color w:val="333333"/>
          <w:spacing w:val="28"/>
        </w:rPr>
        <w:t>脚手架、拆除、爆破等分部分项工程的专项施工方案是否符合强制性标准要求；</w:t>
      </w:r>
    </w:p>
    <w:p>
      <w:pPr>
        <w:pStyle w:val="BodyText"/>
        <w:spacing w:before="2" w:line="364" w:lineRule="auto"/>
        <w:ind w:left="1120" w:right="1783" w:firstLine="540"/>
      </w:pPr>
      <w:r>
        <w:rPr>
          <w:color w:val="333333"/>
        </w:rPr>
        <w:t>（</w:t>
      </w:r>
      <w:r>
        <w:rPr>
          <w:color w:val="333333"/>
          <w:spacing w:val="-80"/>
        </w:rPr>
        <w:t xml:space="preserve"> </w:t>
      </w:r>
      <w:r>
        <w:rPr>
          <w:color w:val="333333"/>
          <w:spacing w:val="9"/>
        </w:rPr>
        <w:t>3）</w:t>
      </w:r>
      <w:r>
        <w:rPr>
          <w:color w:val="333333"/>
          <w:spacing w:val="26"/>
        </w:rPr>
        <w:t xml:space="preserve"> 施工现场临时用电施工组织设计或者安全用电技术措施和</w:t>
      </w:r>
      <w:r>
        <w:rPr>
          <w:color w:val="333333"/>
          <w:spacing w:val="35"/>
        </w:rPr>
        <w:t>电器防火措施是否符合强制性标准要求；</w:t>
      </w:r>
    </w:p>
    <w:p>
      <w:pPr>
        <w:pStyle w:val="BodyText"/>
        <w:spacing w:before="1" w:line="364" w:lineRule="auto"/>
        <w:ind w:left="1120" w:right="1783" w:firstLine="540"/>
      </w:pPr>
      <w:r>
        <w:rPr>
          <w:color w:val="333333"/>
        </w:rPr>
        <w:t>（</w:t>
      </w:r>
      <w:r>
        <w:rPr>
          <w:color w:val="333333"/>
          <w:spacing w:val="-80"/>
        </w:rPr>
        <w:t xml:space="preserve"> </w:t>
      </w:r>
      <w:r>
        <w:rPr>
          <w:color w:val="333333"/>
          <w:spacing w:val="9"/>
        </w:rPr>
        <w:t>4）</w:t>
      </w:r>
      <w:r>
        <w:rPr>
          <w:color w:val="333333"/>
          <w:spacing w:val="26"/>
        </w:rPr>
        <w:t xml:space="preserve"> 冬季、雨季等季节性施工方案的制定是否符合强制性标准</w:t>
      </w:r>
      <w:r>
        <w:rPr>
          <w:color w:val="333333"/>
          <w:spacing w:val="22"/>
        </w:rPr>
        <w:t>要求；</w:t>
      </w:r>
    </w:p>
    <w:p>
      <w:pPr>
        <w:pStyle w:val="BodyText"/>
        <w:spacing w:before="1" w:line="364" w:lineRule="auto"/>
        <w:ind w:left="1120" w:right="1597" w:firstLine="540"/>
      </w:pPr>
      <w:r>
        <w:rPr>
          <w:color w:val="333333"/>
        </w:rPr>
        <w:t>（</w:t>
      </w:r>
      <w:r>
        <w:rPr>
          <w:color w:val="333333"/>
          <w:spacing w:val="-80"/>
        </w:rPr>
        <w:t xml:space="preserve"> </w:t>
      </w:r>
      <w:r>
        <w:rPr>
          <w:color w:val="333333"/>
          <w:spacing w:val="13"/>
        </w:rPr>
        <w:t>5）</w:t>
      </w:r>
      <w:r>
        <w:rPr>
          <w:color w:val="333333"/>
          <w:spacing w:val="33"/>
        </w:rPr>
        <w:t>施工总平面布置图是否符合安全生产的要求，办公、宿舍、</w:t>
      </w:r>
      <w:r>
        <w:rPr>
          <w:color w:val="333333"/>
          <w:spacing w:val="29"/>
        </w:rPr>
        <w:t>食堂、道路等临时设施设置以及排水、防火措施是否符合强制性标准</w:t>
      </w:r>
      <w:r>
        <w:rPr>
          <w:color w:val="333333"/>
          <w:spacing w:val="22"/>
        </w:rPr>
        <w:t>要求。</w:t>
      </w:r>
    </w:p>
    <w:p>
      <w:pPr>
        <w:pStyle w:val="BodyText"/>
        <w:spacing w:before="2" w:line="364" w:lineRule="auto"/>
        <w:ind w:left="1120" w:right="1717" w:firstLine="319"/>
        <w:jc w:val="both"/>
      </w:pPr>
      <w:r>
        <w:rPr>
          <w:color w:val="333333"/>
          <w:spacing w:val="20"/>
        </w:rPr>
        <w:t>4</w:t>
      </w:r>
      <w:r>
        <w:rPr>
          <w:color w:val="333333"/>
          <w:spacing w:val="36"/>
        </w:rPr>
        <w:t>、检查施工单位在工程项目上的安全生产规章制度和安全管理机</w:t>
      </w:r>
      <w:r>
        <w:rPr>
          <w:color w:val="333333"/>
          <w:spacing w:val="29"/>
        </w:rPr>
        <w:t>构的建立、健全及专职安全生产管理人员配备情况，督促施工单位检</w:t>
      </w:r>
      <w:r>
        <w:rPr>
          <w:color w:val="333333"/>
          <w:spacing w:val="36"/>
        </w:rPr>
        <w:t>查各分包单位的安全生产规章制度的建立情况。</w:t>
      </w:r>
    </w:p>
    <w:p>
      <w:pPr>
        <w:spacing w:after="0" w:line="364" w:lineRule="auto"/>
        <w:jc w:val="both"/>
        <w:sectPr>
          <w:headerReference w:type="default" r:id="rId11"/>
          <w:footerReference w:type="default" r:id="rId12"/>
          <w:pgSz w:w="11910" w:h="16840"/>
          <w:pgMar w:top="1420" w:right="120" w:bottom="1240" w:left="680" w:header="884" w:footer="1056"/>
          <w:pgNumType w:start="4"/>
          <w:cols w:space="708"/>
        </w:sectPr>
      </w:pPr>
    </w:p>
    <w:p>
      <w:pPr>
        <w:pStyle w:val="BodyText"/>
        <w:spacing w:before="102"/>
        <w:ind w:left="1379"/>
      </w:pPr>
      <w:r>
        <w:rPr>
          <w:color w:val="333333"/>
          <w:spacing w:val="20"/>
        </w:rPr>
        <w:t>5</w:t>
      </w:r>
      <w:r>
        <w:rPr>
          <w:color w:val="333333"/>
          <w:spacing w:val="36"/>
        </w:rPr>
        <w:t>、审查施工单位资质和安全生产许可证是否合法有效。</w:t>
      </w:r>
    </w:p>
    <w:p>
      <w:pPr>
        <w:pStyle w:val="BodyText"/>
        <w:spacing w:before="160" w:line="364" w:lineRule="auto"/>
        <w:ind w:left="1120" w:right="1783" w:firstLine="259"/>
      </w:pPr>
      <w:r>
        <w:rPr>
          <w:color w:val="333333"/>
          <w:spacing w:val="20"/>
        </w:rPr>
        <w:t>6</w:t>
      </w:r>
      <w:r>
        <w:rPr>
          <w:color w:val="333333"/>
          <w:spacing w:val="30"/>
        </w:rPr>
        <w:t>、审查项目经理和专职安全生产管理人员是否具备合法资格， 是</w:t>
      </w:r>
      <w:r>
        <w:rPr>
          <w:color w:val="333333"/>
          <w:spacing w:val="34"/>
        </w:rPr>
        <w:t>否与投标文件相一致。</w:t>
      </w:r>
    </w:p>
    <w:p>
      <w:pPr>
        <w:pStyle w:val="BodyText"/>
        <w:spacing w:before="2"/>
        <w:ind w:left="1379"/>
      </w:pPr>
      <w:r>
        <w:rPr>
          <w:color w:val="333333"/>
          <w:spacing w:val="20"/>
        </w:rPr>
        <w:t>7</w:t>
      </w:r>
      <w:r>
        <w:rPr>
          <w:color w:val="333333"/>
          <w:spacing w:val="37"/>
        </w:rPr>
        <w:t>、审核特种作业人员的特种作业操作资格证书是否合法有效。</w:t>
      </w:r>
    </w:p>
    <w:p>
      <w:pPr>
        <w:pStyle w:val="BodyText"/>
        <w:spacing w:before="160"/>
        <w:ind w:left="1379"/>
      </w:pPr>
      <w:r>
        <w:rPr>
          <w:color w:val="333333"/>
          <w:spacing w:val="20"/>
        </w:rPr>
        <w:t>8</w:t>
      </w:r>
      <w:r>
        <w:rPr>
          <w:color w:val="333333"/>
          <w:spacing w:val="37"/>
        </w:rPr>
        <w:t>、审核施工单位应急救援预案和安全防护措施费用使用计划。</w:t>
      </w:r>
    </w:p>
    <w:p>
      <w:pPr>
        <w:pStyle w:val="BodyText"/>
        <w:spacing w:before="161"/>
        <w:ind w:left="1120"/>
      </w:pPr>
      <w:r>
        <w:rPr>
          <w:color w:val="333333"/>
        </w:rPr>
        <w:t>（</w:t>
      </w:r>
      <w:r>
        <w:rPr>
          <w:color w:val="333333"/>
          <w:spacing w:val="-21"/>
        </w:rPr>
        <w:t xml:space="preserve"> 二</w:t>
      </w:r>
      <w:r>
        <w:rPr>
          <w:color w:val="333333"/>
        </w:rPr>
        <w:t>）</w:t>
      </w:r>
      <w:r>
        <w:rPr>
          <w:color w:val="333333"/>
          <w:spacing w:val="25"/>
        </w:rPr>
        <w:t xml:space="preserve"> 施工阶段安全监理的主要工作内容</w:t>
      </w:r>
    </w:p>
    <w:p>
      <w:pPr>
        <w:pStyle w:val="BodyText"/>
        <w:spacing w:before="160" w:line="364" w:lineRule="auto"/>
        <w:ind w:left="1120" w:right="1783" w:firstLine="259"/>
      </w:pPr>
      <w:r>
        <w:rPr>
          <w:color w:val="333333"/>
          <w:spacing w:val="20"/>
        </w:rPr>
        <w:t>1</w:t>
      </w:r>
      <w:r>
        <w:rPr>
          <w:color w:val="333333"/>
          <w:spacing w:val="36"/>
        </w:rPr>
        <w:t>、监督施工单位按照施工组织设计中的安全技术措施和专项施工</w:t>
      </w:r>
      <w:r>
        <w:rPr>
          <w:color w:val="333333"/>
          <w:spacing w:val="24"/>
        </w:rPr>
        <w:t>方案组织施工， 及时制止违规施工作业。</w:t>
      </w:r>
    </w:p>
    <w:p>
      <w:pPr>
        <w:pStyle w:val="BodyText"/>
        <w:spacing w:before="1"/>
        <w:ind w:left="1379"/>
      </w:pPr>
      <w:r>
        <w:rPr>
          <w:color w:val="333333"/>
          <w:spacing w:val="20"/>
        </w:rPr>
        <w:t>2</w:t>
      </w:r>
      <w:r>
        <w:rPr>
          <w:color w:val="333333"/>
          <w:spacing w:val="37"/>
        </w:rPr>
        <w:t>、定期巡视检查施工过程中的危险性较大工程作业情况。</w:t>
      </w:r>
    </w:p>
    <w:p>
      <w:pPr>
        <w:pStyle w:val="BodyText"/>
        <w:spacing w:before="161" w:line="364" w:lineRule="auto"/>
        <w:ind w:left="1120" w:right="1783" w:firstLine="259"/>
      </w:pPr>
      <w:r>
        <w:rPr>
          <w:color w:val="333333"/>
          <w:spacing w:val="20"/>
        </w:rPr>
        <w:t>3</w:t>
      </w:r>
      <w:r>
        <w:rPr>
          <w:color w:val="333333"/>
          <w:spacing w:val="36"/>
        </w:rPr>
        <w:t>、核查施工现场施工起重机械、整体提升脚手架、模板等自升式</w:t>
      </w:r>
      <w:r>
        <w:rPr>
          <w:color w:val="333333"/>
          <w:spacing w:val="35"/>
        </w:rPr>
        <w:t>架设设施和安全设施的验收手续。</w:t>
      </w:r>
    </w:p>
    <w:p>
      <w:pPr>
        <w:pStyle w:val="BodyText"/>
        <w:spacing w:before="1" w:line="364" w:lineRule="auto"/>
        <w:ind w:left="1120" w:right="1783" w:firstLine="259"/>
      </w:pPr>
      <w:r>
        <w:rPr>
          <w:color w:val="333333"/>
          <w:spacing w:val="20"/>
        </w:rPr>
        <w:t>4</w:t>
      </w:r>
      <w:r>
        <w:rPr>
          <w:color w:val="333333"/>
          <w:spacing w:val="36"/>
        </w:rPr>
        <w:t>、检查施工现场各种安全标志和安全防护措施是否符合强制性标</w:t>
      </w:r>
      <w:r>
        <w:rPr>
          <w:color w:val="333333"/>
          <w:spacing w:val="24"/>
        </w:rPr>
        <w:t>准要求， 并检查安全生产费用的使用情况。</w:t>
      </w:r>
    </w:p>
    <w:p>
      <w:pPr>
        <w:pStyle w:val="BodyText"/>
        <w:spacing w:before="1"/>
        <w:ind w:left="1360"/>
      </w:pPr>
      <w:r>
        <w:rPr>
          <w:color w:val="333333"/>
          <w:spacing w:val="19"/>
        </w:rPr>
        <w:t>5</w:t>
      </w:r>
      <w:r>
        <w:rPr>
          <w:color w:val="333333"/>
          <w:spacing w:val="26"/>
        </w:rPr>
        <w:t>、核查分包单位安全生产资格， 特种作业人员持证上岗情况。</w:t>
      </w:r>
    </w:p>
    <w:p>
      <w:pPr>
        <w:pStyle w:val="BodyText"/>
        <w:spacing w:before="161" w:line="364" w:lineRule="auto"/>
        <w:ind w:left="1120" w:right="1783" w:firstLine="259"/>
      </w:pPr>
      <w:r>
        <w:rPr>
          <w:color w:val="333333"/>
          <w:spacing w:val="20"/>
        </w:rPr>
        <w:t>6</w:t>
      </w:r>
      <w:r>
        <w:rPr>
          <w:color w:val="333333"/>
          <w:spacing w:val="28"/>
        </w:rPr>
        <w:t>、督促施工单位进行安全自查工作， 并对施工单位自查情况进行</w:t>
      </w:r>
      <w:r>
        <w:rPr>
          <w:color w:val="333333"/>
          <w:spacing w:val="24"/>
        </w:rPr>
        <w:t>抽查， 参加建设单位组织的安全生产专项检查。</w:t>
      </w:r>
    </w:p>
    <w:p>
      <w:pPr>
        <w:pStyle w:val="BodyText"/>
        <w:spacing w:before="5"/>
        <w:rPr>
          <w:sz w:val="30"/>
        </w:rPr>
      </w:pPr>
    </w:p>
    <w:p>
      <w:pPr>
        <w:spacing w:before="0"/>
        <w:ind w:left="1120" w:right="0" w:firstLine="0"/>
        <w:jc w:val="left"/>
        <w:rPr>
          <w:rFonts w:ascii="Microsoft JhengHei" w:eastAsia="Microsoft JhengHei"/>
          <w:b/>
          <w:sz w:val="24"/>
        </w:rPr>
      </w:pPr>
      <w:r>
        <w:rPr>
          <w:rFonts w:ascii="Microsoft JhengHei" w:eastAsia="Microsoft JhengHei"/>
          <w:b/>
          <w:color w:val="333333"/>
          <w:spacing w:val="33"/>
          <w:sz w:val="24"/>
        </w:rPr>
        <w:t>五、安全监理手段</w:t>
      </w:r>
    </w:p>
    <w:p>
      <w:pPr>
        <w:pStyle w:val="BodyText"/>
        <w:spacing w:before="4"/>
        <w:rPr>
          <w:rFonts w:ascii="Microsoft JhengHei"/>
          <w:b/>
          <w:sz w:val="31"/>
        </w:rPr>
      </w:pPr>
    </w:p>
    <w:p>
      <w:pPr>
        <w:pStyle w:val="BodyText"/>
        <w:spacing w:line="364" w:lineRule="auto"/>
        <w:ind w:left="1120" w:right="1717" w:firstLine="240"/>
        <w:jc w:val="both"/>
      </w:pPr>
      <w:r>
        <w:rPr>
          <w:color w:val="333333"/>
          <w:spacing w:val="26"/>
        </w:rPr>
        <w:t>按建设部出的《关于安全监理责任问题的若干意见》中的精神， 工</w:t>
      </w:r>
      <w:r>
        <w:rPr>
          <w:color w:val="333333"/>
          <w:spacing w:val="25"/>
        </w:rPr>
        <w:t>程若存在安全问题或安全隐患， 监理就要按以下三步进行：第一、发</w:t>
      </w:r>
      <w:r>
        <w:rPr>
          <w:color w:val="333333"/>
          <w:spacing w:val="31"/>
        </w:rPr>
        <w:t>安全监理通知单要求施工单位限期整改；第二、如施工单位不整改或</w:t>
      </w:r>
      <w:r>
        <w:rPr>
          <w:color w:val="333333"/>
          <w:spacing w:val="25"/>
        </w:rPr>
        <w:t>在限定时间内未整改完成， 征求建设单位意见后下发工程停工令；第</w:t>
      </w:r>
      <w:r>
        <w:rPr>
          <w:color w:val="333333"/>
          <w:spacing w:val="26"/>
        </w:rPr>
        <w:t>三、如施工单位仍拒不整改的，电话汇报当地安监站，留下电话记录</w:t>
      </w:r>
      <w:r>
        <w:rPr>
          <w:color w:val="333333"/>
          <w:spacing w:val="28"/>
        </w:rPr>
        <w:t xml:space="preserve">并将书面材料于 </w:t>
      </w:r>
      <w:r>
        <w:rPr>
          <w:color w:val="333333"/>
          <w:spacing w:val="10"/>
        </w:rPr>
        <w:t>24</w:t>
      </w:r>
      <w:r>
        <w:rPr>
          <w:color w:val="333333"/>
          <w:spacing w:val="32"/>
        </w:rPr>
        <w:t xml:space="preserve"> 小时内上报安监站。分阶段具体实施如下：</w:t>
      </w:r>
    </w:p>
    <w:p>
      <w:pPr>
        <w:spacing w:before="0" w:line="366" w:lineRule="exact"/>
        <w:ind w:left="1120" w:right="0" w:firstLine="0"/>
        <w:jc w:val="left"/>
        <w:rPr>
          <w:rFonts w:ascii="Microsoft JhengHei" w:eastAsia="Microsoft JhengHei"/>
          <w:b/>
          <w:sz w:val="24"/>
        </w:rPr>
      </w:pPr>
      <w:r>
        <w:rPr>
          <w:rFonts w:ascii="Microsoft JhengHei" w:eastAsia="Microsoft JhengHei"/>
          <w:b/>
          <w:color w:val="333333"/>
          <w:spacing w:val="31"/>
          <w:sz w:val="24"/>
        </w:rPr>
        <w:t>施工准备阶段</w:t>
      </w:r>
    </w:p>
    <w:p>
      <w:pPr>
        <w:pStyle w:val="BodyText"/>
        <w:spacing w:before="106" w:line="364" w:lineRule="auto"/>
        <w:ind w:left="1120" w:right="1765"/>
      </w:pPr>
      <w:r>
        <w:rPr>
          <w:color w:val="333333"/>
          <w:spacing w:val="19"/>
        </w:rPr>
        <w:t>1</w:t>
      </w:r>
      <w:r>
        <w:rPr>
          <w:color w:val="333333"/>
          <w:spacing w:val="36"/>
        </w:rPr>
        <w:t>、督促检查施工承包单位建立健全施工现场安全生产保证体系、落</w:t>
      </w:r>
      <w:r>
        <w:rPr>
          <w:color w:val="333333"/>
          <w:spacing w:val="25"/>
        </w:rPr>
        <w:t>实安全生产责任制等情况， 体制不健全不签发开工报告。</w:t>
      </w:r>
    </w:p>
    <w:p>
      <w:pPr>
        <w:pStyle w:val="BodyText"/>
        <w:spacing w:before="1"/>
        <w:ind w:left="1120"/>
      </w:pPr>
      <w:r>
        <w:rPr>
          <w:color w:val="333333"/>
          <w:spacing w:val="19"/>
        </w:rPr>
        <w:t>2</w:t>
      </w:r>
      <w:r>
        <w:rPr>
          <w:color w:val="333333"/>
          <w:spacing w:val="37"/>
        </w:rPr>
        <w:t>、审核施工单位编制的施工组织设计中的安全技术措施和危险性较</w:t>
      </w:r>
    </w:p>
    <w:p>
      <w:pPr>
        <w:spacing w:after="0"/>
        <w:sectPr>
          <w:headerReference w:type="default" r:id="rId13"/>
          <w:footerReference w:type="default" r:id="rId14"/>
          <w:pgSz w:w="11910" w:h="16840"/>
          <w:pgMar w:top="1420" w:right="120" w:bottom="1240" w:left="680" w:header="884" w:footer="1056"/>
          <w:pgNumType w:start="5"/>
          <w:cols w:space="708"/>
        </w:sectPr>
      </w:pPr>
    </w:p>
    <w:p>
      <w:pPr>
        <w:pStyle w:val="BodyText"/>
        <w:spacing w:before="102" w:line="364" w:lineRule="auto"/>
        <w:ind w:left="1120" w:right="1717"/>
      </w:pPr>
      <w:r>
        <w:rPr>
          <w:color w:val="333333"/>
          <w:spacing w:val="36"/>
        </w:rPr>
        <w:t>大的分部分项工程安全专项施工方案及应急抢险方案是否符合安全</w:t>
      </w:r>
      <w:r>
        <w:rPr>
          <w:color w:val="333333"/>
          <w:spacing w:val="28"/>
        </w:rPr>
        <w:t>生产强制性标准要求，并签署意见，无方案、无措施或措施不符和要</w:t>
      </w:r>
      <w:r>
        <w:rPr>
          <w:color w:val="333333"/>
          <w:spacing w:val="35"/>
        </w:rPr>
        <w:t>求不同意开工。审查的主要内容应当包括：</w:t>
      </w:r>
    </w:p>
    <w:p>
      <w:pPr>
        <w:pStyle w:val="BodyText"/>
        <w:spacing w:before="2" w:line="364" w:lineRule="auto"/>
        <w:ind w:left="1120" w:right="1843" w:firstLine="319"/>
      </w:pPr>
      <w:r>
        <w:rPr>
          <w:color w:val="333333"/>
        </w:rPr>
        <w:t>（</w:t>
      </w:r>
      <w:r>
        <w:rPr>
          <w:color w:val="333333"/>
          <w:spacing w:val="-80"/>
        </w:rPr>
        <w:t xml:space="preserve"> </w:t>
      </w:r>
      <w:r>
        <w:rPr>
          <w:color w:val="333333"/>
          <w:spacing w:val="9"/>
        </w:rPr>
        <w:t>1）</w:t>
      </w:r>
      <w:r>
        <w:rPr>
          <w:color w:val="333333"/>
          <w:spacing w:val="37"/>
        </w:rPr>
        <w:t xml:space="preserve"> 施工单位编制的地下管线保护措施方案是否根据实际情况</w:t>
      </w:r>
      <w:r>
        <w:rPr>
          <w:color w:val="333333"/>
          <w:spacing w:val="34"/>
        </w:rPr>
        <w:t>并符合标准规范要求；</w:t>
      </w:r>
    </w:p>
    <w:p>
      <w:pPr>
        <w:pStyle w:val="BodyText"/>
        <w:spacing w:before="1" w:line="364" w:lineRule="auto"/>
        <w:ind w:left="1120" w:right="1723" w:firstLine="319"/>
      </w:pPr>
      <w:r>
        <w:rPr>
          <w:color w:val="333333"/>
        </w:rPr>
        <w:t>（</w:t>
      </w:r>
      <w:r>
        <w:rPr>
          <w:color w:val="333333"/>
          <w:spacing w:val="-80"/>
        </w:rPr>
        <w:t xml:space="preserve"> </w:t>
      </w:r>
      <w:r>
        <w:rPr>
          <w:color w:val="333333"/>
          <w:spacing w:val="9"/>
        </w:rPr>
        <w:t>2）</w:t>
      </w:r>
      <w:r>
        <w:rPr>
          <w:color w:val="333333"/>
          <w:spacing w:val="26"/>
        </w:rPr>
        <w:t xml:space="preserve"> 基坑支护与降水、土方开挖、模板、起重吊装、脚手架、拆</w:t>
      </w:r>
      <w:r>
        <w:rPr>
          <w:color w:val="333333"/>
          <w:spacing w:val="36"/>
        </w:rPr>
        <w:t>除等分部分项工程的安全生产技术措施和安全专项施工方案是否符</w:t>
      </w:r>
      <w:r>
        <w:rPr>
          <w:color w:val="333333"/>
          <w:spacing w:val="33"/>
        </w:rPr>
        <w:t>合标准规范要求；</w:t>
      </w:r>
    </w:p>
    <w:p>
      <w:pPr>
        <w:pStyle w:val="BodyText"/>
        <w:spacing w:before="2" w:line="364" w:lineRule="auto"/>
        <w:ind w:left="1120" w:right="1723" w:firstLine="319"/>
      </w:pPr>
      <w:r>
        <w:rPr>
          <w:color w:val="333333"/>
        </w:rPr>
        <w:t>（</w:t>
      </w:r>
      <w:r>
        <w:rPr>
          <w:color w:val="333333"/>
          <w:spacing w:val="-80"/>
        </w:rPr>
        <w:t xml:space="preserve"> </w:t>
      </w:r>
      <w:r>
        <w:rPr>
          <w:color w:val="333333"/>
          <w:spacing w:val="9"/>
        </w:rPr>
        <w:t>3）</w:t>
      </w:r>
      <w:r>
        <w:rPr>
          <w:color w:val="333333"/>
          <w:spacing w:val="26"/>
        </w:rPr>
        <w:t xml:space="preserve"> 施工现场临时用电施工组织设计或者安全用电技术措施和电</w:t>
      </w:r>
      <w:r>
        <w:rPr>
          <w:color w:val="333333"/>
          <w:spacing w:val="35"/>
        </w:rPr>
        <w:t>器防火措施是否符合标准规范要求；</w:t>
      </w:r>
    </w:p>
    <w:p>
      <w:pPr>
        <w:pStyle w:val="BodyText"/>
        <w:spacing w:before="1"/>
        <w:ind w:left="1439"/>
      </w:pPr>
      <w:r>
        <w:rPr>
          <w:color w:val="333333"/>
        </w:rPr>
        <w:t>（</w:t>
      </w:r>
      <w:r>
        <w:rPr>
          <w:color w:val="333333"/>
          <w:spacing w:val="-80"/>
        </w:rPr>
        <w:t xml:space="preserve"> </w:t>
      </w:r>
      <w:r>
        <w:rPr>
          <w:color w:val="333333"/>
          <w:spacing w:val="9"/>
        </w:rPr>
        <w:t>4）</w:t>
      </w:r>
      <w:r>
        <w:rPr>
          <w:color w:val="333333"/>
          <w:spacing w:val="26"/>
        </w:rPr>
        <w:t xml:space="preserve"> 冬季、雨季等季节性施工方案的制定是否符合实际需要；</w:t>
      </w:r>
    </w:p>
    <w:p>
      <w:pPr>
        <w:pStyle w:val="BodyText"/>
        <w:spacing w:before="160" w:line="364" w:lineRule="auto"/>
        <w:ind w:left="1120" w:right="1717" w:firstLine="319"/>
        <w:jc w:val="both"/>
      </w:pPr>
      <w:r>
        <w:rPr>
          <w:color w:val="333333"/>
        </w:rPr>
        <w:t>（</w:t>
      </w:r>
      <w:r>
        <w:rPr>
          <w:color w:val="333333"/>
          <w:spacing w:val="-30"/>
        </w:rPr>
        <w:t xml:space="preserve"> </w:t>
      </w:r>
      <w:r>
        <w:rPr>
          <w:color w:val="333333"/>
        </w:rPr>
        <w:t>5）</w:t>
      </w:r>
      <w:r>
        <w:rPr>
          <w:color w:val="333333"/>
          <w:spacing w:val="18"/>
        </w:rPr>
        <w:t xml:space="preserve"> 施工总平面布置图是否合理， 办公、宿舍、食堂、道路等临</w:t>
      </w:r>
      <w:r>
        <w:rPr>
          <w:color w:val="333333"/>
          <w:spacing w:val="27"/>
        </w:rPr>
        <w:t>时设施设置以及排水、防火措施是否符合安全技术标准和文明施工的</w:t>
      </w:r>
      <w:r>
        <w:rPr>
          <w:color w:val="333333"/>
          <w:spacing w:val="22"/>
        </w:rPr>
        <w:t>要求。</w:t>
      </w:r>
    </w:p>
    <w:p>
      <w:pPr>
        <w:pStyle w:val="BodyText"/>
        <w:spacing w:before="2" w:line="364" w:lineRule="auto"/>
        <w:ind w:left="1120" w:right="1765"/>
      </w:pPr>
      <w:r>
        <w:rPr>
          <w:color w:val="333333"/>
          <w:spacing w:val="19"/>
        </w:rPr>
        <w:t>3</w:t>
      </w:r>
      <w:r>
        <w:rPr>
          <w:color w:val="333333"/>
          <w:spacing w:val="36"/>
        </w:rPr>
        <w:t>、审查电工、焊工、架子工、起重机械工、塔吊司机及指挥人员等</w:t>
      </w:r>
      <w:r>
        <w:rPr>
          <w:color w:val="333333"/>
          <w:spacing w:val="24"/>
        </w:rPr>
        <w:t>特种作业人员资格， 资质不符要求禁止上岗作业。</w:t>
      </w:r>
    </w:p>
    <w:p>
      <w:pPr>
        <w:pStyle w:val="BodyText"/>
        <w:spacing w:before="1" w:line="364" w:lineRule="auto"/>
        <w:ind w:left="1120" w:right="1717"/>
        <w:jc w:val="both"/>
      </w:pPr>
      <w:r>
        <w:rPr>
          <w:color w:val="333333"/>
          <w:spacing w:val="19"/>
        </w:rPr>
        <w:t>4</w:t>
      </w:r>
      <w:r>
        <w:rPr>
          <w:color w:val="333333"/>
          <w:spacing w:val="36"/>
        </w:rPr>
        <w:t>、审查施工单位开工时所必须的施工机械、材料和主要人员是否已</w:t>
      </w:r>
      <w:r>
        <w:rPr>
          <w:color w:val="333333"/>
          <w:spacing w:val="28"/>
        </w:rPr>
        <w:t>到达现场，并处于安全状态，作业人员是否接受三级安全教育及安全</w:t>
      </w:r>
      <w:r>
        <w:rPr>
          <w:color w:val="333333"/>
          <w:spacing w:val="24"/>
        </w:rPr>
        <w:t>技术交底， 施工准备不充分或人员未受教育不得开工。</w:t>
      </w:r>
    </w:p>
    <w:p>
      <w:pPr>
        <w:pStyle w:val="BodyText"/>
        <w:spacing w:before="2" w:line="364" w:lineRule="auto"/>
        <w:ind w:left="1120" w:right="1765"/>
      </w:pPr>
      <w:r>
        <w:rPr>
          <w:color w:val="333333"/>
          <w:spacing w:val="19"/>
        </w:rPr>
        <w:t>5</w:t>
      </w:r>
      <w:r>
        <w:rPr>
          <w:color w:val="333333"/>
          <w:spacing w:val="39"/>
        </w:rPr>
        <w:t>、审查施工单位的安全设施和设备</w:t>
      </w:r>
      <w:r>
        <w:rPr>
          <w:color w:val="333333"/>
        </w:rPr>
        <w:t>（</w:t>
      </w:r>
      <w:r>
        <w:rPr>
          <w:color w:val="333333"/>
          <w:spacing w:val="26"/>
        </w:rPr>
        <w:t xml:space="preserve"> 如吊篮、漏电保护开关、安全</w:t>
      </w:r>
      <w:r>
        <w:rPr>
          <w:color w:val="333333"/>
          <w:spacing w:val="39"/>
        </w:rPr>
        <w:t>网等</w:t>
      </w:r>
      <w:r>
        <w:rPr>
          <w:color w:val="333333"/>
        </w:rPr>
        <w:t>）</w:t>
      </w:r>
      <w:r>
        <w:rPr>
          <w:color w:val="333333"/>
          <w:spacing w:val="24"/>
        </w:rPr>
        <w:t xml:space="preserve"> 进入现场前的检验情况。</w:t>
      </w:r>
    </w:p>
    <w:p>
      <w:pPr>
        <w:spacing w:before="0" w:line="363" w:lineRule="exact"/>
        <w:ind w:left="1120" w:right="0" w:firstLine="0"/>
        <w:jc w:val="left"/>
        <w:rPr>
          <w:rFonts w:ascii="Microsoft JhengHei" w:eastAsia="Microsoft JhengHei"/>
          <w:b/>
          <w:sz w:val="24"/>
        </w:rPr>
      </w:pPr>
      <w:r>
        <w:rPr>
          <w:rFonts w:ascii="Microsoft JhengHei" w:eastAsia="Microsoft JhengHei"/>
          <w:b/>
          <w:color w:val="333333"/>
          <w:spacing w:val="27"/>
          <w:sz w:val="24"/>
        </w:rPr>
        <w:t>施工阶段</w:t>
      </w:r>
    </w:p>
    <w:p>
      <w:pPr>
        <w:pStyle w:val="BodyText"/>
        <w:spacing w:before="106" w:line="364" w:lineRule="auto"/>
        <w:ind w:left="1120" w:right="1765"/>
      </w:pPr>
      <w:r>
        <w:rPr>
          <w:color w:val="333333"/>
          <w:spacing w:val="19"/>
        </w:rPr>
        <w:t>1</w:t>
      </w:r>
      <w:r>
        <w:rPr>
          <w:color w:val="333333"/>
          <w:spacing w:val="36"/>
        </w:rPr>
        <w:t>、监督施工单位按照工程建设强制性标准和专项安全施工方案组织</w:t>
      </w:r>
      <w:r>
        <w:rPr>
          <w:color w:val="333333"/>
          <w:spacing w:val="24"/>
        </w:rPr>
        <w:t>施工， 制止违章指挥和违章作业；</w:t>
      </w:r>
    </w:p>
    <w:p>
      <w:pPr>
        <w:pStyle w:val="BodyText"/>
        <w:spacing w:before="1" w:line="364" w:lineRule="auto"/>
        <w:ind w:left="1120" w:right="1717"/>
        <w:jc w:val="both"/>
      </w:pPr>
      <w:r>
        <w:rPr>
          <w:color w:val="333333"/>
          <w:spacing w:val="19"/>
        </w:rPr>
        <w:t>2</w:t>
      </w:r>
      <w:r>
        <w:rPr>
          <w:color w:val="333333"/>
          <w:spacing w:val="40"/>
        </w:rPr>
        <w:t>、</w:t>
      </w:r>
      <w:r>
        <w:rPr>
          <w:spacing w:val="32"/>
        </w:rPr>
        <w:t>监理工程师对现场采取定期或不定期巡查或旁站， 对施工现场及</w:t>
      </w:r>
      <w:r>
        <w:rPr>
          <w:spacing w:val="31"/>
        </w:rPr>
        <w:t>办公生活区的安全措施进行检查，对发现的问题发监理整改通知，并</w:t>
      </w:r>
      <w:r>
        <w:rPr>
          <w:spacing w:val="16"/>
        </w:rPr>
        <w:t>督促其立即整改；情况严重的， 监理单位将下达工程暂停令， 要求施</w:t>
      </w:r>
      <w:r>
        <w:rPr>
          <w:spacing w:val="28"/>
        </w:rPr>
        <w:t>工单位停工整改，并同时报告建设单位。安全事故隐患消除后，监理</w:t>
      </w:r>
      <w:r>
        <w:rPr>
          <w:spacing w:val="30"/>
        </w:rPr>
        <w:t>单位应检查整改结果，签署复查或复工意见。施工单位拒不整改或不</w:t>
      </w:r>
    </w:p>
    <w:p>
      <w:pPr>
        <w:spacing w:after="0" w:line="364" w:lineRule="auto"/>
        <w:jc w:val="both"/>
        <w:sectPr>
          <w:headerReference w:type="default" r:id="rId15"/>
          <w:footerReference w:type="default" r:id="rId16"/>
          <w:pgSz w:w="11910" w:h="16840"/>
          <w:pgMar w:top="1420" w:right="120" w:bottom="1240" w:left="680" w:header="884" w:footer="1056"/>
          <w:pgNumType w:start="6"/>
          <w:cols w:space="708"/>
        </w:sectPr>
      </w:pPr>
    </w:p>
    <w:p>
      <w:pPr>
        <w:pStyle w:val="BodyText"/>
        <w:spacing w:before="102" w:line="364" w:lineRule="auto"/>
        <w:ind w:left="1120" w:right="1624"/>
      </w:pPr>
      <w:r>
        <w:rPr>
          <w:spacing w:val="27"/>
        </w:rPr>
        <w:t>停工整改的，监理单位将向工程所在地建设主管部门或工程项目的行</w:t>
      </w:r>
      <w:r>
        <w:rPr>
          <w:spacing w:val="36"/>
        </w:rPr>
        <w:t>业主管部门报告。检查、整改、复查、报告等情况记载在监理日志、</w:t>
      </w:r>
      <w:r>
        <w:rPr>
          <w:spacing w:val="39"/>
        </w:rPr>
        <w:t>监理月报中</w:t>
      </w:r>
      <w:r>
        <w:rPr>
          <w:color w:val="333333"/>
          <w:spacing w:val="21"/>
        </w:rPr>
        <w:t>； 安全监督检查内容如下：</w:t>
      </w:r>
    </w:p>
    <w:p>
      <w:pPr>
        <w:pStyle w:val="BodyText"/>
        <w:spacing w:before="2"/>
        <w:ind w:left="1439"/>
      </w:pPr>
      <w:r>
        <w:rPr>
          <w:color w:val="333333"/>
        </w:rPr>
        <w:t>（</w:t>
      </w:r>
      <w:r>
        <w:rPr>
          <w:color w:val="333333"/>
          <w:spacing w:val="-80"/>
        </w:rPr>
        <w:t xml:space="preserve"> </w:t>
      </w:r>
      <w:r>
        <w:rPr>
          <w:color w:val="333333"/>
          <w:spacing w:val="9"/>
        </w:rPr>
        <w:t>1）</w:t>
      </w:r>
      <w:r>
        <w:rPr>
          <w:color w:val="333333"/>
          <w:spacing w:val="25"/>
        </w:rPr>
        <w:t xml:space="preserve"> 建筑高空架设作业的安全监督检查</w:t>
      </w:r>
    </w:p>
    <w:p>
      <w:pPr>
        <w:pStyle w:val="BodyText"/>
        <w:spacing w:before="160" w:line="364" w:lineRule="auto"/>
        <w:ind w:left="1120" w:right="1624" w:firstLine="640"/>
      </w:pPr>
      <w:r>
        <w:rPr>
          <w:color w:val="333333"/>
          <w:spacing w:val="39"/>
        </w:rPr>
        <w:t>监理单位要检查施工单位是否按照审查过的施工组织设计</w:t>
      </w:r>
      <w:r>
        <w:rPr>
          <w:color w:val="333333"/>
        </w:rPr>
        <w:t>（</w:t>
      </w:r>
      <w:r>
        <w:rPr>
          <w:color w:val="333333"/>
          <w:spacing w:val="-40"/>
        </w:rPr>
        <w:t xml:space="preserve"> 方</w:t>
      </w:r>
      <w:r>
        <w:rPr>
          <w:color w:val="333333"/>
          <w:spacing w:val="38"/>
        </w:rPr>
        <w:t>案</w:t>
      </w:r>
      <w:r>
        <w:rPr>
          <w:color w:val="333333"/>
        </w:rPr>
        <w:t>）</w:t>
      </w:r>
      <w:r>
        <w:rPr>
          <w:color w:val="333333"/>
          <w:spacing w:val="30"/>
        </w:rPr>
        <w:t>及安全技术措施进行作业，要求架子工、提升设备安装工必须持</w:t>
      </w:r>
      <w:r>
        <w:rPr>
          <w:color w:val="333333"/>
          <w:spacing w:val="25"/>
        </w:rPr>
        <w:t>证上岗， 检查所有现场施工人员是否使用安全网、安全帽、安全带，</w:t>
      </w:r>
      <w:r>
        <w:rPr>
          <w:color w:val="333333"/>
          <w:spacing w:val="36"/>
        </w:rPr>
        <w:t>避免因这类作业引起的高空坠落、物体打击等伤亡事故的发生。</w:t>
      </w:r>
    </w:p>
    <w:p>
      <w:pPr>
        <w:pStyle w:val="BodyText"/>
        <w:spacing w:before="3"/>
        <w:ind w:left="1439"/>
      </w:pPr>
      <w:r>
        <w:rPr>
          <w:color w:val="333333"/>
        </w:rPr>
        <w:t>（</w:t>
      </w:r>
      <w:r>
        <w:rPr>
          <w:color w:val="333333"/>
          <w:spacing w:val="-80"/>
        </w:rPr>
        <w:t xml:space="preserve"> </w:t>
      </w:r>
      <w:r>
        <w:rPr>
          <w:color w:val="333333"/>
          <w:spacing w:val="9"/>
        </w:rPr>
        <w:t>2）</w:t>
      </w:r>
      <w:r>
        <w:rPr>
          <w:color w:val="333333"/>
          <w:spacing w:val="23"/>
        </w:rPr>
        <w:t xml:space="preserve"> 起重机械作业的安全检查</w:t>
      </w:r>
    </w:p>
    <w:p>
      <w:pPr>
        <w:pStyle w:val="BodyText"/>
        <w:spacing w:before="160" w:line="364" w:lineRule="auto"/>
        <w:ind w:left="1120" w:right="1717" w:firstLine="640"/>
      </w:pPr>
      <w:r>
        <w:rPr>
          <w:color w:val="333333"/>
          <w:spacing w:val="36"/>
        </w:rPr>
        <w:t>监理单位要检查起重机械是否经过技术标准部门的验收并取得</w:t>
      </w:r>
      <w:r>
        <w:rPr>
          <w:color w:val="333333"/>
          <w:spacing w:val="28"/>
        </w:rPr>
        <w:t>安全使用许可证，要求驾驶人员必须持证上岗，避免因物体打击、机</w:t>
      </w:r>
      <w:r>
        <w:rPr>
          <w:color w:val="333333"/>
          <w:spacing w:val="35"/>
        </w:rPr>
        <w:t>械设备倒塌等造成人员伤亡事故的发生。</w:t>
      </w:r>
    </w:p>
    <w:p>
      <w:pPr>
        <w:pStyle w:val="BodyText"/>
        <w:spacing w:before="2"/>
        <w:ind w:left="1439"/>
      </w:pPr>
      <w:r>
        <w:rPr>
          <w:color w:val="333333"/>
        </w:rPr>
        <w:t>（</w:t>
      </w:r>
      <w:r>
        <w:rPr>
          <w:color w:val="333333"/>
          <w:spacing w:val="-80"/>
        </w:rPr>
        <w:t xml:space="preserve"> </w:t>
      </w:r>
      <w:r>
        <w:rPr>
          <w:color w:val="333333"/>
          <w:spacing w:val="9"/>
        </w:rPr>
        <w:t>3）</w:t>
      </w:r>
      <w:r>
        <w:rPr>
          <w:color w:val="333333"/>
          <w:spacing w:val="21"/>
        </w:rPr>
        <w:t xml:space="preserve"> 用电作业的安全检查</w:t>
      </w:r>
    </w:p>
    <w:p>
      <w:pPr>
        <w:pStyle w:val="BodyText"/>
        <w:spacing w:before="160" w:line="364" w:lineRule="auto"/>
        <w:ind w:left="1120" w:right="1717" w:firstLine="640"/>
      </w:pPr>
      <w:r>
        <w:rPr>
          <w:color w:val="333333"/>
          <w:spacing w:val="36"/>
        </w:rPr>
        <w:t>监理单位要检查施工中临时用电电线、电缆的架设、各种用电</w:t>
      </w:r>
      <w:r>
        <w:rPr>
          <w:color w:val="333333"/>
          <w:spacing w:val="31"/>
        </w:rPr>
        <w:t>设备是否符合安全用电要求，要求电工必须持证上岗，避免因触电造</w:t>
      </w:r>
      <w:r>
        <w:rPr>
          <w:color w:val="333333"/>
          <w:spacing w:val="34"/>
        </w:rPr>
        <w:t>成人员伤亡事故的发生。</w:t>
      </w:r>
    </w:p>
    <w:p>
      <w:pPr>
        <w:pStyle w:val="BodyText"/>
        <w:spacing w:before="2"/>
        <w:ind w:left="1439"/>
      </w:pPr>
      <w:r>
        <w:rPr>
          <w:color w:val="333333"/>
        </w:rPr>
        <w:t>（</w:t>
      </w:r>
      <w:r>
        <w:rPr>
          <w:color w:val="333333"/>
          <w:spacing w:val="-80"/>
        </w:rPr>
        <w:t xml:space="preserve"> </w:t>
      </w:r>
      <w:r>
        <w:rPr>
          <w:color w:val="333333"/>
          <w:spacing w:val="9"/>
        </w:rPr>
        <w:t>4）</w:t>
      </w:r>
      <w:r>
        <w:rPr>
          <w:color w:val="333333"/>
          <w:spacing w:val="21"/>
        </w:rPr>
        <w:t xml:space="preserve"> 机械设备的安全检查</w:t>
      </w:r>
    </w:p>
    <w:p>
      <w:pPr>
        <w:pStyle w:val="BodyText"/>
        <w:spacing w:before="161" w:line="364" w:lineRule="auto"/>
        <w:ind w:left="1120" w:right="1717" w:firstLine="640"/>
      </w:pPr>
      <w:r>
        <w:rPr>
          <w:color w:val="333333"/>
          <w:spacing w:val="30"/>
        </w:rPr>
        <w:t>监理单位要检查施工机械设备是否处于正常运行状态， 是否正</w:t>
      </w:r>
      <w:r>
        <w:rPr>
          <w:color w:val="333333"/>
          <w:spacing w:val="29"/>
        </w:rPr>
        <w:t>确使用，有无有效的安全防护装置，要求使用相应设备的人员必须持</w:t>
      </w:r>
      <w:r>
        <w:rPr>
          <w:color w:val="333333"/>
          <w:spacing w:val="25"/>
        </w:rPr>
        <w:t>证上岗， 避免因使用机械设备不当造成人身伤害事故的发生。</w:t>
      </w:r>
    </w:p>
    <w:p>
      <w:pPr>
        <w:pStyle w:val="BodyText"/>
        <w:spacing w:before="1"/>
        <w:ind w:left="1439"/>
      </w:pPr>
      <w:r>
        <w:rPr>
          <w:color w:val="333333"/>
        </w:rPr>
        <w:t>（</w:t>
      </w:r>
      <w:r>
        <w:rPr>
          <w:color w:val="333333"/>
          <w:spacing w:val="-80"/>
        </w:rPr>
        <w:t xml:space="preserve"> </w:t>
      </w:r>
      <w:r>
        <w:rPr>
          <w:color w:val="333333"/>
          <w:spacing w:val="9"/>
        </w:rPr>
        <w:t>5）</w:t>
      </w:r>
      <w:r>
        <w:rPr>
          <w:color w:val="333333"/>
          <w:spacing w:val="26"/>
        </w:rPr>
        <w:t xml:space="preserve"> 建筑施工洞口和建筑周边临时安全防护的检查</w:t>
      </w:r>
    </w:p>
    <w:p>
      <w:pPr>
        <w:pStyle w:val="BodyText"/>
        <w:spacing w:before="161" w:line="364" w:lineRule="auto"/>
        <w:ind w:left="1120" w:right="1717" w:firstLine="640"/>
      </w:pPr>
      <w:r>
        <w:rPr>
          <w:color w:val="333333"/>
          <w:spacing w:val="36"/>
        </w:rPr>
        <w:t>监理单位要检查施工中的楼梯口、电梯口、预留洞口、通道口</w:t>
      </w:r>
      <w:r>
        <w:rPr>
          <w:color w:val="333333"/>
          <w:spacing w:val="32"/>
        </w:rPr>
        <w:t>等各种洞口及建筑物周边临空位置的安全防护措施是否落实，避免人</w:t>
      </w:r>
      <w:r>
        <w:rPr>
          <w:color w:val="333333"/>
          <w:spacing w:val="35"/>
        </w:rPr>
        <w:t>员及物体坠落造成人员伤亡事故的发生。</w:t>
      </w:r>
    </w:p>
    <w:p>
      <w:pPr>
        <w:pStyle w:val="BodyText"/>
        <w:spacing w:before="2"/>
        <w:ind w:left="1439"/>
      </w:pPr>
      <w:r>
        <w:rPr>
          <w:color w:val="333333"/>
        </w:rPr>
        <w:t>（</w:t>
      </w:r>
      <w:r>
        <w:rPr>
          <w:color w:val="333333"/>
          <w:spacing w:val="-80"/>
        </w:rPr>
        <w:t xml:space="preserve"> </w:t>
      </w:r>
      <w:r>
        <w:rPr>
          <w:color w:val="333333"/>
          <w:spacing w:val="9"/>
        </w:rPr>
        <w:t>6）</w:t>
      </w:r>
      <w:r>
        <w:rPr>
          <w:color w:val="333333"/>
          <w:spacing w:val="25"/>
        </w:rPr>
        <w:t xml:space="preserve"> 高空施工时对周围环境的安全检查</w:t>
      </w:r>
    </w:p>
    <w:p>
      <w:pPr>
        <w:pStyle w:val="BodyText"/>
        <w:spacing w:before="160" w:line="364" w:lineRule="auto"/>
        <w:ind w:left="1120" w:right="1624" w:firstLine="600"/>
      </w:pPr>
      <w:r>
        <w:rPr>
          <w:color w:val="333333"/>
          <w:spacing w:val="29"/>
        </w:rPr>
        <w:t>监理单位要检查现场周围是否设有安全警示标志， 现场周围不</w:t>
      </w:r>
      <w:r>
        <w:rPr>
          <w:color w:val="333333"/>
          <w:spacing w:val="27"/>
        </w:rPr>
        <w:t>安全区域有无搭设临时防护设施， 避免物体坠落伤及工地周围行人。</w:t>
      </w:r>
    </w:p>
    <w:p>
      <w:pPr>
        <w:pStyle w:val="BodyText"/>
        <w:spacing w:before="1"/>
        <w:ind w:left="1439"/>
      </w:pPr>
      <w:r>
        <w:rPr>
          <w:color w:val="333333"/>
        </w:rPr>
        <w:t>（</w:t>
      </w:r>
      <w:r>
        <w:rPr>
          <w:color w:val="333333"/>
          <w:spacing w:val="-80"/>
        </w:rPr>
        <w:t xml:space="preserve"> </w:t>
      </w:r>
      <w:r>
        <w:rPr>
          <w:color w:val="333333"/>
          <w:spacing w:val="9"/>
        </w:rPr>
        <w:t>7）</w:t>
      </w:r>
      <w:r>
        <w:rPr>
          <w:color w:val="333333"/>
          <w:spacing w:val="22"/>
        </w:rPr>
        <w:t xml:space="preserve"> 深基坑支护的安全检查</w:t>
      </w:r>
    </w:p>
    <w:p>
      <w:pPr>
        <w:pStyle w:val="BodyText"/>
        <w:spacing w:before="161"/>
        <w:ind w:right="63"/>
        <w:jc w:val="center"/>
      </w:pPr>
      <w:r>
        <w:rPr>
          <w:color w:val="333333"/>
          <w:spacing w:val="37"/>
        </w:rPr>
        <w:t>监理单位要检查基坑支护、坑边防护等安全技术措施的落实情</w:t>
      </w:r>
    </w:p>
    <w:p>
      <w:pPr>
        <w:spacing w:after="0"/>
        <w:jc w:val="center"/>
        <w:sectPr>
          <w:headerReference w:type="default" r:id="rId17"/>
          <w:footerReference w:type="default" r:id="rId18"/>
          <w:pgSz w:w="11910" w:h="16840"/>
          <w:pgMar w:top="1420" w:right="120" w:bottom="1240" w:left="680" w:header="884" w:footer="1056"/>
          <w:pgNumType w:start="7"/>
          <w:cols w:space="708"/>
        </w:sectPr>
      </w:pPr>
    </w:p>
    <w:p>
      <w:pPr>
        <w:pStyle w:val="BodyText"/>
        <w:spacing w:before="102" w:line="364" w:lineRule="auto"/>
        <w:ind w:left="1120" w:right="1717"/>
      </w:pPr>
      <w:r>
        <w:rPr>
          <w:color w:val="333333"/>
          <w:spacing w:val="28"/>
        </w:rPr>
        <w:t>况，避免因土方开挖后基坑坍塌、人员和物体坠落造成人身伤害事故</w:t>
      </w:r>
      <w:r>
        <w:rPr>
          <w:color w:val="333333"/>
          <w:spacing w:val="27"/>
        </w:rPr>
        <w:t>的发生。</w:t>
      </w:r>
    </w:p>
    <w:p>
      <w:pPr>
        <w:pStyle w:val="BodyText"/>
        <w:spacing w:before="1" w:line="364" w:lineRule="auto"/>
        <w:ind w:left="1120" w:right="1597"/>
      </w:pPr>
      <w:r>
        <w:rPr>
          <w:color w:val="333333"/>
          <w:spacing w:val="19"/>
        </w:rPr>
        <w:t>3</w:t>
      </w:r>
      <w:r>
        <w:rPr>
          <w:color w:val="333333"/>
          <w:spacing w:val="26"/>
        </w:rPr>
        <w:t>、监督检查施工单位施工机械、安全设施的验收手续，并签署意见。</w:t>
      </w:r>
      <w:r>
        <w:rPr>
          <w:color w:val="333333"/>
          <w:spacing w:val="36"/>
        </w:rPr>
        <w:t>未经安全监理人员签署认可的不得投入使用。</w:t>
      </w:r>
    </w:p>
    <w:p>
      <w:pPr>
        <w:pStyle w:val="BodyText"/>
        <w:spacing w:before="1" w:line="364" w:lineRule="auto"/>
        <w:ind w:left="1120" w:right="1765"/>
      </w:pPr>
      <w:r>
        <w:rPr>
          <w:color w:val="333333"/>
          <w:spacing w:val="19"/>
        </w:rPr>
        <w:t>4</w:t>
      </w:r>
      <w:r>
        <w:rPr>
          <w:color w:val="333333"/>
          <w:spacing w:val="36"/>
        </w:rPr>
        <w:t>、督促检查施工单位对危险源的施工作业进行逐级安全技术交底，</w:t>
      </w:r>
      <w:r>
        <w:rPr>
          <w:color w:val="333333"/>
          <w:spacing w:val="26"/>
        </w:rPr>
        <w:t>检查交底的书面记录， 对于没有进行交底的不允许擅自施工作业。</w:t>
      </w:r>
      <w:r>
        <w:rPr>
          <w:color w:val="333333"/>
        </w:rPr>
        <w:t xml:space="preserve"> </w:t>
      </w:r>
      <w:r>
        <w:rPr>
          <w:color w:val="333333"/>
          <w:spacing w:val="19"/>
        </w:rPr>
        <w:t>5</w:t>
      </w:r>
      <w:r>
        <w:rPr>
          <w:color w:val="333333"/>
          <w:spacing w:val="26"/>
        </w:rPr>
        <w:t>、检查并督促施工单位， 按照建筑施工安全技术标准和规范要求，</w:t>
      </w:r>
      <w:r>
        <w:rPr>
          <w:color w:val="333333"/>
          <w:spacing w:val="36"/>
        </w:rPr>
        <w:t>落实分部、分项工程或各工序、关键部位的安全防护措施。</w:t>
      </w:r>
    </w:p>
    <w:p>
      <w:pPr>
        <w:pStyle w:val="BodyText"/>
        <w:spacing w:before="3" w:line="364" w:lineRule="auto"/>
        <w:ind w:left="1120" w:right="1717"/>
        <w:jc w:val="both"/>
      </w:pPr>
      <w:r>
        <w:rPr>
          <w:color w:val="333333"/>
          <w:spacing w:val="19"/>
        </w:rPr>
        <w:t>6</w:t>
      </w:r>
      <w:r>
        <w:rPr>
          <w:color w:val="333333"/>
          <w:spacing w:val="36"/>
        </w:rPr>
        <w:t>、定期检查工程安全技术交底的涉及面、针对性及履行签字手续情</w:t>
      </w:r>
      <w:r>
        <w:rPr>
          <w:color w:val="333333"/>
          <w:spacing w:val="28"/>
        </w:rPr>
        <w:t>况；检查承包商安全检查制度、检查记录、整改情况：检查施工单位</w:t>
      </w:r>
      <w:r>
        <w:rPr>
          <w:color w:val="333333"/>
          <w:spacing w:val="23"/>
        </w:rPr>
        <w:t>安全教育制度， 新工人三级教育和变换工种教育的内容、时间等；检</w:t>
      </w:r>
      <w:r>
        <w:rPr>
          <w:color w:val="333333"/>
          <w:spacing w:val="30"/>
        </w:rPr>
        <w:t>查从事特种作业人员的培训持证上岗情况(复验时间、单位名称)；对</w:t>
      </w:r>
      <w:r>
        <w:rPr>
          <w:color w:val="333333"/>
          <w:spacing w:val="24"/>
        </w:rPr>
        <w:t>不安全因素， 及时督促施工单位整改。</w:t>
      </w:r>
    </w:p>
    <w:p>
      <w:pPr>
        <w:pStyle w:val="BodyText"/>
        <w:spacing w:before="3" w:line="364" w:lineRule="auto"/>
        <w:ind w:left="1120" w:right="1717"/>
        <w:jc w:val="both"/>
      </w:pPr>
      <w:r>
        <w:rPr>
          <w:spacing w:val="19"/>
        </w:rPr>
        <w:t>7</w:t>
      </w:r>
      <w:r>
        <w:rPr>
          <w:spacing w:val="36"/>
        </w:rPr>
        <w:t>、汇同建设单位、施工单位进行定期安全检查、专项安全检查和季</w:t>
      </w:r>
      <w:r>
        <w:rPr>
          <w:spacing w:val="26"/>
        </w:rPr>
        <w:t>节性、节假日安全检查，记录检查结果，对存在问题提出处理意见并</w:t>
      </w:r>
      <w:r>
        <w:rPr>
          <w:spacing w:val="28"/>
        </w:rPr>
        <w:t>限期整改。</w:t>
      </w:r>
    </w:p>
    <w:p>
      <w:pPr>
        <w:pStyle w:val="BodyText"/>
        <w:spacing w:before="1"/>
        <w:ind w:left="1120"/>
      </w:pPr>
      <w:r>
        <w:rPr>
          <w:spacing w:val="19"/>
        </w:rPr>
        <w:t>8</w:t>
      </w:r>
      <w:r>
        <w:rPr>
          <w:spacing w:val="36"/>
        </w:rPr>
        <w:t>、通过例会、专题会议解决安全施工中出现的问题。</w:t>
      </w:r>
    </w:p>
    <w:p>
      <w:pPr>
        <w:pStyle w:val="BodyText"/>
        <w:spacing w:before="161"/>
        <w:ind w:left="1120"/>
      </w:pPr>
      <w:r>
        <w:rPr>
          <w:spacing w:val="19"/>
        </w:rPr>
        <w:t>9</w:t>
      </w:r>
      <w:r>
        <w:rPr>
          <w:spacing w:val="36"/>
        </w:rPr>
        <w:t>、及时多渠道地向业主汇报工程安全方面的信息。</w:t>
      </w:r>
    </w:p>
    <w:p>
      <w:pPr>
        <w:pStyle w:val="BodyText"/>
        <w:spacing w:before="160" w:line="364" w:lineRule="auto"/>
        <w:ind w:left="1120" w:right="1717"/>
      </w:pPr>
      <w:r>
        <w:rPr>
          <w:spacing w:val="19"/>
        </w:rPr>
        <w:t>10</w:t>
      </w:r>
      <w:r>
        <w:rPr>
          <w:spacing w:val="28"/>
        </w:rPr>
        <w:t>、建立安全施工状况登记制度，即在监理日记、监理月报、监理总</w:t>
      </w:r>
      <w:r>
        <w:rPr>
          <w:spacing w:val="35"/>
        </w:rPr>
        <w:t>结等监理文件中准确及时记录安全状况。</w:t>
      </w:r>
    </w:p>
    <w:p>
      <w:pPr>
        <w:spacing w:after="0" w:line="364" w:lineRule="auto"/>
        <w:sectPr>
          <w:headerReference w:type="default" r:id="rId19"/>
          <w:footerReference w:type="default" r:id="rId20"/>
          <w:pgSz w:w="11910" w:h="16840"/>
          <w:pgMar w:top="1420" w:right="120" w:bottom="1240" w:left="680" w:header="884" w:footer="1056"/>
          <w:pgNumType w:start="8"/>
          <w:cols w:space="708"/>
        </w:sectPr>
      </w:pPr>
    </w:p>
    <w:p>
      <w:pPr>
        <w:tabs>
          <w:tab w:val="left" w:pos="1582"/>
          <w:tab w:val="left" w:pos="2023"/>
          <w:tab w:val="left" w:pos="2464"/>
        </w:tabs>
        <w:spacing w:before="23"/>
        <w:ind w:left="580" w:right="0" w:firstLine="0"/>
        <w:jc w:val="left"/>
        <w:rPr>
          <w:rFonts w:ascii="Microsoft JhengHei" w:eastAsia="Microsoft JhengHei"/>
          <w:b/>
          <w:sz w:val="24"/>
        </w:rPr>
      </w:pPr>
      <w:r>
        <w:rPr>
          <w:rFonts w:ascii="Microsoft JhengHei" w:eastAsia="Microsoft JhengHei"/>
          <w:b/>
          <w:spacing w:val="41"/>
          <w:sz w:val="24"/>
        </w:rPr>
        <w:t>六</w:t>
      </w:r>
      <w:r>
        <w:rPr>
          <w:rFonts w:ascii="Microsoft JhengHei" w:eastAsia="Microsoft JhengHei"/>
          <w:b/>
          <w:spacing w:val="40"/>
          <w:sz w:val="24"/>
        </w:rPr>
        <w:t>、</w:t>
      </w:r>
      <w:r>
        <w:rPr>
          <w:rFonts w:ascii="Microsoft JhengHei" w:eastAsia="Microsoft JhengHei"/>
          <w:b/>
          <w:spacing w:val="-10"/>
          <w:sz w:val="24"/>
        </w:rPr>
        <w:t>预</w:t>
      </w:r>
      <w:r>
        <w:rPr>
          <w:rFonts w:ascii="Microsoft JhengHei" w:eastAsia="Microsoft JhengHei"/>
          <w:b/>
          <w:sz w:val="24"/>
        </w:rPr>
        <w:tab/>
      </w:r>
      <w:r>
        <w:rPr>
          <w:rFonts w:ascii="Microsoft JhengHei" w:eastAsia="Microsoft JhengHei"/>
          <w:b/>
          <w:spacing w:val="-10"/>
          <w:sz w:val="24"/>
        </w:rPr>
        <w:t>防</w:t>
      </w:r>
      <w:r>
        <w:rPr>
          <w:rFonts w:ascii="Microsoft JhengHei" w:eastAsia="Microsoft JhengHei"/>
          <w:b/>
          <w:sz w:val="24"/>
        </w:rPr>
        <w:tab/>
      </w:r>
      <w:r>
        <w:rPr>
          <w:rFonts w:ascii="Microsoft JhengHei" w:eastAsia="Microsoft JhengHei"/>
          <w:b/>
          <w:spacing w:val="-10"/>
          <w:sz w:val="24"/>
        </w:rPr>
        <w:t>措</w:t>
      </w:r>
      <w:r>
        <w:rPr>
          <w:rFonts w:ascii="Microsoft JhengHei" w:eastAsia="Microsoft JhengHei"/>
          <w:b/>
          <w:sz w:val="24"/>
        </w:rPr>
        <w:tab/>
      </w:r>
      <w:r>
        <w:rPr>
          <w:rFonts w:ascii="Microsoft JhengHei" w:eastAsia="Microsoft JhengHei"/>
          <w:b/>
          <w:spacing w:val="-10"/>
          <w:sz w:val="24"/>
        </w:rPr>
        <w:t>施</w:t>
      </w:r>
    </w:p>
    <w:p>
      <w:pPr>
        <w:pStyle w:val="BodyText"/>
        <w:spacing w:before="105" w:line="364" w:lineRule="auto"/>
        <w:ind w:left="580" w:right="1084" w:firstLine="240"/>
      </w:pPr>
      <w:r>
        <w:rPr>
          <w:spacing w:val="32"/>
        </w:rPr>
        <w:t>安全生产贯穿于自开工到竣工的施工生产的全过程，因此，安全工作存在于</w:t>
      </w:r>
      <w:r>
        <w:rPr>
          <w:spacing w:val="22"/>
        </w:rPr>
        <w:t>每个分部分项工程、每道工序中， 也就是说哪里的安全防护措施不落实， 哪</w:t>
      </w:r>
      <w:r>
        <w:rPr>
          <w:spacing w:val="37"/>
        </w:rPr>
        <w:t>里就有发生伤亡事故的可能。安全监理不仅要监督检查各部位安全防护措施</w:t>
      </w:r>
      <w:r>
        <w:rPr>
          <w:spacing w:val="33"/>
        </w:rPr>
        <w:t>的贯彻落实，还应该了解建筑施工中主要的安全技术，才能有效的采取措施，</w:t>
      </w:r>
      <w:r>
        <w:rPr>
          <w:spacing w:val="25"/>
        </w:rPr>
        <w:t>预防各类伤亡事故， 保证安全生产。下面介绍几个主要方面。</w:t>
      </w:r>
    </w:p>
    <w:p>
      <w:pPr>
        <w:pStyle w:val="BodyText"/>
        <w:spacing w:before="3"/>
        <w:ind w:left="740"/>
      </w:pPr>
      <w:r>
        <w:rPr>
          <w:spacing w:val="25"/>
        </w:rPr>
        <w:t>(一)土方开挖</w:t>
      </w:r>
    </w:p>
    <w:p>
      <w:pPr>
        <w:pStyle w:val="ListParagraph"/>
        <w:numPr>
          <w:ilvl w:val="0"/>
          <w:numId w:val="13"/>
        </w:numPr>
        <w:tabs>
          <w:tab w:val="left" w:pos="1000"/>
        </w:tabs>
        <w:spacing w:before="161" w:after="0" w:line="240" w:lineRule="auto"/>
        <w:ind w:left="1000" w:right="0" w:hanging="420"/>
        <w:jc w:val="left"/>
        <w:rPr>
          <w:sz w:val="24"/>
        </w:rPr>
      </w:pPr>
      <w:r>
        <w:rPr>
          <w:spacing w:val="30"/>
          <w:sz w:val="24"/>
        </w:rPr>
        <w:t>施工准备工作</w:t>
      </w:r>
    </w:p>
    <w:p>
      <w:pPr>
        <w:pStyle w:val="BodyText"/>
        <w:spacing w:before="160" w:line="364" w:lineRule="auto"/>
        <w:ind w:left="580" w:right="1084"/>
      </w:pPr>
      <w:r>
        <w:rPr>
          <w:spacing w:val="19"/>
        </w:rPr>
        <w:t>(</w:t>
      </w:r>
      <w:r>
        <w:rPr>
          <w:spacing w:val="20"/>
        </w:rPr>
        <w:t>l</w:t>
      </w:r>
      <w:r>
        <w:rPr>
          <w:spacing w:val="24"/>
        </w:rPr>
        <w:t>)勘查现场，清除地面及地上障碍物。摸清工程实地情况、开挖土层的地质、水文  情况、运输道路、邻近建筑、地下埋没物、古墓、旧人防地道、电缆线</w:t>
      </w:r>
      <w:r>
        <w:rPr>
          <w:spacing w:val="37"/>
        </w:rPr>
        <w:t>路、上下水管道、煤气管道、地面障碍物、水电供应情况等以便有针对性地</w:t>
      </w:r>
      <w:r>
        <w:rPr>
          <w:spacing w:val="24"/>
        </w:rPr>
        <w:t>采取安全措施， 清除施工区域内地面及地下障碍物。</w:t>
      </w:r>
    </w:p>
    <w:p>
      <w:pPr>
        <w:pStyle w:val="ListParagraph"/>
        <w:numPr>
          <w:ilvl w:val="0"/>
          <w:numId w:val="12"/>
        </w:numPr>
        <w:tabs>
          <w:tab w:val="left" w:pos="1000"/>
        </w:tabs>
        <w:spacing w:before="3" w:after="0" w:line="364" w:lineRule="auto"/>
        <w:ind w:left="580" w:right="1204" w:firstLine="0"/>
        <w:jc w:val="left"/>
        <w:rPr>
          <w:sz w:val="24"/>
        </w:rPr>
      </w:pPr>
      <w:r>
        <w:rPr>
          <w:spacing w:val="18"/>
          <w:sz w:val="24"/>
        </w:rPr>
        <w:t>做好施工场地排水工作， 全面规划场地， 场地周围设置必要的截水沟、排</w:t>
      </w:r>
      <w:r>
        <w:rPr>
          <w:spacing w:val="24"/>
          <w:sz w:val="24"/>
        </w:rPr>
        <w:t>水沟， 以保证施工场地排水通畅不积水。</w:t>
      </w:r>
    </w:p>
    <w:p>
      <w:pPr>
        <w:pStyle w:val="ListParagraph"/>
        <w:numPr>
          <w:ilvl w:val="0"/>
          <w:numId w:val="12"/>
        </w:numPr>
        <w:tabs>
          <w:tab w:val="left" w:pos="1000"/>
        </w:tabs>
        <w:spacing w:before="1" w:after="0" w:line="240" w:lineRule="auto"/>
        <w:ind w:left="1000" w:right="0" w:hanging="420"/>
        <w:jc w:val="left"/>
        <w:rPr>
          <w:sz w:val="24"/>
        </w:rPr>
      </w:pPr>
      <w:r>
        <w:rPr>
          <w:spacing w:val="24"/>
          <w:sz w:val="24"/>
        </w:rPr>
        <w:t>保护测量基准桩， 以保证土方开挖标高位置与尺寸准确无误。</w:t>
      </w:r>
    </w:p>
    <w:p>
      <w:pPr>
        <w:pStyle w:val="ListParagraph"/>
        <w:numPr>
          <w:ilvl w:val="0"/>
          <w:numId w:val="12"/>
        </w:numPr>
        <w:tabs>
          <w:tab w:val="left" w:pos="1000"/>
        </w:tabs>
        <w:spacing w:before="161" w:after="0" w:line="240" w:lineRule="auto"/>
        <w:ind w:left="1000" w:right="0" w:hanging="420"/>
        <w:jc w:val="left"/>
        <w:rPr>
          <w:sz w:val="24"/>
        </w:rPr>
      </w:pPr>
      <w:r>
        <w:rPr>
          <w:spacing w:val="36"/>
          <w:sz w:val="24"/>
        </w:rPr>
        <w:t>备好施工用电、用水、道路及其它设施。</w:t>
      </w:r>
    </w:p>
    <w:p>
      <w:pPr>
        <w:pStyle w:val="ListParagraph"/>
        <w:numPr>
          <w:ilvl w:val="0"/>
          <w:numId w:val="12"/>
        </w:numPr>
        <w:tabs>
          <w:tab w:val="left" w:pos="1000"/>
        </w:tabs>
        <w:spacing w:before="160" w:after="0" w:line="240" w:lineRule="auto"/>
        <w:ind w:left="1000" w:right="0" w:hanging="420"/>
        <w:jc w:val="left"/>
        <w:rPr>
          <w:sz w:val="24"/>
        </w:rPr>
      </w:pPr>
      <w:r>
        <w:rPr>
          <w:spacing w:val="25"/>
          <w:sz w:val="24"/>
        </w:rPr>
        <w:t>需要做挡土桩的深基坑， 要先做挡土桩。</w:t>
      </w:r>
    </w:p>
    <w:p>
      <w:pPr>
        <w:pStyle w:val="ListParagraph"/>
        <w:numPr>
          <w:ilvl w:val="0"/>
          <w:numId w:val="13"/>
        </w:numPr>
        <w:tabs>
          <w:tab w:val="left" w:pos="1000"/>
        </w:tabs>
        <w:spacing w:before="161" w:after="0" w:line="240" w:lineRule="auto"/>
        <w:ind w:left="1000" w:right="0" w:hanging="420"/>
        <w:jc w:val="left"/>
        <w:rPr>
          <w:sz w:val="24"/>
        </w:rPr>
      </w:pPr>
      <w:r>
        <w:rPr>
          <w:spacing w:val="32"/>
          <w:sz w:val="24"/>
        </w:rPr>
        <w:t>土方开挖注意事项</w:t>
      </w:r>
    </w:p>
    <w:p>
      <w:pPr>
        <w:pStyle w:val="BodyText"/>
        <w:spacing w:before="160" w:line="364" w:lineRule="auto"/>
        <w:ind w:left="580" w:right="1204"/>
      </w:pPr>
      <w:r>
        <w:rPr>
          <w:spacing w:val="19"/>
        </w:rPr>
        <w:t>(l</w:t>
      </w:r>
      <w:r>
        <w:rPr>
          <w:spacing w:val="31"/>
        </w:rPr>
        <w:t>)根据土方工程开挖深度和工程量的大小，选择机械和人工挖土或机械挖土</w:t>
      </w:r>
      <w:r>
        <w:rPr>
          <w:spacing w:val="22"/>
        </w:rPr>
        <w:t>方案。</w:t>
      </w:r>
    </w:p>
    <w:p>
      <w:pPr>
        <w:pStyle w:val="ListParagraph"/>
        <w:numPr>
          <w:ilvl w:val="0"/>
          <w:numId w:val="11"/>
        </w:numPr>
        <w:tabs>
          <w:tab w:val="left" w:pos="1000"/>
        </w:tabs>
        <w:spacing w:before="1" w:after="0" w:line="364" w:lineRule="auto"/>
        <w:ind w:left="580" w:right="1084" w:firstLine="0"/>
        <w:jc w:val="left"/>
        <w:rPr>
          <w:sz w:val="24"/>
        </w:rPr>
      </w:pPr>
      <w:r>
        <w:rPr>
          <w:spacing w:val="21"/>
          <w:sz w:val="24"/>
        </w:rPr>
        <w:t>如开挖的基坑(槽)比邻近建筑物基础深时，开挖应保持一定的距离和坡度，</w:t>
      </w:r>
      <w:r>
        <w:rPr>
          <w:spacing w:val="23"/>
          <w:sz w:val="24"/>
        </w:rPr>
        <w:t>以免在施工时影响邻近建筑物的稳定， 如不能满足要求， 应采取边坡支撑加</w:t>
      </w:r>
      <w:r>
        <w:rPr>
          <w:spacing w:val="24"/>
          <w:sz w:val="24"/>
        </w:rPr>
        <w:t>固措施， 并在施工中进行沉降和位移观测。</w:t>
      </w:r>
    </w:p>
    <w:p>
      <w:pPr>
        <w:pStyle w:val="ListParagraph"/>
        <w:numPr>
          <w:ilvl w:val="0"/>
          <w:numId w:val="11"/>
        </w:numPr>
        <w:tabs>
          <w:tab w:val="left" w:pos="1000"/>
        </w:tabs>
        <w:spacing w:before="2" w:after="0" w:line="364" w:lineRule="auto"/>
        <w:ind w:left="580" w:right="1204" w:firstLine="0"/>
        <w:jc w:val="left"/>
        <w:rPr>
          <w:sz w:val="24"/>
        </w:rPr>
      </w:pPr>
      <w:r>
        <w:rPr>
          <w:spacing w:val="13"/>
          <w:sz w:val="24"/>
        </w:rPr>
        <w:t>弃土应及时运出， 如需要临时堆土， 或留作回填土， 堆土坡脚至坑边距离</w:t>
      </w:r>
      <w:r>
        <w:rPr>
          <w:spacing w:val="29"/>
          <w:sz w:val="24"/>
        </w:rPr>
        <w:t>应按挖坑深度、边坡坡度和土的类别确定， 在边坡支护设计时应考虑堆土附</w:t>
      </w:r>
      <w:r>
        <w:rPr>
          <w:spacing w:val="28"/>
          <w:sz w:val="24"/>
        </w:rPr>
        <w:t>加侧压力。</w:t>
      </w:r>
    </w:p>
    <w:p>
      <w:pPr>
        <w:pStyle w:val="ListParagraph"/>
        <w:numPr>
          <w:ilvl w:val="0"/>
          <w:numId w:val="11"/>
        </w:numPr>
        <w:tabs>
          <w:tab w:val="left" w:pos="1000"/>
        </w:tabs>
        <w:spacing w:before="2" w:after="0" w:line="364" w:lineRule="auto"/>
        <w:ind w:left="580" w:right="1084" w:firstLine="0"/>
        <w:jc w:val="left"/>
        <w:rPr>
          <w:sz w:val="24"/>
        </w:rPr>
      </w:pPr>
      <w:r>
        <w:rPr>
          <w:spacing w:val="21"/>
          <w:sz w:val="24"/>
        </w:rPr>
        <w:t>为防止基坑底的土被扰动， 基坑挖好后要尽量减少暴露时间， 及时进行下</w:t>
      </w:r>
      <w:r>
        <w:rPr>
          <w:spacing w:val="25"/>
          <w:sz w:val="24"/>
        </w:rPr>
        <w:t xml:space="preserve">一道工序的施工。如不能立即进行下一道工序，要预留 </w:t>
      </w:r>
      <w:r>
        <w:rPr>
          <w:spacing w:val="19"/>
          <w:sz w:val="24"/>
        </w:rPr>
        <w:t>15—</w:t>
      </w:r>
      <w:r>
        <w:rPr>
          <w:spacing w:val="14"/>
          <w:sz w:val="24"/>
        </w:rPr>
        <w:t>30cm</w:t>
      </w:r>
      <w:r>
        <w:rPr>
          <w:spacing w:val="20"/>
          <w:sz w:val="24"/>
        </w:rPr>
        <w:t xml:space="preserve"> 厚覆盖土层，</w:t>
      </w:r>
      <w:r>
        <w:rPr>
          <w:spacing w:val="29"/>
          <w:sz w:val="24"/>
        </w:rPr>
        <w:t>待基础施工时再挖去。 基坑开挖要注意预防基坑被浸泡，引起坍塌和滑坡事</w:t>
      </w:r>
    </w:p>
    <w:p>
      <w:pPr>
        <w:spacing w:after="0" w:line="364" w:lineRule="auto"/>
        <w:jc w:val="left"/>
        <w:rPr>
          <w:sz w:val="24"/>
        </w:rPr>
        <w:sectPr>
          <w:headerReference w:type="default" r:id="rId21"/>
          <w:footerReference w:type="default" r:id="rId22"/>
          <w:pgSz w:w="11910" w:h="16840"/>
          <w:pgMar w:top="1420" w:right="120" w:bottom="1180" w:left="680" w:header="884" w:footer="991"/>
          <w:pgNumType w:start="9"/>
          <w:cols w:space="708"/>
        </w:sectPr>
      </w:pPr>
    </w:p>
    <w:p>
      <w:pPr>
        <w:pStyle w:val="BodyText"/>
        <w:spacing w:before="102"/>
        <w:ind w:left="580"/>
      </w:pPr>
      <w:r>
        <w:rPr>
          <w:spacing w:val="37"/>
        </w:rPr>
        <w:t>故的发生。为此在制定土方施工方案时应注意采取排水措施。</w:t>
      </w:r>
    </w:p>
    <w:p>
      <w:pPr>
        <w:pStyle w:val="ListParagraph"/>
        <w:numPr>
          <w:ilvl w:val="0"/>
          <w:numId w:val="13"/>
        </w:numPr>
        <w:tabs>
          <w:tab w:val="left" w:pos="1000"/>
        </w:tabs>
        <w:spacing w:before="160" w:after="0" w:line="240" w:lineRule="auto"/>
        <w:ind w:left="1000" w:right="0" w:hanging="420"/>
        <w:jc w:val="left"/>
        <w:rPr>
          <w:sz w:val="24"/>
        </w:rPr>
      </w:pPr>
      <w:r>
        <w:rPr>
          <w:spacing w:val="26"/>
          <w:sz w:val="24"/>
        </w:rPr>
        <w:t>安全措施</w:t>
      </w:r>
    </w:p>
    <w:p>
      <w:pPr>
        <w:pStyle w:val="BodyText"/>
        <w:spacing w:before="161" w:line="364" w:lineRule="auto"/>
        <w:ind w:left="580" w:right="1084"/>
      </w:pPr>
      <w:r>
        <w:rPr>
          <w:spacing w:val="19"/>
        </w:rPr>
        <w:t>(l</w:t>
      </w:r>
      <w:r>
        <w:rPr>
          <w:spacing w:val="24"/>
        </w:rPr>
        <w:t>)在施工组织设计中，要有单项土方工程施工方案。对施工准备、开挖方法、</w:t>
      </w:r>
      <w:r>
        <w:rPr>
          <w:spacing w:val="30"/>
        </w:rPr>
        <w:t>放坡、 排水，边坡支护应根据有关规范要求进行设计，边坡支护要有设计计</w:t>
      </w:r>
      <w:r>
        <w:rPr>
          <w:spacing w:val="22"/>
        </w:rPr>
        <w:t>算书。</w:t>
      </w:r>
    </w:p>
    <w:p>
      <w:pPr>
        <w:pStyle w:val="ListParagraph"/>
        <w:numPr>
          <w:ilvl w:val="0"/>
          <w:numId w:val="10"/>
        </w:numPr>
        <w:tabs>
          <w:tab w:val="left" w:pos="1000"/>
        </w:tabs>
        <w:spacing w:before="2" w:after="0" w:line="364" w:lineRule="auto"/>
        <w:ind w:left="580" w:right="1204" w:firstLine="0"/>
        <w:jc w:val="both"/>
        <w:rPr>
          <w:sz w:val="24"/>
        </w:rPr>
      </w:pPr>
      <w:r>
        <w:rPr>
          <w:spacing w:val="16"/>
          <w:sz w:val="24"/>
        </w:rPr>
        <w:t xml:space="preserve">人工开挖基坑时， 操作人员之间要保持安全距离， 一般大于 </w:t>
      </w:r>
      <w:r>
        <w:rPr>
          <w:sz w:val="24"/>
        </w:rPr>
        <w:t>2</w:t>
      </w:r>
      <w:r>
        <w:rPr>
          <w:spacing w:val="-15"/>
          <w:sz w:val="24"/>
        </w:rPr>
        <w:t xml:space="preserve">． </w:t>
      </w:r>
      <w:r>
        <w:rPr>
          <w:spacing w:val="13"/>
          <w:sz w:val="24"/>
        </w:rPr>
        <w:t>5m</w:t>
      </w:r>
      <w:r>
        <w:rPr>
          <w:spacing w:val="3"/>
          <w:sz w:val="24"/>
        </w:rPr>
        <w:t>； 多台</w:t>
      </w:r>
      <w:r>
        <w:rPr>
          <w:spacing w:val="27"/>
          <w:sz w:val="24"/>
        </w:rPr>
        <w:t xml:space="preserve">机械开挖时，挖土间距大干 </w:t>
      </w:r>
      <w:r>
        <w:rPr>
          <w:spacing w:val="18"/>
          <w:sz w:val="24"/>
        </w:rPr>
        <w:t>10m</w:t>
      </w:r>
      <w:r>
        <w:rPr>
          <w:spacing w:val="29"/>
          <w:sz w:val="24"/>
        </w:rPr>
        <w:t>，挖土要自上而下，逐层进行，严禁先挖坡脚</w:t>
      </w:r>
      <w:r>
        <w:rPr>
          <w:spacing w:val="30"/>
          <w:sz w:val="24"/>
        </w:rPr>
        <w:t>的危险作业。</w:t>
      </w:r>
    </w:p>
    <w:p>
      <w:pPr>
        <w:pStyle w:val="ListParagraph"/>
        <w:numPr>
          <w:ilvl w:val="0"/>
          <w:numId w:val="10"/>
        </w:numPr>
        <w:tabs>
          <w:tab w:val="left" w:pos="1000"/>
        </w:tabs>
        <w:spacing w:before="1" w:after="0" w:line="240" w:lineRule="auto"/>
        <w:ind w:left="1000" w:right="0" w:hanging="420"/>
        <w:jc w:val="left"/>
        <w:rPr>
          <w:sz w:val="24"/>
        </w:rPr>
      </w:pPr>
      <w:r>
        <w:rPr>
          <w:spacing w:val="29"/>
          <w:sz w:val="24"/>
        </w:rPr>
        <w:t>挖土方前对周围环境要认真检查，不能在危险岩石或建筑物下面进行作业。</w:t>
      </w:r>
    </w:p>
    <w:p>
      <w:pPr>
        <w:pStyle w:val="ListParagraph"/>
        <w:numPr>
          <w:ilvl w:val="0"/>
          <w:numId w:val="10"/>
        </w:numPr>
        <w:tabs>
          <w:tab w:val="left" w:pos="1000"/>
        </w:tabs>
        <w:spacing w:before="161" w:after="0" w:line="364" w:lineRule="auto"/>
        <w:ind w:left="580" w:right="1204" w:firstLine="0"/>
        <w:jc w:val="left"/>
        <w:rPr>
          <w:sz w:val="24"/>
        </w:rPr>
      </w:pPr>
      <w:r>
        <w:rPr>
          <w:spacing w:val="21"/>
          <w:sz w:val="24"/>
        </w:rPr>
        <w:t>基坑开挖应严格按要求放坡， 操作时随时注意边坡的稳定情况， 发现问题</w:t>
      </w:r>
      <w:r>
        <w:rPr>
          <w:spacing w:val="32"/>
          <w:sz w:val="24"/>
        </w:rPr>
        <w:t>及时加固处理。</w:t>
      </w:r>
    </w:p>
    <w:p>
      <w:pPr>
        <w:pStyle w:val="ListParagraph"/>
        <w:numPr>
          <w:ilvl w:val="0"/>
          <w:numId w:val="10"/>
        </w:numPr>
        <w:tabs>
          <w:tab w:val="left" w:pos="1000"/>
        </w:tabs>
        <w:spacing w:before="1" w:after="0" w:line="364" w:lineRule="auto"/>
        <w:ind w:left="580" w:right="1204" w:firstLine="0"/>
        <w:jc w:val="left"/>
        <w:rPr>
          <w:sz w:val="24"/>
        </w:rPr>
      </w:pPr>
      <w:r>
        <w:rPr>
          <w:spacing w:val="19"/>
          <w:sz w:val="24"/>
        </w:rPr>
        <w:t>机械挖土， 多台同时开挖土方时， 应验算边坡的稳定。根据规定和验算确</w:t>
      </w:r>
      <w:r>
        <w:rPr>
          <w:spacing w:val="35"/>
          <w:sz w:val="24"/>
        </w:rPr>
        <w:t>定挖土机械离边坡的安全距离。</w:t>
      </w:r>
    </w:p>
    <w:p>
      <w:pPr>
        <w:pStyle w:val="ListParagraph"/>
        <w:numPr>
          <w:ilvl w:val="0"/>
          <w:numId w:val="10"/>
        </w:numPr>
        <w:tabs>
          <w:tab w:val="left" w:pos="1000"/>
        </w:tabs>
        <w:spacing w:before="1" w:after="0" w:line="240" w:lineRule="auto"/>
        <w:ind w:left="1000" w:right="0" w:hanging="420"/>
        <w:jc w:val="left"/>
        <w:rPr>
          <w:sz w:val="24"/>
        </w:rPr>
      </w:pPr>
      <w:r>
        <w:rPr>
          <w:spacing w:val="25"/>
          <w:sz w:val="24"/>
        </w:rPr>
        <w:t>深基坑四周设防护栏杆， 人员上下要有专用爬梯。</w:t>
      </w:r>
    </w:p>
    <w:p>
      <w:pPr>
        <w:pStyle w:val="ListParagraph"/>
        <w:numPr>
          <w:ilvl w:val="0"/>
          <w:numId w:val="10"/>
        </w:numPr>
        <w:tabs>
          <w:tab w:val="left" w:pos="1000"/>
        </w:tabs>
        <w:spacing w:before="161" w:after="0" w:line="240" w:lineRule="auto"/>
        <w:ind w:left="1000" w:right="0" w:hanging="420"/>
        <w:jc w:val="left"/>
        <w:rPr>
          <w:sz w:val="24"/>
        </w:rPr>
      </w:pPr>
      <w:r>
        <w:rPr>
          <w:spacing w:val="36"/>
          <w:sz w:val="24"/>
        </w:rPr>
        <w:t>运土道路的坡度、转弯半径要符合有关安全规定。</w:t>
      </w:r>
    </w:p>
    <w:p>
      <w:pPr>
        <w:pStyle w:val="BodyText"/>
        <w:spacing w:before="160"/>
        <w:ind w:left="580"/>
      </w:pPr>
      <w:r>
        <w:t>（</w:t>
      </w:r>
      <w:r>
        <w:rPr>
          <w:spacing w:val="-21"/>
        </w:rPr>
        <w:t xml:space="preserve"> 二</w:t>
      </w:r>
      <w:r>
        <w:rPr>
          <w:spacing w:val="-80"/>
        </w:rPr>
        <w:t>）</w:t>
      </w:r>
      <w:r>
        <w:rPr>
          <w:spacing w:val="29"/>
        </w:rPr>
        <w:t>、模扳施工</w:t>
      </w:r>
    </w:p>
    <w:p>
      <w:pPr>
        <w:pStyle w:val="BodyText"/>
        <w:spacing w:before="161"/>
        <w:ind w:left="580"/>
      </w:pPr>
      <w:r>
        <w:rPr>
          <w:spacing w:val="19"/>
        </w:rPr>
        <w:t>1</w:t>
      </w:r>
      <w:r>
        <w:rPr>
          <w:spacing w:val="35"/>
        </w:rPr>
        <w:t>、模板施工前的安全技术准备工作</w:t>
      </w:r>
    </w:p>
    <w:p>
      <w:pPr>
        <w:pStyle w:val="BodyText"/>
        <w:spacing w:before="160" w:line="364" w:lineRule="auto"/>
        <w:ind w:left="580" w:right="1204" w:firstLine="240"/>
      </w:pPr>
      <w:r>
        <w:rPr>
          <w:spacing w:val="29"/>
        </w:rPr>
        <w:t>模板施工前，要认真审查施工组织设计中关于模板的设计资料，要审查下列</w:t>
      </w:r>
      <w:r>
        <w:rPr>
          <w:spacing w:val="22"/>
        </w:rPr>
        <w:t>项目：</w:t>
      </w:r>
    </w:p>
    <w:p>
      <w:pPr>
        <w:pStyle w:val="BodyText"/>
        <w:spacing w:before="2" w:line="364" w:lineRule="auto"/>
        <w:ind w:left="580" w:right="1084"/>
      </w:pPr>
      <w:r>
        <w:rPr>
          <w:spacing w:val="19"/>
        </w:rPr>
        <w:t>(l</w:t>
      </w:r>
      <w:r>
        <w:rPr>
          <w:spacing w:val="27"/>
        </w:rPr>
        <w:t>)模板结构设计计算书的荷载取值，是否符合工程实际，计算方法是否正确，</w:t>
      </w:r>
      <w:r>
        <w:rPr>
          <w:spacing w:val="33"/>
        </w:rPr>
        <w:t>审核手续是否齐全。</w:t>
      </w:r>
    </w:p>
    <w:p>
      <w:pPr>
        <w:pStyle w:val="BodyText"/>
        <w:spacing w:before="1" w:line="364" w:lineRule="auto"/>
        <w:ind w:left="580" w:right="1324"/>
      </w:pPr>
      <w:r>
        <w:t>（</w:t>
      </w:r>
      <w:r>
        <w:rPr>
          <w:spacing w:val="-80"/>
        </w:rPr>
        <w:t xml:space="preserve"> </w:t>
      </w:r>
      <w:r>
        <w:rPr>
          <w:spacing w:val="19"/>
        </w:rPr>
        <w:t>2)</w:t>
      </w:r>
      <w:r>
        <w:rPr>
          <w:spacing w:val="37"/>
        </w:rPr>
        <w:t>模板设计主要应包括支撑系统自身及支撑模板的楼、地面承受能力的强</w:t>
      </w:r>
      <w:r>
        <w:rPr>
          <w:spacing w:val="22"/>
        </w:rPr>
        <w:t>度等。</w:t>
      </w:r>
    </w:p>
    <w:p>
      <w:pPr>
        <w:pStyle w:val="ListParagraph"/>
        <w:numPr>
          <w:ilvl w:val="0"/>
          <w:numId w:val="9"/>
        </w:numPr>
        <w:tabs>
          <w:tab w:val="left" w:pos="1000"/>
        </w:tabs>
        <w:spacing w:before="1" w:after="0" w:line="364" w:lineRule="auto"/>
        <w:ind w:left="580" w:right="1024" w:firstLine="0"/>
        <w:jc w:val="left"/>
        <w:rPr>
          <w:sz w:val="24"/>
        </w:rPr>
      </w:pPr>
      <w:r>
        <w:rPr>
          <w:spacing w:val="30"/>
          <w:sz w:val="24"/>
        </w:rPr>
        <w:t>模板设计图包括结构构件大样及支撑体系，连接件等的设计是否安全合理，</w:t>
      </w:r>
      <w:r>
        <w:rPr>
          <w:spacing w:val="32"/>
          <w:sz w:val="24"/>
        </w:rPr>
        <w:t>图纸是否齐全。</w:t>
      </w:r>
    </w:p>
    <w:p>
      <w:pPr>
        <w:pStyle w:val="ListParagraph"/>
        <w:numPr>
          <w:ilvl w:val="0"/>
          <w:numId w:val="9"/>
        </w:numPr>
        <w:tabs>
          <w:tab w:val="left" w:pos="1000"/>
        </w:tabs>
        <w:spacing w:before="1" w:after="0" w:line="240" w:lineRule="auto"/>
        <w:ind w:left="1000" w:right="0" w:hanging="420"/>
        <w:jc w:val="left"/>
        <w:rPr>
          <w:sz w:val="24"/>
        </w:rPr>
      </w:pPr>
      <w:r>
        <w:rPr>
          <w:spacing w:val="35"/>
          <w:sz w:val="24"/>
        </w:rPr>
        <w:t>模板设计中安全措施是否周全。</w:t>
      </w:r>
    </w:p>
    <w:p>
      <w:pPr>
        <w:pStyle w:val="BodyText"/>
        <w:spacing w:before="161" w:line="364" w:lineRule="auto"/>
        <w:ind w:left="580" w:right="1204" w:firstLine="240"/>
      </w:pPr>
      <w:r>
        <w:rPr>
          <w:spacing w:val="30"/>
        </w:rPr>
        <w:t>当模板构件进场后，要认真检查构件和材料是否符合设计要求，例如钢模板</w:t>
      </w:r>
      <w:r>
        <w:rPr>
          <w:spacing w:val="26"/>
        </w:rPr>
        <w:t>构件是否有严重锈蚀或变形， 构件的焊缝或连接螺栓是否符合要求。木料的</w:t>
      </w:r>
      <w:r>
        <w:rPr>
          <w:spacing w:val="31"/>
        </w:rPr>
        <w:t>材质以及木构件拼接节头是否牢固等。自己加工的模板构件， 特别是承重钢</w:t>
      </w:r>
    </w:p>
    <w:p>
      <w:pPr>
        <w:spacing w:after="0" w:line="364" w:lineRule="auto"/>
        <w:sectPr>
          <w:headerReference w:type="default" r:id="rId23"/>
          <w:footerReference w:type="default" r:id="rId24"/>
          <w:pgSz w:w="11910" w:h="16840"/>
          <w:pgMar w:top="1420" w:right="120" w:bottom="1180" w:left="680" w:header="884" w:footer="991"/>
          <w:pgNumType w:start="10"/>
          <w:cols w:space="708"/>
        </w:sectPr>
      </w:pPr>
    </w:p>
    <w:p>
      <w:pPr>
        <w:pStyle w:val="BodyText"/>
        <w:spacing w:before="102" w:line="364" w:lineRule="auto"/>
        <w:ind w:left="580" w:right="1084"/>
      </w:pPr>
      <w:r>
        <w:rPr>
          <w:spacing w:val="37"/>
        </w:rPr>
        <w:t>构件其检查验收手续是否齐全。同时要排除模板工程施工中现场的不安全因</w:t>
      </w:r>
      <w:r>
        <w:rPr>
          <w:spacing w:val="19"/>
        </w:rPr>
        <w:t>素， 要保证运输道路畅通， 做到现场防护设施齐全。地面上的支模场地必须</w:t>
      </w:r>
      <w:r>
        <w:rPr>
          <w:spacing w:val="24"/>
        </w:rPr>
        <w:t>平整夯实。要做好夜间施工照明的准备工作， 电动工具的电源线， 绝缘、漏</w:t>
      </w:r>
      <w:r>
        <w:rPr>
          <w:spacing w:val="25"/>
        </w:rPr>
        <w:t>电保护装置要齐全， 并做好模板垂直运输的安全施工准备工作。现场施工负</w:t>
      </w:r>
      <w:r>
        <w:rPr>
          <w:spacing w:val="35"/>
        </w:rPr>
        <w:t>责人在模板施工前要认真向有关人员作安全技术交底，特别是新的模板工艺，</w:t>
      </w:r>
      <w:r>
        <w:rPr>
          <w:spacing w:val="24"/>
        </w:rPr>
        <w:t>必须通过试验， 并培训操作人员。</w:t>
      </w:r>
    </w:p>
    <w:p>
      <w:pPr>
        <w:pStyle w:val="BodyText"/>
        <w:spacing w:before="3"/>
        <w:ind w:left="580"/>
      </w:pPr>
      <w:r>
        <w:rPr>
          <w:spacing w:val="19"/>
        </w:rPr>
        <w:t>2</w:t>
      </w:r>
      <w:r>
        <w:rPr>
          <w:spacing w:val="35"/>
        </w:rPr>
        <w:t>、保证模板工程施工安全的基本要求</w:t>
      </w:r>
    </w:p>
    <w:p>
      <w:pPr>
        <w:pStyle w:val="BodyText"/>
        <w:spacing w:before="161" w:line="364" w:lineRule="auto"/>
        <w:ind w:left="580" w:right="1045" w:firstLine="240"/>
      </w:pPr>
      <w:r>
        <w:rPr>
          <w:spacing w:val="26"/>
        </w:rPr>
        <w:t xml:space="preserve">模板工程作业高度在 </w:t>
      </w:r>
      <w:r>
        <w:rPr>
          <w:spacing w:val="9"/>
        </w:rPr>
        <w:t>2m</w:t>
      </w:r>
      <w:r>
        <w:rPr>
          <w:spacing w:val="-34"/>
        </w:rPr>
        <w:t xml:space="preserve"> 和 </w:t>
      </w:r>
      <w:r>
        <w:rPr>
          <w:spacing w:val="10"/>
        </w:rPr>
        <w:t>2m</w:t>
      </w:r>
      <w:r>
        <w:rPr>
          <w:spacing w:val="21"/>
        </w:rPr>
        <w:t xml:space="preserve"> 以上时，要根据高处作业安全技术规范的要求，</w:t>
      </w:r>
      <w:r>
        <w:rPr>
          <w:spacing w:val="22"/>
        </w:rPr>
        <w:t xml:space="preserve">进行操作和防护， 要有可靠安全的操作架子， </w:t>
      </w:r>
      <w:r>
        <w:rPr>
          <w:spacing w:val="10"/>
        </w:rPr>
        <w:t>4m</w:t>
      </w:r>
      <w:r>
        <w:rPr>
          <w:spacing w:val="31"/>
        </w:rPr>
        <w:t xml:space="preserve"> 以上或二层及二层以上周围应设安全网、防护栏杆。临街及交通要道地区施工应设警示牌， 避免伤及行</w:t>
      </w:r>
      <w:r>
        <w:t xml:space="preserve"> </w:t>
      </w:r>
      <w:r>
        <w:rPr>
          <w:spacing w:val="22"/>
        </w:rPr>
        <w:t>人。操作人员上下通行， 必须通过马道、乘施工电梯或上人扶梯等， 不许攀</w:t>
      </w:r>
      <w:r>
        <w:t xml:space="preserve"> </w:t>
      </w:r>
      <w:r>
        <w:rPr>
          <w:spacing w:val="20"/>
        </w:rPr>
        <w:t>登模板或脚手架上下， 不许在墙顶， 独立梁及其它狭窄而无防护栏的模板面</w:t>
      </w:r>
      <w:r>
        <w:t xml:space="preserve"> </w:t>
      </w:r>
      <w:r>
        <w:rPr>
          <w:spacing w:val="27"/>
        </w:rPr>
        <w:t>上行走。高处作业架子上、平台上一般不宜堆放模板料， 必须短时间堆放时，</w:t>
      </w:r>
      <w:r>
        <w:rPr>
          <w:spacing w:val="20"/>
        </w:rPr>
        <w:t>一定要码平稳， 不能堆得过高， 必须控制在架子或平台的允许荷载范围内。</w:t>
      </w:r>
      <w:r>
        <w:t xml:space="preserve"> </w:t>
      </w:r>
      <w:r>
        <w:rPr>
          <w:spacing w:val="26"/>
        </w:rPr>
        <w:t>高处支摸工人所用工具不用时要放在工具袋内， 不能随意将工具， 模板零件</w:t>
      </w:r>
      <w:r>
        <w:t xml:space="preserve"> </w:t>
      </w:r>
      <w:r>
        <w:rPr>
          <w:spacing w:val="24"/>
        </w:rPr>
        <w:t>放在脚手架上， 以免坠落伤人。</w:t>
      </w:r>
    </w:p>
    <w:p>
      <w:pPr>
        <w:pStyle w:val="BodyText"/>
        <w:spacing w:before="5" w:line="364" w:lineRule="auto"/>
        <w:ind w:left="580" w:right="1204" w:firstLine="240"/>
      </w:pPr>
      <w:r>
        <w:rPr>
          <w:spacing w:val="29"/>
        </w:rPr>
        <w:t>冬季施工时，操作地点和人行通道的冰雪要在作业前清除掉，避免人员滑倒</w:t>
      </w:r>
      <w:r>
        <w:rPr>
          <w:spacing w:val="26"/>
        </w:rPr>
        <w:t>摔伤。五级以上大风天气， 不宜进行大块模板拼装和吊装作业。</w:t>
      </w:r>
    </w:p>
    <w:p>
      <w:pPr>
        <w:pStyle w:val="BodyText"/>
        <w:spacing w:before="2" w:line="364" w:lineRule="auto"/>
        <w:ind w:left="580" w:right="1084" w:firstLine="240"/>
      </w:pPr>
      <w:r>
        <w:rPr>
          <w:spacing w:val="22"/>
        </w:rPr>
        <w:t>注意防火：木料及易燃保温材料要远窝火源堆放， 采用电热养护的摸板要有</w:t>
      </w:r>
      <w:r>
        <w:rPr>
          <w:spacing w:val="24"/>
        </w:rPr>
        <w:t>可靠的绝缘、漏电和接地保护装置，按电气安全操作规范要求做。 雨季施工，</w:t>
      </w:r>
      <w:r>
        <w:rPr>
          <w:spacing w:val="30"/>
        </w:rPr>
        <w:t xml:space="preserve">高耸结构的模板作业，要安装避雷设施，其接地电阻不得大于 </w:t>
      </w:r>
      <w:r>
        <w:rPr>
          <w:spacing w:val="9"/>
        </w:rPr>
        <w:t>4Ω</w:t>
      </w:r>
      <w:r>
        <w:rPr>
          <w:spacing w:val="10"/>
        </w:rPr>
        <w:t xml:space="preserve"> ，沿海地区</w:t>
      </w:r>
      <w:r>
        <w:rPr>
          <w:spacing w:val="31"/>
        </w:rPr>
        <w:t>要考虑抗风和加固措施。在架空输电线路下面进行模板施工， 如果不能停电</w:t>
      </w:r>
      <w:r>
        <w:rPr>
          <w:spacing w:val="23"/>
        </w:rPr>
        <w:t>作业， 应采取隔离防护措施。</w:t>
      </w:r>
    </w:p>
    <w:p>
      <w:pPr>
        <w:pStyle w:val="BodyText"/>
        <w:spacing w:before="3" w:line="364" w:lineRule="auto"/>
        <w:ind w:left="580" w:right="1084" w:firstLine="240"/>
      </w:pPr>
      <w:r>
        <w:rPr>
          <w:spacing w:val="19"/>
        </w:rPr>
        <w:t xml:space="preserve">吊运模板时， 起重机的任何部位和被吊的物件边缘， 与 </w:t>
      </w:r>
      <w:r>
        <w:rPr>
          <w:spacing w:val="14"/>
        </w:rPr>
        <w:t>10kV</w:t>
      </w:r>
      <w:r>
        <w:rPr>
          <w:spacing w:val="28"/>
        </w:rPr>
        <w:t xml:space="preserve"> 以下架空线路</w:t>
      </w:r>
      <w:r>
        <w:rPr>
          <w:spacing w:val="26"/>
        </w:rPr>
        <w:t xml:space="preserve">边缘，最小水平距离不得小于 </w:t>
      </w:r>
      <w:r>
        <w:rPr>
          <w:spacing w:val="19"/>
        </w:rPr>
        <w:t>2m</w:t>
      </w:r>
      <w:r>
        <w:rPr>
          <w:spacing w:val="28"/>
        </w:rPr>
        <w:t>。如果达不到这个要求，必须采取防护措施，</w:t>
      </w:r>
      <w:r>
        <w:rPr>
          <w:spacing w:val="27"/>
        </w:rPr>
        <w:t>增设屏障、遮栏、围护或保护网， 并悬挂醒目的警告标志牌。在架设防护设</w:t>
      </w:r>
      <w:r>
        <w:rPr>
          <w:spacing w:val="25"/>
        </w:rPr>
        <w:t>施时， 应有电气工程技术人员或专职安全人员负责监护。如果防护设施无法</w:t>
      </w:r>
      <w:r>
        <w:rPr>
          <w:spacing w:val="16"/>
        </w:rPr>
        <w:t>实现时， 必须与有关部门协商， 采取停电、迁移外电线路， 否则不得施工。</w:t>
      </w:r>
    </w:p>
    <w:p>
      <w:pPr>
        <w:pStyle w:val="BodyText"/>
        <w:spacing w:before="3"/>
        <w:ind w:left="820"/>
      </w:pPr>
      <w:r>
        <w:rPr>
          <w:spacing w:val="20"/>
        </w:rPr>
        <w:t xml:space="preserve">夜间施工：必须有足够的照明， 照明电源电压不得超过 </w:t>
      </w:r>
      <w:r>
        <w:rPr>
          <w:spacing w:val="14"/>
        </w:rPr>
        <w:t>36V， 在潮湿地点或</w:t>
      </w:r>
    </w:p>
    <w:p>
      <w:pPr>
        <w:spacing w:after="0"/>
        <w:sectPr>
          <w:headerReference w:type="default" r:id="rId25"/>
          <w:footerReference w:type="default" r:id="rId26"/>
          <w:pgSz w:w="11910" w:h="16840"/>
          <w:pgMar w:top="1420" w:right="120" w:bottom="1180" w:left="680" w:header="884" w:footer="991"/>
          <w:pgNumType w:start="11"/>
          <w:cols w:space="708"/>
        </w:sectPr>
      </w:pPr>
    </w:p>
    <w:p>
      <w:pPr>
        <w:pStyle w:val="BodyText"/>
        <w:spacing w:before="102" w:line="364" w:lineRule="auto"/>
        <w:ind w:left="580" w:right="1204"/>
      </w:pPr>
      <w:r>
        <w:rPr>
          <w:spacing w:val="29"/>
        </w:rPr>
        <w:t xml:space="preserve">易触及带电体场所，照明电源电压不得超过 </w:t>
      </w:r>
      <w:r>
        <w:rPr>
          <w:spacing w:val="19"/>
        </w:rPr>
        <w:t>24V</w:t>
      </w:r>
      <w:r>
        <w:rPr>
          <w:spacing w:val="28"/>
        </w:rPr>
        <w:t>。各种电源线，不允许直接固</w:t>
      </w:r>
      <w:r>
        <w:rPr>
          <w:spacing w:val="32"/>
        </w:rPr>
        <w:t>定在钢摸板上。</w:t>
      </w:r>
    </w:p>
    <w:p>
      <w:pPr>
        <w:pStyle w:val="BodyText"/>
        <w:spacing w:before="1" w:line="364" w:lineRule="auto"/>
        <w:ind w:left="580" w:right="1204" w:firstLine="240"/>
      </w:pPr>
      <w:r>
        <w:rPr>
          <w:spacing w:val="32"/>
        </w:rPr>
        <w:t>模板支撑不能固定在脚手架或门窗上，避免发生倒塌或模板位移。液压滑动</w:t>
      </w:r>
      <w:r>
        <w:rPr>
          <w:spacing w:val="36"/>
        </w:rPr>
        <w:t>模板及其它特殊模板应按相应的专门安全技术规程进行施工准备和作业。</w:t>
      </w:r>
    </w:p>
    <w:p>
      <w:pPr>
        <w:pStyle w:val="BodyText"/>
        <w:spacing w:before="1"/>
        <w:ind w:left="580"/>
      </w:pPr>
      <w:r>
        <w:t>（</w:t>
      </w:r>
      <w:r>
        <w:rPr>
          <w:spacing w:val="-21"/>
        </w:rPr>
        <w:t xml:space="preserve"> 三</w:t>
      </w:r>
      <w:r>
        <w:rPr>
          <w:spacing w:val="-80"/>
        </w:rPr>
        <w:t>）</w:t>
      </w:r>
      <w:r>
        <w:rPr>
          <w:spacing w:val="29"/>
        </w:rPr>
        <w:t>、高处作业</w:t>
      </w:r>
    </w:p>
    <w:p>
      <w:pPr>
        <w:pStyle w:val="BodyText"/>
        <w:spacing w:before="161" w:line="364" w:lineRule="auto"/>
        <w:ind w:left="580" w:right="1084" w:firstLine="240"/>
      </w:pPr>
      <w:r>
        <w:rPr>
          <w:spacing w:val="25"/>
        </w:rPr>
        <w:t>高处作业， 是从相对高度的概念出发的。根据国家标准点《高处作业分级》</w:t>
      </w:r>
      <w:r>
        <w:t xml:space="preserve"> </w:t>
      </w:r>
      <w:r>
        <w:rPr>
          <w:spacing w:val="19"/>
        </w:rPr>
        <w:t>GB3608—</w:t>
      </w:r>
      <w:r>
        <w:rPr>
          <w:spacing w:val="10"/>
        </w:rPr>
        <w:t>83</w:t>
      </w:r>
      <w:r>
        <w:rPr>
          <w:spacing w:val="18"/>
        </w:rPr>
        <w:t xml:space="preserve"> 的规定， 见在有可能坠落的高处进行施工作业， 当坠落高度距离</w:t>
      </w:r>
      <w:r>
        <w:rPr>
          <w:spacing w:val="23"/>
        </w:rPr>
        <w:t xml:space="preserve">基准面在 </w:t>
      </w:r>
      <w:r>
        <w:rPr>
          <w:spacing w:val="10"/>
        </w:rPr>
        <w:t>2m</w:t>
      </w:r>
      <w:r>
        <w:t xml:space="preserve"> 及 </w:t>
      </w:r>
      <w:r>
        <w:rPr>
          <w:spacing w:val="9"/>
        </w:rPr>
        <w:t>2m</w:t>
      </w:r>
      <w:r>
        <w:rPr>
          <w:spacing w:val="18"/>
        </w:rPr>
        <w:t xml:space="preserve"> 以上时， 该项作业即称为高处作业。所谓基准面， 即坠落</w:t>
      </w:r>
      <w:r>
        <w:rPr>
          <w:spacing w:val="12"/>
        </w:rPr>
        <w:t>下去的底面， 如地面， 楼面， 楼梯平台、相邻较低建筑物的屋面， 基坑的底</w:t>
      </w:r>
      <w:r>
        <w:rPr>
          <w:spacing w:val="27"/>
        </w:rPr>
        <w:t>面、脚手架的通道板等等。底面可能高低不平， 所以对基准面的规定为， 发</w:t>
      </w:r>
      <w:r>
        <w:rPr>
          <w:spacing w:val="31"/>
        </w:rPr>
        <w:t>生坠落通过最低着落点的水平面。这最低坠落着落点指的是， 在坠落中可能</w:t>
      </w:r>
      <w:r>
        <w:rPr>
          <w:spacing w:val="23"/>
        </w:rPr>
        <w:t>跌落到的最低点。由于牵涉到人身安全， 因此， 作出这种严格的规定是非常</w:t>
      </w:r>
      <w:r>
        <w:rPr>
          <w:spacing w:val="7"/>
        </w:rPr>
        <w:t>必要的。 与此相反， 如果处于四周封闭状态， 那么， 即使在高空， 例如在高</w:t>
      </w:r>
      <w:r>
        <w:rPr>
          <w:spacing w:val="23"/>
        </w:rPr>
        <w:t>层建筑的居室内作业， 也不能算为高处作业。按照上述的定义， 建筑施工中</w:t>
      </w:r>
      <w:r>
        <w:t xml:space="preserve"> 有 </w:t>
      </w:r>
      <w:r>
        <w:rPr>
          <w:spacing w:val="13"/>
        </w:rPr>
        <w:t>90</w:t>
      </w:r>
      <w:r>
        <w:rPr>
          <w:spacing w:val="17"/>
        </w:rPr>
        <w:t>％ 左右的作业， 都称为高处作业。这些高处作业基本上分为三大类， 即</w:t>
      </w:r>
      <w:r>
        <w:rPr>
          <w:spacing w:val="31"/>
        </w:rPr>
        <w:t>临边作业、洞口作业及独立悬空作业。进行各项高处作业， 都必须做好必要</w:t>
      </w:r>
      <w:r>
        <w:rPr>
          <w:spacing w:val="34"/>
        </w:rPr>
        <w:t>的安全防护技术措施。</w:t>
      </w:r>
    </w:p>
    <w:p>
      <w:pPr>
        <w:pStyle w:val="BodyText"/>
        <w:spacing w:before="7"/>
        <w:ind w:left="580"/>
      </w:pPr>
      <w:r>
        <w:rPr>
          <w:spacing w:val="19"/>
        </w:rPr>
        <w:t>1</w:t>
      </w:r>
      <w:r>
        <w:rPr>
          <w:spacing w:val="29"/>
        </w:rPr>
        <w:t>、临边作业</w:t>
      </w:r>
    </w:p>
    <w:p>
      <w:pPr>
        <w:pStyle w:val="BodyText"/>
        <w:spacing w:before="160" w:line="364" w:lineRule="auto"/>
        <w:ind w:left="580" w:right="1183" w:firstLine="240"/>
        <w:jc w:val="both"/>
      </w:pPr>
      <w:r>
        <w:rPr>
          <w:spacing w:val="31"/>
        </w:rPr>
        <w:t>施工现场内任何场所，当工作面的边沿并无围护设施，使人与物有各种坠落</w:t>
      </w:r>
      <w:r>
        <w:rPr>
          <w:spacing w:val="23"/>
        </w:rPr>
        <w:t xml:space="preserve">可能的高处作业，属于临边作业。若围护设施如窗台、墙等，其高度低于 </w:t>
      </w:r>
      <w:r>
        <w:rPr>
          <w:spacing w:val="14"/>
        </w:rPr>
        <w:t>80cm</w:t>
      </w:r>
      <w:r>
        <w:rPr>
          <w:spacing w:val="25"/>
        </w:rPr>
        <w:t>时， 近旁的作业亦属临边作业。包括屋面边、楼板边、阳台边、基坑边等。</w:t>
      </w:r>
    </w:p>
    <w:p>
      <w:pPr>
        <w:pStyle w:val="BodyText"/>
        <w:spacing w:before="2" w:line="364" w:lineRule="auto"/>
        <w:ind w:left="580" w:right="1204" w:firstLine="240"/>
      </w:pPr>
      <w:r>
        <w:rPr>
          <w:spacing w:val="29"/>
        </w:rPr>
        <w:t>临边作业的安全防护，主要为设置防护栏杆，也有其它防护措施，大致可分</w:t>
      </w:r>
      <w:r>
        <w:rPr>
          <w:spacing w:val="28"/>
        </w:rPr>
        <w:t>以下三类：</w:t>
      </w:r>
    </w:p>
    <w:p>
      <w:pPr>
        <w:pStyle w:val="BodyText"/>
        <w:spacing w:before="1"/>
        <w:ind w:left="580"/>
      </w:pPr>
      <w:r>
        <w:t>（</w:t>
      </w:r>
      <w:r>
        <w:rPr>
          <w:spacing w:val="-76"/>
        </w:rPr>
        <w:t xml:space="preserve"> </w:t>
      </w:r>
      <w:r>
        <w:t>1）</w:t>
      </w:r>
      <w:r>
        <w:rPr>
          <w:spacing w:val="4"/>
        </w:rPr>
        <w:t>． 设置防护栏杆</w:t>
      </w:r>
    </w:p>
    <w:p>
      <w:pPr>
        <w:pStyle w:val="BodyText"/>
        <w:spacing w:before="161" w:line="364" w:lineRule="auto"/>
        <w:ind w:left="580" w:right="1045" w:firstLine="240"/>
      </w:pPr>
      <w:r>
        <w:rPr>
          <w:spacing w:val="20"/>
        </w:rPr>
        <w:t>地面基坑周边，无外脚手架的楼面与屋面周边，分层施工的楼梯口与梯段边，</w:t>
      </w:r>
      <w:r>
        <w:rPr>
          <w:spacing w:val="32"/>
        </w:rPr>
        <w:t>未安装栏杆或栏板的阳台周边、料台周边、挑平台周边、雨篷与挑檐边， 井</w:t>
      </w:r>
      <w:r>
        <w:t xml:space="preserve"> </w:t>
      </w:r>
      <w:r>
        <w:rPr>
          <w:spacing w:val="31"/>
        </w:rPr>
        <w:t>架、施工用电梯、外脚手架等通向建筑物的通道的两侧边， 以及水箱与水塔</w:t>
      </w:r>
      <w:r>
        <w:t xml:space="preserve"> </w:t>
      </w:r>
      <w:r>
        <w:rPr>
          <w:spacing w:val="15"/>
        </w:rPr>
        <w:t>周边等处， 均应设置防护栏杆， 顶层的楼梯口， 应随工程结构的进度而安装</w:t>
      </w:r>
      <w:r>
        <w:t xml:space="preserve"> </w:t>
      </w:r>
      <w:r>
        <w:rPr>
          <w:spacing w:val="16"/>
        </w:rPr>
        <w:t>正式栏杆， 由于此时， 结构施工接近完成， 这样做可以节约工时和材料，</w:t>
      </w:r>
    </w:p>
    <w:p>
      <w:pPr>
        <w:spacing w:after="0" w:line="364" w:lineRule="auto"/>
        <w:sectPr>
          <w:headerReference w:type="default" r:id="rId27"/>
          <w:footerReference w:type="default" r:id="rId28"/>
          <w:pgSz w:w="11910" w:h="16840"/>
          <w:pgMar w:top="1420" w:right="120" w:bottom="1180" w:left="680" w:header="884" w:footer="991"/>
          <w:pgNumType w:start="12"/>
          <w:cols w:space="708"/>
        </w:sectPr>
      </w:pPr>
    </w:p>
    <w:p>
      <w:pPr>
        <w:pStyle w:val="BodyText"/>
        <w:spacing w:before="102"/>
        <w:ind w:left="580"/>
      </w:pPr>
      <w:r>
        <w:t>（</w:t>
      </w:r>
      <w:r>
        <w:rPr>
          <w:spacing w:val="-79"/>
        </w:rPr>
        <w:t xml:space="preserve"> </w:t>
      </w:r>
      <w:r>
        <w:t>2）</w:t>
      </w:r>
      <w:r>
        <w:rPr>
          <w:spacing w:val="-1"/>
        </w:rPr>
        <w:t>． 架设安全网</w:t>
      </w:r>
    </w:p>
    <w:p>
      <w:pPr>
        <w:pStyle w:val="BodyText"/>
        <w:spacing w:before="160" w:line="364" w:lineRule="auto"/>
        <w:ind w:left="580" w:right="1083" w:firstLine="240"/>
      </w:pPr>
      <w:r>
        <w:rPr>
          <w:spacing w:val="17"/>
        </w:rPr>
        <w:t xml:space="preserve">高度超过 </w:t>
      </w:r>
      <w:r>
        <w:t>3．2m</w:t>
      </w:r>
      <w:r>
        <w:rPr>
          <w:spacing w:val="20"/>
        </w:rPr>
        <w:t xml:space="preserve"> 的楼层周边，以及首层墙高度超过 </w:t>
      </w:r>
      <w:r>
        <w:t>3．2m</w:t>
      </w:r>
      <w:r>
        <w:rPr>
          <w:spacing w:val="26"/>
        </w:rPr>
        <w:t xml:space="preserve"> 时的二层楼面周边，</w:t>
      </w:r>
      <w:r>
        <w:rPr>
          <w:spacing w:val="20"/>
        </w:rPr>
        <w:t>当无外脚手架时， 必须在外围边沿， 架设一道安全平网。</w:t>
      </w:r>
    </w:p>
    <w:p>
      <w:pPr>
        <w:pStyle w:val="BodyText"/>
        <w:spacing w:before="2"/>
        <w:ind w:left="580"/>
      </w:pPr>
      <w:r>
        <w:t>（</w:t>
      </w:r>
      <w:r>
        <w:rPr>
          <w:spacing w:val="-80"/>
        </w:rPr>
        <w:t xml:space="preserve"> </w:t>
      </w:r>
      <w:r>
        <w:rPr>
          <w:spacing w:val="9"/>
        </w:rPr>
        <w:t>3）</w:t>
      </w:r>
      <w:r>
        <w:rPr>
          <w:spacing w:val="11"/>
        </w:rPr>
        <w:t xml:space="preserve"> .装设安全门</w:t>
      </w:r>
    </w:p>
    <w:p>
      <w:pPr>
        <w:pStyle w:val="BodyText"/>
        <w:spacing w:before="160"/>
        <w:ind w:left="820"/>
      </w:pPr>
      <w:r>
        <w:rPr>
          <w:spacing w:val="22"/>
        </w:rPr>
        <w:t>各种垂直运输用的平台，楼层边沿接料口等处，都应装设安全门或活动栏杆。</w:t>
      </w:r>
    </w:p>
    <w:p>
      <w:pPr>
        <w:pStyle w:val="BodyText"/>
        <w:spacing w:before="161"/>
        <w:ind w:left="580"/>
      </w:pPr>
      <w:r>
        <w:rPr>
          <w:spacing w:val="19"/>
        </w:rPr>
        <w:t>2</w:t>
      </w:r>
      <w:r>
        <w:rPr>
          <w:spacing w:val="32"/>
        </w:rPr>
        <w:t>、洞口作业的防护</w:t>
      </w:r>
    </w:p>
    <w:p>
      <w:pPr>
        <w:pStyle w:val="BodyText"/>
        <w:spacing w:before="160" w:line="364" w:lineRule="auto"/>
        <w:ind w:left="580" w:right="1204"/>
      </w:pPr>
      <w:r>
        <w:rPr>
          <w:spacing w:val="19"/>
        </w:rPr>
        <w:t>(l</w:t>
      </w:r>
      <w:r>
        <w:rPr>
          <w:spacing w:val="23"/>
        </w:rPr>
        <w:t>)建筑物或构筑物在施工过程中， 常常会出现各种预留洞口、通道口、上料</w:t>
      </w:r>
      <w:r>
        <w:rPr>
          <w:spacing w:val="19"/>
        </w:rPr>
        <w:t>口、楼梯口、电梯井口， 在其附近工作， 称为洞口作业。</w:t>
      </w:r>
    </w:p>
    <w:p>
      <w:pPr>
        <w:pStyle w:val="ListParagraph"/>
        <w:numPr>
          <w:ilvl w:val="0"/>
          <w:numId w:val="8"/>
        </w:numPr>
        <w:tabs>
          <w:tab w:val="left" w:pos="1000"/>
        </w:tabs>
        <w:spacing w:before="1" w:after="0" w:line="364" w:lineRule="auto"/>
        <w:ind w:left="580" w:right="1183" w:firstLine="0"/>
        <w:jc w:val="both"/>
        <w:rPr>
          <w:sz w:val="24"/>
        </w:rPr>
      </w:pPr>
      <w:r>
        <w:rPr>
          <w:spacing w:val="20"/>
          <w:sz w:val="24"/>
        </w:rPr>
        <w:t>通常将较小的称为孔， 较大的称为洞。并规定为： 楼板、屋面、平台面等</w:t>
      </w:r>
      <w:r>
        <w:rPr>
          <w:spacing w:val="27"/>
          <w:sz w:val="24"/>
        </w:rPr>
        <w:t xml:space="preserve">横向平面上，短边尺寸小于 </w:t>
      </w:r>
      <w:r>
        <w:rPr>
          <w:spacing w:val="14"/>
          <w:sz w:val="24"/>
        </w:rPr>
        <w:t>25cm</w:t>
      </w:r>
      <w:r>
        <w:rPr>
          <w:spacing w:val="22"/>
          <w:sz w:val="24"/>
        </w:rPr>
        <w:t xml:space="preserve"> 的，以及墙上等竖向平面上，高度小于 </w:t>
      </w:r>
      <w:r>
        <w:rPr>
          <w:spacing w:val="14"/>
          <w:sz w:val="24"/>
        </w:rPr>
        <w:t>75cm</w:t>
      </w:r>
      <w:r>
        <w:rPr>
          <w:spacing w:val="20"/>
          <w:sz w:val="24"/>
        </w:rPr>
        <w:t xml:space="preserve">的称孔。横向平面上， 短边尺寸等于或大于 </w:t>
      </w:r>
      <w:r>
        <w:rPr>
          <w:spacing w:val="14"/>
          <w:sz w:val="24"/>
        </w:rPr>
        <w:t>25cm</w:t>
      </w:r>
      <w:r>
        <w:rPr>
          <w:spacing w:val="19"/>
          <w:sz w:val="24"/>
        </w:rPr>
        <w:t xml:space="preserve"> 时， 竖向平面上高度等于或</w:t>
      </w:r>
      <w:r>
        <w:rPr>
          <w:spacing w:val="13"/>
          <w:sz w:val="24"/>
        </w:rPr>
        <w:t xml:space="preserve">大干 </w:t>
      </w:r>
      <w:r>
        <w:rPr>
          <w:spacing w:val="15"/>
          <w:sz w:val="24"/>
        </w:rPr>
        <w:t>75cm</w:t>
      </w:r>
      <w:r>
        <w:rPr>
          <w:spacing w:val="8"/>
          <w:sz w:val="24"/>
        </w:rPr>
        <w:t xml:space="preserve">， 宽度大于 </w:t>
      </w:r>
      <w:r>
        <w:rPr>
          <w:spacing w:val="14"/>
          <w:sz w:val="24"/>
        </w:rPr>
        <w:t>45cm</w:t>
      </w:r>
      <w:r>
        <w:rPr>
          <w:spacing w:val="25"/>
          <w:sz w:val="24"/>
        </w:rPr>
        <w:t xml:space="preserve"> 的称洞。</w:t>
      </w:r>
    </w:p>
    <w:p>
      <w:pPr>
        <w:pStyle w:val="ListParagraph"/>
        <w:numPr>
          <w:ilvl w:val="0"/>
          <w:numId w:val="8"/>
        </w:numPr>
        <w:tabs>
          <w:tab w:val="left" w:pos="1000"/>
        </w:tabs>
        <w:spacing w:before="3" w:after="0" w:line="364" w:lineRule="auto"/>
        <w:ind w:left="580" w:right="1204" w:firstLine="0"/>
        <w:jc w:val="both"/>
        <w:rPr>
          <w:sz w:val="24"/>
        </w:rPr>
      </w:pPr>
      <w:r>
        <w:rPr>
          <w:spacing w:val="16"/>
          <w:sz w:val="24"/>
        </w:rPr>
        <w:t xml:space="preserve">凡深度在 </w:t>
      </w:r>
      <w:r>
        <w:rPr>
          <w:spacing w:val="10"/>
          <w:sz w:val="24"/>
        </w:rPr>
        <w:t>2m</w:t>
      </w:r>
      <w:r>
        <w:rPr>
          <w:spacing w:val="-18"/>
          <w:sz w:val="24"/>
        </w:rPr>
        <w:t xml:space="preserve"> 及 </w:t>
      </w:r>
      <w:r>
        <w:rPr>
          <w:sz w:val="24"/>
        </w:rPr>
        <w:t>2m</w:t>
      </w:r>
      <w:r>
        <w:rPr>
          <w:spacing w:val="23"/>
          <w:sz w:val="24"/>
        </w:rPr>
        <w:t xml:space="preserve"> 以上的桩孔、淘槽及管道孔洞等边沿上的施工作业， 亦</w:t>
      </w:r>
      <w:r>
        <w:rPr>
          <w:spacing w:val="34"/>
          <w:sz w:val="24"/>
        </w:rPr>
        <w:t>归入洞口作业的范围。</w:t>
      </w:r>
    </w:p>
    <w:p>
      <w:pPr>
        <w:pStyle w:val="ListParagraph"/>
        <w:numPr>
          <w:ilvl w:val="0"/>
          <w:numId w:val="8"/>
        </w:numPr>
        <w:tabs>
          <w:tab w:val="left" w:pos="1000"/>
        </w:tabs>
        <w:spacing w:before="1" w:after="0" w:line="240" w:lineRule="auto"/>
        <w:ind w:left="1000" w:right="0" w:hanging="420"/>
        <w:jc w:val="left"/>
        <w:rPr>
          <w:sz w:val="24"/>
        </w:rPr>
      </w:pPr>
      <w:r>
        <w:rPr>
          <w:spacing w:val="19"/>
          <w:sz w:val="24"/>
        </w:rPr>
        <w:t>洞口作业的安全防护， 根据不同类型， 可按下列六类方式进行：</w:t>
      </w:r>
    </w:p>
    <w:p>
      <w:pPr>
        <w:pStyle w:val="BodyText"/>
        <w:spacing w:before="160" w:line="364" w:lineRule="auto"/>
        <w:ind w:left="580" w:right="1084"/>
      </w:pPr>
      <w:r>
        <w:rPr>
          <w:spacing w:val="19"/>
        </w:rPr>
        <w:t>l</w:t>
      </w:r>
      <w:r>
        <w:rPr>
          <w:spacing w:val="29"/>
        </w:rPr>
        <w:t>)各种板与墙的孔和洞口，必须视具体情况分别设置牢固的盖板、防护栏杆、</w:t>
      </w:r>
      <w:r>
        <w:rPr>
          <w:spacing w:val="35"/>
        </w:rPr>
        <w:t>安全网或其它防坠落的防护设施。</w:t>
      </w:r>
    </w:p>
    <w:p>
      <w:pPr>
        <w:pStyle w:val="ListParagraph"/>
        <w:numPr>
          <w:ilvl w:val="0"/>
          <w:numId w:val="7"/>
        </w:numPr>
        <w:tabs>
          <w:tab w:val="left" w:pos="861"/>
        </w:tabs>
        <w:spacing w:before="2" w:after="0" w:line="364" w:lineRule="auto"/>
        <w:ind w:left="580" w:right="1324" w:firstLine="0"/>
        <w:jc w:val="left"/>
        <w:rPr>
          <w:sz w:val="24"/>
        </w:rPr>
      </w:pPr>
      <w:r>
        <w:rPr>
          <w:spacing w:val="32"/>
          <w:sz w:val="24"/>
        </w:rPr>
        <w:t>各种预留洞口、桩孔上口、杯形、条形基础上口、未回填的坑槽， 以及天</w:t>
      </w:r>
      <w:r>
        <w:rPr>
          <w:spacing w:val="25"/>
          <w:sz w:val="24"/>
        </w:rPr>
        <w:t>窗等处， 均应设置稳固的盖板或防止人、物坠落的小孔眼的钢丝网等覆盖。</w:t>
      </w:r>
    </w:p>
    <w:p>
      <w:pPr>
        <w:pStyle w:val="ListParagraph"/>
        <w:numPr>
          <w:ilvl w:val="0"/>
          <w:numId w:val="7"/>
        </w:numPr>
        <w:tabs>
          <w:tab w:val="left" w:pos="861"/>
        </w:tabs>
        <w:spacing w:before="1" w:after="0" w:line="240" w:lineRule="auto"/>
        <w:ind w:left="860" w:right="0" w:hanging="281"/>
        <w:jc w:val="left"/>
        <w:rPr>
          <w:sz w:val="24"/>
        </w:rPr>
      </w:pPr>
      <w:r>
        <w:rPr>
          <w:spacing w:val="35"/>
          <w:sz w:val="24"/>
        </w:rPr>
        <w:t xml:space="preserve">电梯井口必须设防护栏杆或固定栅门。电梯井内应每隔两层并最多隔 </w:t>
      </w:r>
      <w:r>
        <w:rPr>
          <w:spacing w:val="8"/>
          <w:sz w:val="24"/>
        </w:rPr>
        <w:t>10m</w:t>
      </w:r>
    </w:p>
    <w:p>
      <w:pPr>
        <w:pStyle w:val="BodyText"/>
        <w:spacing w:before="160"/>
        <w:ind w:left="580"/>
      </w:pPr>
      <w:r>
        <w:rPr>
          <w:spacing w:val="32"/>
        </w:rPr>
        <w:t>设一道安全平网。</w:t>
      </w:r>
    </w:p>
    <w:p>
      <w:pPr>
        <w:pStyle w:val="ListParagraph"/>
        <w:numPr>
          <w:ilvl w:val="0"/>
          <w:numId w:val="7"/>
        </w:numPr>
        <w:tabs>
          <w:tab w:val="left" w:pos="861"/>
        </w:tabs>
        <w:spacing w:before="161" w:after="0" w:line="364" w:lineRule="auto"/>
        <w:ind w:left="580" w:right="1324" w:firstLine="0"/>
        <w:jc w:val="left"/>
        <w:rPr>
          <w:sz w:val="24"/>
        </w:rPr>
      </w:pPr>
      <w:r>
        <w:rPr>
          <w:spacing w:val="31"/>
          <w:sz w:val="24"/>
        </w:rPr>
        <w:t>没安装踏步的楼梯口应象预留洞口一样覆盖。安装踏步后， 楼梯边应设防</w:t>
      </w:r>
      <w:r>
        <w:rPr>
          <w:spacing w:val="24"/>
          <w:sz w:val="24"/>
        </w:rPr>
        <w:t>护栏杆， 或者用正式工程的楼梯杆代替临时防护栏杆。</w:t>
      </w:r>
    </w:p>
    <w:p>
      <w:pPr>
        <w:pStyle w:val="ListParagraph"/>
        <w:numPr>
          <w:ilvl w:val="0"/>
          <w:numId w:val="7"/>
        </w:numPr>
        <w:tabs>
          <w:tab w:val="left" w:pos="861"/>
        </w:tabs>
        <w:spacing w:before="1" w:after="0" w:line="364" w:lineRule="auto"/>
        <w:ind w:left="580" w:right="1324" w:firstLine="0"/>
        <w:jc w:val="both"/>
        <w:rPr>
          <w:sz w:val="24"/>
        </w:rPr>
      </w:pPr>
      <w:r>
        <w:rPr>
          <w:spacing w:val="22"/>
          <w:sz w:val="24"/>
        </w:rPr>
        <w:t>各类通道口上料口的上方， 必须设置防护棚， 其尺寸大小及强度要求可视</w:t>
      </w:r>
      <w:r>
        <w:rPr>
          <w:spacing w:val="21"/>
          <w:sz w:val="24"/>
        </w:rPr>
        <w:t>具体情况而定， 但必须达到使在下面通行或工作的人员， 不受任何落物的伤</w:t>
      </w:r>
      <w:r>
        <w:rPr>
          <w:spacing w:val="15"/>
          <w:sz w:val="24"/>
        </w:rPr>
        <w:t>害。</w:t>
      </w:r>
    </w:p>
    <w:p>
      <w:pPr>
        <w:pStyle w:val="ListParagraph"/>
        <w:numPr>
          <w:ilvl w:val="0"/>
          <w:numId w:val="7"/>
        </w:numPr>
        <w:tabs>
          <w:tab w:val="left" w:pos="861"/>
        </w:tabs>
        <w:spacing w:before="2" w:after="0" w:line="364" w:lineRule="auto"/>
        <w:ind w:left="580" w:right="1324" w:firstLine="0"/>
        <w:jc w:val="left"/>
        <w:rPr>
          <w:sz w:val="24"/>
        </w:rPr>
      </w:pPr>
      <w:r>
        <w:rPr>
          <w:spacing w:val="21"/>
          <w:sz w:val="24"/>
        </w:rPr>
        <w:t>施工现场大的坑槽陡坡等处， 除需设置防护设施与安全标志外， 夜间还应</w:t>
      </w:r>
      <w:r>
        <w:rPr>
          <w:spacing w:val="30"/>
          <w:sz w:val="24"/>
        </w:rPr>
        <w:t>设红灯示警。</w:t>
      </w:r>
    </w:p>
    <w:p>
      <w:pPr>
        <w:pStyle w:val="BodyText"/>
        <w:spacing w:before="1"/>
        <w:ind w:left="580"/>
      </w:pPr>
      <w:r>
        <w:rPr>
          <w:spacing w:val="19"/>
        </w:rPr>
        <w:t>3</w:t>
      </w:r>
      <w:r>
        <w:rPr>
          <w:spacing w:val="29"/>
        </w:rPr>
        <w:t>、悬空作业</w:t>
      </w:r>
    </w:p>
    <w:p>
      <w:pPr>
        <w:spacing w:after="0"/>
        <w:sectPr>
          <w:headerReference w:type="default" r:id="rId29"/>
          <w:footerReference w:type="default" r:id="rId30"/>
          <w:pgSz w:w="11910" w:h="16840"/>
          <w:pgMar w:top="1420" w:right="120" w:bottom="1180" w:left="680" w:header="884" w:footer="991"/>
          <w:pgNumType w:start="13"/>
          <w:cols w:space="708"/>
        </w:sectPr>
      </w:pPr>
    </w:p>
    <w:p>
      <w:pPr>
        <w:pStyle w:val="BodyText"/>
        <w:spacing w:before="102" w:line="364" w:lineRule="auto"/>
        <w:ind w:left="580" w:right="1203" w:firstLine="240"/>
      </w:pPr>
      <w:r>
        <w:rPr>
          <w:spacing w:val="26"/>
        </w:rPr>
        <w:t xml:space="preserve">施工现场，在周边临空的状态下进行作业时，高度在 </w:t>
      </w:r>
      <w:r>
        <w:rPr>
          <w:spacing w:val="9"/>
        </w:rPr>
        <w:t>2m</w:t>
      </w:r>
      <w:r>
        <w:rPr>
          <w:spacing w:val="-16"/>
        </w:rPr>
        <w:t xml:space="preserve"> 及 </w:t>
      </w:r>
      <w:r>
        <w:rPr>
          <w:spacing w:val="10"/>
        </w:rPr>
        <w:t>2m</w:t>
      </w:r>
      <w:r>
        <w:rPr>
          <w:spacing w:val="17"/>
        </w:rPr>
        <w:t xml:space="preserve"> 以上，属于悬</w:t>
      </w:r>
      <w:r>
        <w:rPr>
          <w:spacing w:val="23"/>
        </w:rPr>
        <w:t>空高处作业。悬空高处作业的法定定义是： “ 在无立足点或无牢靠立足点的</w:t>
      </w:r>
      <w:r>
        <w:rPr>
          <w:spacing w:val="10"/>
        </w:rPr>
        <w:t>条件下， 进行的高处作业统称为悬空高处作业。” 因此， 悬空作业必须建立牢</w:t>
      </w:r>
      <w:r>
        <w:rPr>
          <w:spacing w:val="16"/>
        </w:rPr>
        <w:t>靠的立足点， 如搭设操作平台， 脚手架或吊篮等等， 方可进行施工。</w:t>
      </w:r>
    </w:p>
    <w:p>
      <w:pPr>
        <w:pStyle w:val="BodyText"/>
        <w:spacing w:before="2" w:line="364" w:lineRule="auto"/>
        <w:ind w:left="580" w:right="1084" w:firstLine="240"/>
      </w:pPr>
      <w:r>
        <w:rPr>
          <w:spacing w:val="26"/>
        </w:rPr>
        <w:t>对悬空作业的另一要求为， 凡作业所用索具、脚手架、吊篮、吊笼、平台、</w:t>
      </w:r>
      <w:r>
        <w:rPr>
          <w:spacing w:val="20"/>
        </w:rPr>
        <w:t>塔架等设备， 均必须是经过技术鉴定的合格产品， 或经过技术部门鉴定合格</w:t>
      </w:r>
      <w:r>
        <w:rPr>
          <w:spacing w:val="30"/>
        </w:rPr>
        <w:t>后方可使用。</w:t>
      </w:r>
    </w:p>
    <w:p>
      <w:pPr>
        <w:pStyle w:val="BodyText"/>
        <w:spacing w:before="2"/>
        <w:ind w:left="580"/>
      </w:pPr>
      <w:r>
        <w:t>（</w:t>
      </w:r>
      <w:r>
        <w:rPr>
          <w:spacing w:val="-21"/>
        </w:rPr>
        <w:t xml:space="preserve"> 四</w:t>
      </w:r>
      <w:r>
        <w:rPr>
          <w:spacing w:val="-80"/>
        </w:rPr>
        <w:t>）</w:t>
      </w:r>
      <w:r>
        <w:rPr>
          <w:spacing w:val="29"/>
        </w:rPr>
        <w:t>、交叉作业</w:t>
      </w:r>
    </w:p>
    <w:p>
      <w:pPr>
        <w:pStyle w:val="BodyText"/>
        <w:spacing w:before="161" w:line="364" w:lineRule="auto"/>
        <w:ind w:left="580" w:right="1204" w:firstLine="240"/>
      </w:pPr>
      <w:r>
        <w:rPr>
          <w:spacing w:val="30"/>
        </w:rPr>
        <w:t>施工现场常会有上下立体交叉的作业。因此，凡在不同层次中，处于空间贯</w:t>
      </w:r>
      <w:r>
        <w:rPr>
          <w:spacing w:val="22"/>
        </w:rPr>
        <w:t>通状态下同时进行的作业， 属于交叉作业。进行交叉作业时， 必须遵守下列</w:t>
      </w:r>
      <w:r>
        <w:rPr>
          <w:spacing w:val="28"/>
        </w:rPr>
        <w:t>安全规定：</w:t>
      </w:r>
    </w:p>
    <w:p>
      <w:pPr>
        <w:pStyle w:val="BodyText"/>
        <w:spacing w:before="1" w:line="364" w:lineRule="auto"/>
        <w:ind w:left="580" w:right="1204"/>
        <w:jc w:val="both"/>
      </w:pPr>
      <w:r>
        <w:rPr>
          <w:spacing w:val="19"/>
        </w:rPr>
        <w:t>1</w:t>
      </w:r>
      <w:r>
        <w:rPr>
          <w:spacing w:val="23"/>
        </w:rPr>
        <w:t>、 支摸、砌墙、粉刷等各工种，在交叉作业中，不得在同一垂直方向上下同</w:t>
      </w:r>
      <w:r>
        <w:rPr>
          <w:spacing w:val="28"/>
        </w:rPr>
        <w:t>时操作。 下层作业的位置，必须处于依上层高度确定的可能坠落范围半径之</w:t>
      </w:r>
      <w:r>
        <w:rPr>
          <w:spacing w:val="24"/>
        </w:rPr>
        <w:t>外。不符合此条件， 中间应设置安全防护层。</w:t>
      </w:r>
    </w:p>
    <w:p>
      <w:pPr>
        <w:pStyle w:val="BodyText"/>
        <w:spacing w:before="2"/>
        <w:ind w:left="580"/>
        <w:jc w:val="both"/>
      </w:pPr>
      <w:r>
        <w:rPr>
          <w:spacing w:val="19"/>
        </w:rPr>
        <w:t>2</w:t>
      </w:r>
      <w:r>
        <w:rPr>
          <w:spacing w:val="25"/>
        </w:rPr>
        <w:t>、 拆除脚手架与模板时， 下方不得有其它操作人员。</w:t>
      </w:r>
    </w:p>
    <w:p>
      <w:pPr>
        <w:pStyle w:val="BodyText"/>
        <w:spacing w:before="161" w:line="364" w:lineRule="auto"/>
        <w:ind w:left="580" w:right="1084"/>
      </w:pPr>
      <w:r>
        <w:rPr>
          <w:spacing w:val="19"/>
        </w:rPr>
        <w:t>3</w:t>
      </w:r>
      <w:r>
        <w:rPr>
          <w:spacing w:val="27"/>
        </w:rPr>
        <w:t xml:space="preserve">、 拆下的模板、脚手架等部件，临时堆放处离楼层边沿应不小于 </w:t>
      </w:r>
      <w:r>
        <w:rPr>
          <w:spacing w:val="19"/>
        </w:rPr>
        <w:t>lm。堆放</w:t>
      </w:r>
      <w:r>
        <w:rPr>
          <w:spacing w:val="23"/>
        </w:rPr>
        <w:t xml:space="preserve">高度不得超过 </w:t>
      </w:r>
      <w:r>
        <w:rPr>
          <w:spacing w:val="19"/>
        </w:rPr>
        <w:t>lm</w:t>
      </w:r>
      <w:r>
        <w:rPr>
          <w:spacing w:val="27"/>
        </w:rPr>
        <w:t>。楼梯边口、通道口、脚手架边缘等处，严禁堆放拆下物件。</w:t>
      </w:r>
      <w:r>
        <w:t xml:space="preserve"> </w:t>
      </w:r>
      <w:r>
        <w:rPr>
          <w:spacing w:val="19"/>
        </w:rPr>
        <w:t>4</w:t>
      </w:r>
      <w:r>
        <w:rPr>
          <w:spacing w:val="28"/>
        </w:rPr>
        <w:t>、 结构施工自二层起，凡人员进出的通道口(包括井架、施工用电梯的进出</w:t>
      </w:r>
      <w:r>
        <w:rPr>
          <w:spacing w:val="17"/>
        </w:rPr>
        <w:t xml:space="preserve">通道口)， 均应搭设安全防护棚。高层建筑施工中， 对超过 </w:t>
      </w:r>
      <w:r>
        <w:rPr>
          <w:spacing w:val="13"/>
        </w:rPr>
        <w:t>24m</w:t>
      </w:r>
      <w:r>
        <w:rPr>
          <w:spacing w:val="28"/>
        </w:rPr>
        <w:t xml:space="preserve"> 以上的防护棚</w:t>
      </w:r>
      <w:r>
        <w:rPr>
          <w:spacing w:val="21"/>
        </w:rPr>
        <w:t>的顶部， 应设双层结构。</w:t>
      </w:r>
    </w:p>
    <w:p>
      <w:pPr>
        <w:pStyle w:val="BodyText"/>
        <w:spacing w:before="3" w:line="364" w:lineRule="auto"/>
        <w:ind w:left="580" w:right="1084"/>
      </w:pPr>
      <w:r>
        <w:rPr>
          <w:spacing w:val="19"/>
        </w:rPr>
        <w:t>5</w:t>
      </w:r>
      <w:r>
        <w:rPr>
          <w:spacing w:val="29"/>
        </w:rPr>
        <w:t>、 由于上方施工可能坠落物体，以及处于起重机把杆回转范围之内的通道，</w:t>
      </w:r>
      <w:r>
        <w:rPr>
          <w:spacing w:val="25"/>
        </w:rPr>
        <w:t>其受影响的范围内， 必须搭设顶部能防止穿透的双层防护盖或防护棚。</w:t>
      </w:r>
    </w:p>
    <w:p>
      <w:pPr>
        <w:pStyle w:val="BodyText"/>
        <w:spacing w:before="1"/>
        <w:ind w:left="580"/>
      </w:pPr>
      <w:r>
        <w:t>（</w:t>
      </w:r>
      <w:r>
        <w:rPr>
          <w:spacing w:val="-21"/>
        </w:rPr>
        <w:t xml:space="preserve"> 五</w:t>
      </w:r>
      <w:r>
        <w:rPr>
          <w:spacing w:val="-80"/>
        </w:rPr>
        <w:t>）</w:t>
      </w:r>
      <w:r>
        <w:rPr>
          <w:spacing w:val="29"/>
        </w:rPr>
        <w:t>、临时用电</w:t>
      </w:r>
    </w:p>
    <w:p>
      <w:pPr>
        <w:pStyle w:val="BodyText"/>
        <w:spacing w:before="160"/>
        <w:ind w:left="820"/>
      </w:pPr>
      <w:r>
        <w:rPr>
          <w:spacing w:val="27"/>
        </w:rPr>
        <w:t>为了与正式工程上电气工程的区别， 将施工过程中所使用的施工用电称为</w:t>
      </w:r>
    </w:p>
    <w:p>
      <w:pPr>
        <w:pStyle w:val="BodyText"/>
        <w:spacing w:before="161"/>
        <w:ind w:left="580"/>
      </w:pPr>
      <w:r>
        <w:rPr>
          <w:spacing w:val="20"/>
        </w:rPr>
        <w:t>“ 临时用电”。按照规范的规定临时用电应遵守的主要原则为：</w:t>
      </w:r>
    </w:p>
    <w:p>
      <w:pPr>
        <w:pStyle w:val="ListParagraph"/>
        <w:numPr>
          <w:ilvl w:val="0"/>
          <w:numId w:val="6"/>
        </w:numPr>
        <w:tabs>
          <w:tab w:val="left" w:pos="790"/>
        </w:tabs>
        <w:spacing w:before="160" w:after="0" w:line="364" w:lineRule="auto"/>
        <w:ind w:left="580" w:right="1255" w:firstLine="0"/>
        <w:jc w:val="both"/>
        <w:rPr>
          <w:sz w:val="24"/>
        </w:rPr>
      </w:pPr>
      <w:r>
        <w:rPr>
          <w:spacing w:val="29"/>
          <w:sz w:val="24"/>
        </w:rPr>
        <w:t xml:space="preserve">施工现场的用电设备在 </w:t>
      </w:r>
      <w:r>
        <w:rPr>
          <w:sz w:val="24"/>
        </w:rPr>
        <w:t>5</w:t>
      </w:r>
      <w:r>
        <w:rPr>
          <w:spacing w:val="-6"/>
          <w:sz w:val="24"/>
        </w:rPr>
        <w:t xml:space="preserve"> 台及 </w:t>
      </w:r>
      <w:r>
        <w:rPr>
          <w:sz w:val="24"/>
        </w:rPr>
        <w:t>5</w:t>
      </w:r>
      <w:r>
        <w:rPr>
          <w:spacing w:val="22"/>
          <w:sz w:val="24"/>
        </w:rPr>
        <w:t xml:space="preserve"> 台以上或设备总容量在 </w:t>
      </w:r>
      <w:r>
        <w:rPr>
          <w:spacing w:val="14"/>
          <w:sz w:val="24"/>
        </w:rPr>
        <w:t>50kW</w:t>
      </w:r>
      <w:r>
        <w:rPr>
          <w:spacing w:val="11"/>
          <w:sz w:val="24"/>
        </w:rPr>
        <w:t xml:space="preserve"> 以上者， 应编</w:t>
      </w:r>
      <w:r>
        <w:rPr>
          <w:spacing w:val="29"/>
          <w:sz w:val="24"/>
        </w:rPr>
        <w:t>制临时用电施工组织设计， 它是临时用电方面的基础性技术、安全资料。它</w:t>
      </w:r>
      <w:r>
        <w:rPr>
          <w:spacing w:val="32"/>
          <w:sz w:val="24"/>
        </w:rPr>
        <w:t>包括的内容有：</w:t>
      </w:r>
    </w:p>
    <w:p>
      <w:pPr>
        <w:pStyle w:val="BodyText"/>
        <w:spacing w:before="2"/>
        <w:ind w:left="580"/>
        <w:jc w:val="both"/>
      </w:pPr>
      <w:r>
        <w:t>（</w:t>
      </w:r>
      <w:r>
        <w:rPr>
          <w:spacing w:val="-80"/>
        </w:rPr>
        <w:t xml:space="preserve"> </w:t>
      </w:r>
      <w:r>
        <w:rPr>
          <w:spacing w:val="19"/>
        </w:rPr>
        <w:t>1)</w:t>
      </w:r>
      <w:r>
        <w:rPr>
          <w:spacing w:val="29"/>
        </w:rPr>
        <w:t>现场勘探。</w:t>
      </w:r>
    </w:p>
    <w:p>
      <w:pPr>
        <w:spacing w:after="0"/>
        <w:jc w:val="both"/>
        <w:sectPr>
          <w:headerReference w:type="default" r:id="rId31"/>
          <w:footerReference w:type="default" r:id="rId32"/>
          <w:pgSz w:w="11910" w:h="16840"/>
          <w:pgMar w:top="1420" w:right="120" w:bottom="1180" w:left="680" w:header="884" w:footer="991"/>
          <w:pgNumType w:start="14"/>
          <w:cols w:space="708"/>
        </w:sectPr>
      </w:pPr>
    </w:p>
    <w:p>
      <w:pPr>
        <w:pStyle w:val="BodyText"/>
        <w:spacing w:before="102"/>
        <w:ind w:left="580"/>
      </w:pPr>
      <w:r>
        <w:t>（</w:t>
      </w:r>
      <w:r>
        <w:rPr>
          <w:spacing w:val="-80"/>
        </w:rPr>
        <w:t xml:space="preserve"> </w:t>
      </w:r>
      <w:r>
        <w:rPr>
          <w:spacing w:val="19"/>
        </w:rPr>
        <w:t>2)</w:t>
      </w:r>
      <w:r>
        <w:rPr>
          <w:spacing w:val="37"/>
        </w:rPr>
        <w:t>确定电源进线和变电所、配电室、总配电箱等的装设位置及线路走向。</w:t>
      </w:r>
    </w:p>
    <w:p>
      <w:pPr>
        <w:pStyle w:val="BodyText"/>
        <w:spacing w:before="160"/>
        <w:ind w:left="580"/>
      </w:pPr>
      <w:r>
        <w:t>（</w:t>
      </w:r>
      <w:r>
        <w:rPr>
          <w:spacing w:val="-80"/>
        </w:rPr>
        <w:t xml:space="preserve"> </w:t>
      </w:r>
      <w:r>
        <w:rPr>
          <w:spacing w:val="19"/>
        </w:rPr>
        <w:t>3)</w:t>
      </w:r>
      <w:r>
        <w:rPr>
          <w:spacing w:val="29"/>
        </w:rPr>
        <w:t>负荷计算。</w:t>
      </w:r>
    </w:p>
    <w:p>
      <w:pPr>
        <w:pStyle w:val="BodyText"/>
        <w:spacing w:before="161"/>
        <w:ind w:left="580"/>
      </w:pPr>
      <w:r>
        <w:t>（</w:t>
      </w:r>
      <w:r>
        <w:rPr>
          <w:spacing w:val="-80"/>
        </w:rPr>
        <w:t xml:space="preserve"> </w:t>
      </w:r>
      <w:r>
        <w:rPr>
          <w:spacing w:val="19"/>
        </w:rPr>
        <w:t>4)</w:t>
      </w:r>
      <w:r>
        <w:rPr>
          <w:spacing w:val="36"/>
        </w:rPr>
        <w:t>选择变压器容量、导线截面和电器的类型、规格。</w:t>
      </w:r>
    </w:p>
    <w:p>
      <w:pPr>
        <w:pStyle w:val="BodyText"/>
        <w:spacing w:before="160"/>
        <w:ind w:left="580"/>
      </w:pPr>
      <w:r>
        <w:t>（</w:t>
      </w:r>
      <w:r>
        <w:rPr>
          <w:spacing w:val="-80"/>
        </w:rPr>
        <w:t xml:space="preserve"> </w:t>
      </w:r>
      <w:r>
        <w:rPr>
          <w:spacing w:val="19"/>
        </w:rPr>
        <w:t>5)</w:t>
      </w:r>
      <w:r>
        <w:rPr>
          <w:spacing w:val="36"/>
        </w:rPr>
        <w:t>绘制电气平面图、立面图和接线系统图。</w:t>
      </w:r>
    </w:p>
    <w:p>
      <w:pPr>
        <w:pStyle w:val="BodyText"/>
        <w:spacing w:before="161"/>
        <w:ind w:left="580"/>
      </w:pPr>
      <w:r>
        <w:t>（</w:t>
      </w:r>
      <w:r>
        <w:rPr>
          <w:spacing w:val="-80"/>
        </w:rPr>
        <w:t xml:space="preserve"> </w:t>
      </w:r>
      <w:r>
        <w:rPr>
          <w:spacing w:val="19"/>
        </w:rPr>
        <w:t>6)</w:t>
      </w:r>
      <w:r>
        <w:rPr>
          <w:spacing w:val="36"/>
        </w:rPr>
        <w:t>制定安全用电技术措施和电气防火措施。</w:t>
      </w:r>
    </w:p>
    <w:p>
      <w:pPr>
        <w:pStyle w:val="ListParagraph"/>
        <w:numPr>
          <w:ilvl w:val="0"/>
          <w:numId w:val="6"/>
        </w:numPr>
        <w:tabs>
          <w:tab w:val="left" w:pos="790"/>
        </w:tabs>
        <w:spacing w:before="160" w:after="0" w:line="364" w:lineRule="auto"/>
        <w:ind w:left="580" w:right="1084" w:firstLine="0"/>
        <w:jc w:val="left"/>
        <w:rPr>
          <w:sz w:val="24"/>
        </w:rPr>
      </w:pPr>
      <w:r>
        <w:rPr>
          <w:spacing w:val="32"/>
          <w:sz w:val="24"/>
        </w:rPr>
        <w:t>在施工现场专用电源(电力变压器等)为中性点直接接地的电力线路中，必须</w:t>
      </w:r>
      <w:r>
        <w:rPr>
          <w:spacing w:val="-1"/>
          <w:sz w:val="24"/>
        </w:rPr>
        <w:t xml:space="preserve">采用  </w:t>
      </w:r>
      <w:r>
        <w:rPr>
          <w:spacing w:val="19"/>
          <w:sz w:val="24"/>
        </w:rPr>
        <w:t>T</w:t>
      </w:r>
      <w:r>
        <w:rPr>
          <w:spacing w:val="20"/>
          <w:sz w:val="24"/>
        </w:rPr>
        <w:t>N</w:t>
      </w:r>
      <w:r>
        <w:rPr>
          <w:spacing w:val="19"/>
          <w:sz w:val="24"/>
        </w:rPr>
        <w:t>—</w:t>
      </w:r>
      <w:r>
        <w:rPr>
          <w:sz w:val="24"/>
        </w:rPr>
        <w:t>S</w:t>
      </w:r>
      <w:r>
        <w:rPr>
          <w:spacing w:val="24"/>
          <w:sz w:val="24"/>
        </w:rPr>
        <w:t xml:space="preserve"> 接零保护系统。即电气设备的金属外壳必须与专用保护零线连接。</w:t>
      </w:r>
      <w:r>
        <w:rPr>
          <w:spacing w:val="37"/>
          <w:sz w:val="24"/>
        </w:rPr>
        <w:t>专用保护零线应由工作接地线、配电室的零线或第一级漏电保护器电源侧的</w:t>
      </w:r>
      <w:r>
        <w:rPr>
          <w:spacing w:val="20"/>
          <w:sz w:val="24"/>
        </w:rPr>
        <w:t>零线引出。所谓  T</w:t>
      </w:r>
      <w:r>
        <w:rPr>
          <w:spacing w:val="19"/>
          <w:sz w:val="24"/>
        </w:rPr>
        <w:t>N—</w:t>
      </w:r>
      <w:r>
        <w:rPr>
          <w:sz w:val="24"/>
        </w:rPr>
        <w:t>S</w:t>
      </w:r>
      <w:r>
        <w:rPr>
          <w:spacing w:val="28"/>
          <w:sz w:val="24"/>
        </w:rPr>
        <w:t xml:space="preserve"> 系统就是电气设备金属外壳的保护零线要与工作零线</w:t>
      </w:r>
      <w:r>
        <w:rPr>
          <w:spacing w:val="20"/>
          <w:sz w:val="24"/>
        </w:rPr>
        <w:t>分开， 且单独敷设。也就是说在三相四线制的施工现场中， 要使用五根线，</w:t>
      </w:r>
      <w:r>
        <w:rPr>
          <w:spacing w:val="30"/>
          <w:sz w:val="24"/>
        </w:rPr>
        <w:t xml:space="preserve">第五根即为保护零线一 </w:t>
      </w:r>
      <w:r>
        <w:rPr>
          <w:spacing w:val="20"/>
          <w:sz w:val="24"/>
        </w:rPr>
        <w:t>P</w:t>
      </w:r>
      <w:r>
        <w:rPr>
          <w:sz w:val="24"/>
        </w:rPr>
        <w:t>E</w:t>
      </w:r>
      <w:r>
        <w:rPr>
          <w:spacing w:val="2"/>
          <w:sz w:val="24"/>
        </w:rPr>
        <w:t xml:space="preserve"> 线。</w:t>
      </w:r>
    </w:p>
    <w:p>
      <w:pPr>
        <w:pStyle w:val="ListParagraph"/>
        <w:numPr>
          <w:ilvl w:val="0"/>
          <w:numId w:val="6"/>
        </w:numPr>
        <w:tabs>
          <w:tab w:val="left" w:pos="790"/>
        </w:tabs>
        <w:spacing w:before="4" w:after="0" w:line="364" w:lineRule="auto"/>
        <w:ind w:left="580" w:right="1204" w:firstLine="0"/>
        <w:jc w:val="left"/>
        <w:rPr>
          <w:sz w:val="24"/>
        </w:rPr>
      </w:pPr>
      <w:r>
        <w:rPr>
          <w:spacing w:val="26"/>
          <w:sz w:val="24"/>
        </w:rPr>
        <w:t>施工现场的配电线路包括室外线路和室内线路， 其敷设方式：室外线路主要</w:t>
      </w:r>
      <w:r>
        <w:rPr>
          <w:spacing w:val="31"/>
          <w:sz w:val="24"/>
        </w:rPr>
        <w:t>有绝缘导线架空敷设(架空线路)和绝缘电缆埋地敷设(埋地电缆线路)两种，</w:t>
      </w:r>
      <w:r>
        <w:rPr>
          <w:spacing w:val="24"/>
          <w:sz w:val="24"/>
        </w:rPr>
        <w:t>也有电缆线路架空明敷设的； 室内线路通常有绝缘导线和电缆的明敷设(明设</w:t>
      </w:r>
      <w:r>
        <w:rPr>
          <w:spacing w:val="31"/>
          <w:sz w:val="24"/>
        </w:rPr>
        <w:t>线路或暗设线路)两种。</w:t>
      </w:r>
    </w:p>
    <w:p>
      <w:pPr>
        <w:pStyle w:val="BodyText"/>
        <w:spacing w:before="2" w:line="364" w:lineRule="auto"/>
        <w:ind w:left="580" w:right="6784"/>
      </w:pPr>
      <w:r>
        <w:t>（</w:t>
      </w:r>
      <w:r>
        <w:rPr>
          <w:spacing w:val="-80"/>
        </w:rPr>
        <w:t xml:space="preserve"> </w:t>
      </w:r>
      <w:r>
        <w:rPr>
          <w:spacing w:val="19"/>
        </w:rPr>
        <w:t>l)</w:t>
      </w:r>
      <w:r>
        <w:rPr>
          <w:spacing w:val="35"/>
        </w:rPr>
        <w:t>架空线路的安全要求：</w:t>
      </w:r>
      <w:r>
        <w:t xml:space="preserve"> </w:t>
      </w:r>
      <w:r>
        <w:rPr>
          <w:spacing w:val="9"/>
        </w:rPr>
        <w:t>1）</w:t>
      </w:r>
      <w:r>
        <w:rPr>
          <w:spacing w:val="25"/>
        </w:rPr>
        <w:t xml:space="preserve"> 架空线必须采用绝缘导线；</w:t>
      </w:r>
    </w:p>
    <w:p>
      <w:pPr>
        <w:pStyle w:val="ListParagraph"/>
        <w:numPr>
          <w:ilvl w:val="0"/>
          <w:numId w:val="5"/>
        </w:numPr>
        <w:tabs>
          <w:tab w:val="left" w:pos="994"/>
        </w:tabs>
        <w:spacing w:before="2" w:after="0" w:line="364" w:lineRule="auto"/>
        <w:ind w:left="580" w:right="1204" w:firstLine="0"/>
        <w:jc w:val="left"/>
        <w:rPr>
          <w:sz w:val="24"/>
        </w:rPr>
      </w:pPr>
      <w:r>
        <w:rPr>
          <w:spacing w:val="30"/>
          <w:sz w:val="24"/>
        </w:rPr>
        <w:t xml:space="preserve">架空线的档距不得大于 </w:t>
      </w:r>
      <w:r>
        <w:rPr>
          <w:spacing w:val="14"/>
          <w:sz w:val="24"/>
        </w:rPr>
        <w:t>35m</w:t>
      </w:r>
      <w:r>
        <w:rPr>
          <w:spacing w:val="12"/>
          <w:sz w:val="24"/>
        </w:rPr>
        <w:t xml:space="preserve">， 线间距不得小于 </w:t>
      </w:r>
      <w:r>
        <w:rPr>
          <w:spacing w:val="15"/>
          <w:sz w:val="24"/>
        </w:rPr>
        <w:t>30mm</w:t>
      </w:r>
      <w:r>
        <w:rPr>
          <w:spacing w:val="20"/>
          <w:sz w:val="24"/>
        </w:rPr>
        <w:t>， 最大弧垂处与地面的</w:t>
      </w:r>
      <w:r>
        <w:rPr>
          <w:spacing w:val="23"/>
          <w:sz w:val="24"/>
        </w:rPr>
        <w:t xml:space="preserve">最小垂直距离为： 施工场所为 </w:t>
      </w:r>
      <w:r>
        <w:rPr>
          <w:spacing w:val="19"/>
          <w:sz w:val="24"/>
        </w:rPr>
        <w:t>4m</w:t>
      </w:r>
      <w:r>
        <w:rPr>
          <w:spacing w:val="25"/>
          <w:sz w:val="24"/>
        </w:rPr>
        <w:t xml:space="preserve">、机动车道 </w:t>
      </w:r>
      <w:r>
        <w:rPr>
          <w:spacing w:val="19"/>
          <w:sz w:val="24"/>
        </w:rPr>
        <w:t>6m</w:t>
      </w:r>
      <w:r>
        <w:rPr>
          <w:spacing w:val="27"/>
          <w:sz w:val="24"/>
        </w:rPr>
        <w:t xml:space="preserve">、铁路轨道为 </w:t>
      </w:r>
      <w:r>
        <w:rPr>
          <w:spacing w:val="19"/>
          <w:sz w:val="24"/>
        </w:rPr>
        <w:t>7—</w:t>
      </w:r>
      <w:r>
        <w:rPr>
          <w:spacing w:val="13"/>
          <w:sz w:val="24"/>
        </w:rPr>
        <w:t>5m；</w:t>
      </w:r>
    </w:p>
    <w:p>
      <w:pPr>
        <w:pStyle w:val="ListParagraph"/>
        <w:numPr>
          <w:ilvl w:val="0"/>
          <w:numId w:val="5"/>
        </w:numPr>
        <w:tabs>
          <w:tab w:val="left" w:pos="1000"/>
        </w:tabs>
        <w:spacing w:before="1" w:after="0" w:line="364" w:lineRule="auto"/>
        <w:ind w:left="580" w:right="1203" w:firstLine="0"/>
        <w:jc w:val="left"/>
        <w:rPr>
          <w:sz w:val="24"/>
        </w:rPr>
      </w:pPr>
      <w:r>
        <w:rPr>
          <w:spacing w:val="33"/>
          <w:sz w:val="24"/>
        </w:rPr>
        <w:t xml:space="preserve">用做架空线路的铝线截面不得小于 </w:t>
      </w:r>
      <w:r>
        <w:rPr>
          <w:spacing w:val="16"/>
          <w:sz w:val="24"/>
        </w:rPr>
        <w:t>16mm</w:t>
      </w:r>
      <w:r>
        <w:rPr>
          <w:spacing w:val="16"/>
          <w:sz w:val="24"/>
          <w:vertAlign w:val="superscript"/>
        </w:rPr>
        <w:t>2</w:t>
      </w:r>
      <w:r>
        <w:rPr>
          <w:spacing w:val="27"/>
          <w:sz w:val="24"/>
          <w:vertAlign w:val="baseline"/>
        </w:rPr>
        <w:t xml:space="preserve">；铜线截面不得小于 </w:t>
      </w:r>
      <w:r>
        <w:rPr>
          <w:spacing w:val="16"/>
          <w:sz w:val="24"/>
          <w:vertAlign w:val="baseline"/>
        </w:rPr>
        <w:t>10mm</w:t>
      </w:r>
      <w:r>
        <w:rPr>
          <w:spacing w:val="16"/>
          <w:sz w:val="24"/>
          <w:vertAlign w:val="superscript"/>
        </w:rPr>
        <w:t>2</w:t>
      </w:r>
      <w:r>
        <w:rPr>
          <w:spacing w:val="18"/>
          <w:sz w:val="24"/>
          <w:vertAlign w:val="baseline"/>
        </w:rPr>
        <w:t>；跨越</w:t>
      </w:r>
      <w:r>
        <w:rPr>
          <w:spacing w:val="35"/>
          <w:sz w:val="24"/>
          <w:vertAlign w:val="baseline"/>
        </w:rPr>
        <w:t xml:space="preserve">公路、铁路、河流、电力线路档距内的铝线截面不得小于 </w:t>
      </w:r>
      <w:r>
        <w:rPr>
          <w:spacing w:val="16"/>
          <w:sz w:val="24"/>
          <w:vertAlign w:val="baseline"/>
        </w:rPr>
        <w:t>35mm</w:t>
      </w:r>
      <w:r>
        <w:rPr>
          <w:spacing w:val="16"/>
          <w:sz w:val="24"/>
          <w:vertAlign w:val="superscript"/>
        </w:rPr>
        <w:t>2</w:t>
      </w:r>
      <w:r>
        <w:rPr>
          <w:spacing w:val="16"/>
          <w:sz w:val="24"/>
          <w:vertAlign w:val="baseline"/>
        </w:rPr>
        <w:t>；</w:t>
      </w:r>
    </w:p>
    <w:p>
      <w:pPr>
        <w:pStyle w:val="ListParagraph"/>
        <w:numPr>
          <w:ilvl w:val="0"/>
          <w:numId w:val="5"/>
        </w:numPr>
        <w:tabs>
          <w:tab w:val="left" w:pos="1000"/>
        </w:tabs>
        <w:spacing w:before="1" w:after="0" w:line="240" w:lineRule="auto"/>
        <w:ind w:left="1000" w:right="0" w:hanging="420"/>
        <w:jc w:val="left"/>
        <w:rPr>
          <w:sz w:val="24"/>
        </w:rPr>
      </w:pPr>
      <w:r>
        <w:rPr>
          <w:spacing w:val="26"/>
          <w:sz w:val="24"/>
        </w:rPr>
        <w:t>架空线路必须设在专用电杆上， 严禁设在树木和脚手架上。</w:t>
      </w:r>
    </w:p>
    <w:p>
      <w:pPr>
        <w:pStyle w:val="BodyText"/>
        <w:spacing w:before="160"/>
        <w:ind w:left="580"/>
      </w:pPr>
      <w:r>
        <w:t>（</w:t>
      </w:r>
      <w:r>
        <w:rPr>
          <w:spacing w:val="-80"/>
        </w:rPr>
        <w:t xml:space="preserve"> </w:t>
      </w:r>
      <w:r>
        <w:rPr>
          <w:spacing w:val="19"/>
        </w:rPr>
        <w:t>2)</w:t>
      </w:r>
      <w:r>
        <w:rPr>
          <w:spacing w:val="34"/>
        </w:rPr>
        <w:t>电缆线路的安全要求：</w:t>
      </w:r>
    </w:p>
    <w:p>
      <w:pPr>
        <w:pStyle w:val="ListParagraph"/>
        <w:numPr>
          <w:ilvl w:val="0"/>
          <w:numId w:val="4"/>
        </w:numPr>
        <w:tabs>
          <w:tab w:val="left" w:pos="995"/>
        </w:tabs>
        <w:spacing w:before="161" w:after="0" w:line="364" w:lineRule="auto"/>
        <w:ind w:left="580" w:right="1204" w:firstLine="0"/>
        <w:jc w:val="left"/>
        <w:rPr>
          <w:sz w:val="24"/>
        </w:rPr>
      </w:pPr>
      <w:r>
        <w:rPr>
          <w:spacing w:val="16"/>
          <w:sz w:val="24"/>
        </w:rPr>
        <w:t>室外电缆的敷设分为埋地和架空两种， 以埋地为宜， 因为安全可靠， 对人</w:t>
      </w:r>
      <w:r>
        <w:rPr>
          <w:spacing w:val="33"/>
          <w:sz w:val="24"/>
        </w:rPr>
        <w:t>身危害大量减少；</w:t>
      </w:r>
    </w:p>
    <w:p>
      <w:pPr>
        <w:pStyle w:val="ListParagraph"/>
        <w:numPr>
          <w:ilvl w:val="0"/>
          <w:numId w:val="4"/>
        </w:numPr>
        <w:tabs>
          <w:tab w:val="left" w:pos="990"/>
        </w:tabs>
        <w:spacing w:before="1" w:after="0" w:line="364" w:lineRule="auto"/>
        <w:ind w:left="580" w:right="1204" w:firstLine="0"/>
        <w:jc w:val="left"/>
        <w:rPr>
          <w:sz w:val="24"/>
        </w:rPr>
      </w:pPr>
      <w:r>
        <w:rPr>
          <w:spacing w:val="30"/>
          <w:sz w:val="24"/>
        </w:rPr>
        <w:t>埋设地点应保证电缆不受机械损伤或其他热辐射， 并应避开建筑物和交通</w:t>
      </w:r>
      <w:r>
        <w:rPr>
          <w:spacing w:val="22"/>
          <w:sz w:val="24"/>
        </w:rPr>
        <w:t>要道；</w:t>
      </w:r>
    </w:p>
    <w:p>
      <w:pPr>
        <w:pStyle w:val="ListParagraph"/>
        <w:numPr>
          <w:ilvl w:val="0"/>
          <w:numId w:val="4"/>
        </w:numPr>
        <w:tabs>
          <w:tab w:val="left" w:pos="961"/>
        </w:tabs>
        <w:spacing w:before="1" w:after="0" w:line="364" w:lineRule="auto"/>
        <w:ind w:left="580" w:right="1083" w:firstLine="0"/>
        <w:jc w:val="left"/>
        <w:rPr>
          <w:sz w:val="24"/>
        </w:rPr>
      </w:pPr>
      <w:r>
        <w:rPr>
          <w:spacing w:val="30"/>
          <w:sz w:val="24"/>
        </w:rPr>
        <w:t xml:space="preserve">电缆埋深不能小于 </w:t>
      </w:r>
      <w:r>
        <w:rPr>
          <w:sz w:val="24"/>
        </w:rPr>
        <w:t>0．6m</w:t>
      </w:r>
      <w:r>
        <w:rPr>
          <w:spacing w:val="28"/>
          <w:sz w:val="24"/>
        </w:rPr>
        <w:t xml:space="preserve">，并在电缆上下各均匀铺设不小于 </w:t>
      </w:r>
      <w:r>
        <w:rPr>
          <w:spacing w:val="14"/>
          <w:sz w:val="24"/>
        </w:rPr>
        <w:t>50mm</w:t>
      </w:r>
      <w:r>
        <w:rPr>
          <w:spacing w:val="32"/>
          <w:sz w:val="24"/>
        </w:rPr>
        <w:t xml:space="preserve"> 厚的细砂</w:t>
      </w:r>
      <w:r>
        <w:rPr>
          <w:spacing w:val="30"/>
          <w:sz w:val="24"/>
        </w:rPr>
        <w:t>，然后覆盖砖等硬质物体的保护层；</w:t>
      </w:r>
    </w:p>
    <w:p>
      <w:pPr>
        <w:spacing w:after="0" w:line="364" w:lineRule="auto"/>
        <w:jc w:val="left"/>
        <w:rPr>
          <w:sz w:val="24"/>
        </w:rPr>
        <w:sectPr>
          <w:headerReference w:type="default" r:id="rId33"/>
          <w:footerReference w:type="default" r:id="rId34"/>
          <w:pgSz w:w="11910" w:h="16840"/>
          <w:pgMar w:top="1420" w:right="120" w:bottom="1180" w:left="680" w:header="884" w:footer="991"/>
          <w:pgNumType w:start="15"/>
          <w:cols w:space="708"/>
        </w:sectPr>
      </w:pPr>
    </w:p>
    <w:p>
      <w:pPr>
        <w:pStyle w:val="ListParagraph"/>
        <w:numPr>
          <w:ilvl w:val="0"/>
          <w:numId w:val="4"/>
        </w:numPr>
        <w:tabs>
          <w:tab w:val="left" w:pos="995"/>
        </w:tabs>
        <w:spacing w:before="102" w:after="0" w:line="364" w:lineRule="auto"/>
        <w:ind w:left="580" w:right="1204" w:firstLine="0"/>
        <w:jc w:val="left"/>
        <w:rPr>
          <w:sz w:val="24"/>
        </w:rPr>
      </w:pPr>
      <w:r>
        <w:rPr>
          <w:spacing w:val="14"/>
          <w:sz w:val="24"/>
        </w:rPr>
        <w:t>橡皮电缆架空敷设时， 应沿墙壁或电杆设置， 严禁用金属裸线做绑线， 电</w:t>
      </w:r>
      <w:r>
        <w:rPr>
          <w:spacing w:val="33"/>
          <w:sz w:val="24"/>
        </w:rPr>
        <w:t xml:space="preserve">缆的最大弧垂距地面不得小于 </w:t>
      </w:r>
      <w:r>
        <w:rPr>
          <w:spacing w:val="19"/>
          <w:sz w:val="24"/>
        </w:rPr>
        <w:t>2m</w:t>
      </w:r>
      <w:r>
        <w:rPr>
          <w:sz w:val="24"/>
        </w:rPr>
        <w:t>。</w:t>
      </w:r>
    </w:p>
    <w:p>
      <w:pPr>
        <w:pStyle w:val="ListParagraph"/>
        <w:numPr>
          <w:ilvl w:val="0"/>
          <w:numId w:val="3"/>
        </w:numPr>
        <w:tabs>
          <w:tab w:val="left" w:pos="1000"/>
        </w:tabs>
        <w:spacing w:before="1" w:after="0" w:line="364" w:lineRule="auto"/>
        <w:ind w:left="580" w:right="1084" w:firstLine="0"/>
        <w:jc w:val="left"/>
        <w:rPr>
          <w:sz w:val="24"/>
        </w:rPr>
      </w:pPr>
      <w:r>
        <w:rPr>
          <w:spacing w:val="35"/>
          <w:sz w:val="24"/>
        </w:rPr>
        <w:t>施工现场临时用电工程应采用放射与树干型相结合的分级配电型式。第一</w:t>
      </w:r>
      <w:r>
        <w:rPr>
          <w:spacing w:val="31"/>
          <w:sz w:val="24"/>
        </w:rPr>
        <w:t>级为配电室的配电屏(盘)或总配电箱，第二级为分配电箱，第三级为开关箱，</w:t>
      </w:r>
      <w:r>
        <w:rPr>
          <w:spacing w:val="16"/>
          <w:sz w:val="24"/>
        </w:rPr>
        <w:t>开关箱以下就是用电设备， 并且实行“ 一机一闸” 制。</w:t>
      </w:r>
    </w:p>
    <w:p>
      <w:pPr>
        <w:pStyle w:val="ListParagraph"/>
        <w:numPr>
          <w:ilvl w:val="0"/>
          <w:numId w:val="3"/>
        </w:numPr>
        <w:tabs>
          <w:tab w:val="left" w:pos="1000"/>
        </w:tabs>
        <w:spacing w:before="2" w:after="0" w:line="364" w:lineRule="auto"/>
        <w:ind w:left="580" w:right="1204" w:firstLine="0"/>
        <w:jc w:val="left"/>
        <w:rPr>
          <w:sz w:val="24"/>
        </w:rPr>
      </w:pPr>
      <w:r>
        <w:rPr>
          <w:spacing w:val="35"/>
          <w:sz w:val="24"/>
        </w:rPr>
        <w:t>施工现场的漏电保护系统至少应按两级设置，并应具备分级分段漏电保护</w:t>
      </w:r>
      <w:r>
        <w:rPr>
          <w:spacing w:val="22"/>
          <w:sz w:val="24"/>
        </w:rPr>
        <w:t>功能。</w:t>
      </w:r>
    </w:p>
    <w:p>
      <w:pPr>
        <w:pStyle w:val="BodyText"/>
        <w:spacing w:before="1" w:line="364" w:lineRule="auto"/>
        <w:ind w:left="580" w:right="1084"/>
      </w:pPr>
      <w:r>
        <w:rPr>
          <w:spacing w:val="27"/>
        </w:rPr>
        <w:t>第一级漏电保护应设在开关箱， 即在开关箱中必须装设漏电保护器。一般场</w:t>
      </w:r>
      <w:r>
        <w:rPr>
          <w:spacing w:val="21"/>
        </w:rPr>
        <w:t xml:space="preserve">所， 其额定漏电的动作电流应不大于 </w:t>
      </w:r>
      <w:r>
        <w:rPr>
          <w:spacing w:val="15"/>
        </w:rPr>
        <w:t>30mA</w:t>
      </w:r>
      <w:r>
        <w:rPr>
          <w:spacing w:val="20"/>
        </w:rPr>
        <w:t xml:space="preserve">， 额定漏电动作时间应小于 </w:t>
      </w:r>
      <w:r>
        <w:rPr>
          <w:spacing w:val="10"/>
        </w:rPr>
        <w:t>0</w:t>
      </w:r>
      <w:r>
        <w:rPr>
          <w:spacing w:val="-36"/>
        </w:rPr>
        <w:t xml:space="preserve">． </w:t>
      </w:r>
      <w:r>
        <w:t>1s；</w:t>
      </w:r>
      <w:r>
        <w:rPr>
          <w:spacing w:val="30"/>
        </w:rPr>
        <w:t>使用于潮湿场所和有腐蚀介质场所的漏电保护器， 其额定漏电动作电流应不</w:t>
      </w:r>
      <w:r>
        <w:rPr>
          <w:spacing w:val="13"/>
        </w:rPr>
        <w:t xml:space="preserve">大于 </w:t>
      </w:r>
      <w:r>
        <w:rPr>
          <w:spacing w:val="15"/>
        </w:rPr>
        <w:t>15mA</w:t>
      </w:r>
      <w:r>
        <w:rPr>
          <w:spacing w:val="25"/>
        </w:rPr>
        <w:t xml:space="preserve">， 额定漏电动作时间应小于 </w:t>
      </w:r>
      <w:r>
        <w:rPr>
          <w:spacing w:val="9"/>
        </w:rPr>
        <w:t>0</w:t>
      </w:r>
      <w:r>
        <w:rPr>
          <w:spacing w:val="-28"/>
        </w:rPr>
        <w:t xml:space="preserve">． </w:t>
      </w:r>
      <w:r>
        <w:rPr>
          <w:spacing w:val="13"/>
        </w:rPr>
        <w:t>1s</w:t>
      </w:r>
      <w:r>
        <w:rPr>
          <w:spacing w:val="22"/>
        </w:rPr>
        <w:t>， 并应采用防腐型产品。</w:t>
      </w:r>
    </w:p>
    <w:p>
      <w:pPr>
        <w:pStyle w:val="BodyText"/>
        <w:spacing w:before="2" w:line="364" w:lineRule="auto"/>
        <w:ind w:left="580" w:right="1204"/>
      </w:pPr>
      <w:r>
        <w:rPr>
          <w:spacing w:val="28"/>
        </w:rPr>
        <w:t>第二级漏电保护应设在配电屏(盘)或总配电箱， 在配电屏(盘)或总配电箱中</w:t>
      </w:r>
      <w:r>
        <w:rPr>
          <w:spacing w:val="34"/>
        </w:rPr>
        <w:t>也必须装设漏电保护器。</w:t>
      </w:r>
    </w:p>
    <w:p>
      <w:pPr>
        <w:pStyle w:val="BodyText"/>
        <w:spacing w:before="2" w:line="364" w:lineRule="auto"/>
        <w:ind w:left="580" w:right="1204" w:firstLine="240"/>
      </w:pPr>
      <w:r>
        <w:rPr>
          <w:spacing w:val="31"/>
        </w:rPr>
        <w:t>为了充分体现漏电保护系统的分级分段保护功能，即开关箱以下用电设备的</w:t>
      </w:r>
      <w:r>
        <w:rPr>
          <w:spacing w:val="21"/>
        </w:rPr>
        <w:t>漏电由开关箱中的漏电保护器保护， 开关箱以上， 配电屏(盘)或总配电箱以</w:t>
      </w:r>
      <w:r>
        <w:rPr>
          <w:spacing w:val="33"/>
        </w:rPr>
        <w:t>下配电系统的漏电由配电屏(盘)或总配电箱中的漏电动作电流值和额定漏电</w:t>
      </w:r>
      <w:r>
        <w:rPr>
          <w:spacing w:val="20"/>
        </w:rPr>
        <w:t>的动作时间来控制， 但为保证其漏电保护功能， 其额定漏电动作电流与额定</w:t>
      </w:r>
      <w:r>
        <w:rPr>
          <w:spacing w:val="30"/>
        </w:rPr>
        <w:t xml:space="preserve">漏电动作时间之乘积 </w:t>
      </w:r>
      <w:r>
        <w:rPr>
          <w:spacing w:val="9"/>
        </w:rPr>
        <w:t>I·</w:t>
      </w:r>
      <w:r>
        <w:rPr>
          <w:spacing w:val="-61"/>
        </w:rPr>
        <w:t xml:space="preserve"> </w:t>
      </w:r>
      <w:r>
        <w:rPr>
          <w:spacing w:val="9"/>
        </w:rPr>
        <w:t>t</w:t>
      </w:r>
      <w:r>
        <w:rPr>
          <w:spacing w:val="23"/>
        </w:rPr>
        <w:t xml:space="preserve">， 应小于国际公认的安全界限值 </w:t>
      </w:r>
      <w:r>
        <w:rPr>
          <w:spacing w:val="15"/>
        </w:rPr>
        <w:t>30mA·</w:t>
      </w:r>
      <w:r>
        <w:rPr>
          <w:spacing w:val="-61"/>
        </w:rPr>
        <w:t xml:space="preserve"> </w:t>
      </w:r>
      <w:r>
        <w:rPr>
          <w:spacing w:val="19"/>
        </w:rPr>
        <w:t>s</w:t>
      </w:r>
      <w:r>
        <w:t>。</w:t>
      </w:r>
    </w:p>
    <w:p>
      <w:pPr>
        <w:pStyle w:val="ListParagraph"/>
        <w:numPr>
          <w:ilvl w:val="0"/>
          <w:numId w:val="3"/>
        </w:numPr>
        <w:tabs>
          <w:tab w:val="left" w:pos="1000"/>
        </w:tabs>
        <w:spacing w:before="3" w:after="0" w:line="364" w:lineRule="auto"/>
        <w:ind w:left="580" w:right="1204" w:firstLine="0"/>
        <w:jc w:val="left"/>
        <w:rPr>
          <w:sz w:val="24"/>
        </w:rPr>
      </w:pPr>
      <w:r>
        <w:rPr>
          <w:spacing w:val="18"/>
          <w:sz w:val="24"/>
        </w:rPr>
        <w:t>照明装置： 在施工现场的电气设备中， 照明装置与人的接触最为经常和普</w:t>
      </w:r>
      <w:r>
        <w:rPr>
          <w:spacing w:val="32"/>
          <w:sz w:val="24"/>
        </w:rPr>
        <w:t>通。为了从技术上保证现场工作人员免受发生在照明装置上的触电伤害， 照</w:t>
      </w:r>
      <w:r>
        <w:rPr>
          <w:spacing w:val="34"/>
          <w:sz w:val="24"/>
        </w:rPr>
        <w:t>明装置必须采取如下措施：</w:t>
      </w:r>
    </w:p>
    <w:p>
      <w:pPr>
        <w:pStyle w:val="ListParagraph"/>
        <w:numPr>
          <w:ilvl w:val="0"/>
          <w:numId w:val="2"/>
        </w:numPr>
        <w:tabs>
          <w:tab w:val="left" w:pos="861"/>
        </w:tabs>
        <w:spacing w:before="1" w:after="0" w:line="364" w:lineRule="auto"/>
        <w:ind w:left="580" w:right="1324" w:firstLine="0"/>
        <w:jc w:val="left"/>
        <w:rPr>
          <w:sz w:val="24"/>
        </w:rPr>
      </w:pPr>
      <w:r>
        <w:rPr>
          <w:spacing w:val="20"/>
          <w:sz w:val="24"/>
        </w:rPr>
        <w:t>照明开关箱(板)中的所有正常不带电的金属部件， 都必须作保护接零； 所</w:t>
      </w:r>
      <w:r>
        <w:rPr>
          <w:spacing w:val="24"/>
          <w:sz w:val="24"/>
        </w:rPr>
        <w:t>有灯具的金属外壳， 必须作保护接零。</w:t>
      </w:r>
    </w:p>
    <w:p>
      <w:pPr>
        <w:pStyle w:val="ListParagraph"/>
        <w:numPr>
          <w:ilvl w:val="0"/>
          <w:numId w:val="2"/>
        </w:numPr>
        <w:tabs>
          <w:tab w:val="left" w:pos="861"/>
        </w:tabs>
        <w:spacing w:before="2" w:after="0" w:line="240" w:lineRule="auto"/>
        <w:ind w:left="860" w:right="0" w:hanging="281"/>
        <w:jc w:val="left"/>
        <w:rPr>
          <w:sz w:val="24"/>
        </w:rPr>
      </w:pPr>
      <w:r>
        <w:rPr>
          <w:spacing w:val="30"/>
          <w:sz w:val="24"/>
        </w:rPr>
        <w:t>照明开关箱(板)应装设漏电保护器。</w:t>
      </w:r>
    </w:p>
    <w:p>
      <w:pPr>
        <w:pStyle w:val="ListParagraph"/>
        <w:numPr>
          <w:ilvl w:val="0"/>
          <w:numId w:val="2"/>
        </w:numPr>
        <w:tabs>
          <w:tab w:val="left" w:pos="861"/>
        </w:tabs>
        <w:spacing w:before="160" w:after="0" w:line="364" w:lineRule="auto"/>
        <w:ind w:left="580" w:right="1324" w:firstLine="0"/>
        <w:jc w:val="both"/>
        <w:rPr>
          <w:sz w:val="24"/>
        </w:rPr>
      </w:pPr>
      <w:r>
        <w:rPr>
          <w:spacing w:val="22"/>
          <w:sz w:val="24"/>
        </w:rPr>
        <w:t>照明线路的相线必须经过开关， 才能进入照明器， 不得直接进入照明器。</w:t>
      </w:r>
      <w:r>
        <w:rPr>
          <w:spacing w:val="9"/>
          <w:sz w:val="24"/>
        </w:rPr>
        <w:t>否则， 只要照明线路不停电， 即使照明器不亮， 灯头也是带电的， 这就增加</w:t>
      </w:r>
      <w:r>
        <w:rPr>
          <w:spacing w:val="32"/>
          <w:sz w:val="24"/>
        </w:rPr>
        <w:t>了不安全因素。</w:t>
      </w:r>
    </w:p>
    <w:p>
      <w:pPr>
        <w:pStyle w:val="ListParagraph"/>
        <w:numPr>
          <w:ilvl w:val="0"/>
          <w:numId w:val="2"/>
        </w:numPr>
        <w:tabs>
          <w:tab w:val="left" w:pos="861"/>
        </w:tabs>
        <w:spacing w:before="2" w:after="0" w:line="364" w:lineRule="auto"/>
        <w:ind w:left="580" w:right="1083" w:firstLine="0"/>
        <w:jc w:val="left"/>
        <w:rPr>
          <w:sz w:val="24"/>
        </w:rPr>
      </w:pPr>
      <w:r>
        <w:rPr>
          <w:spacing w:val="28"/>
          <w:sz w:val="24"/>
        </w:rPr>
        <w:t>螺口灯头的中心触头必须与相线连接， 其螺口部分必须与工作零线连接。</w:t>
      </w:r>
      <w:r>
        <w:rPr>
          <w:spacing w:val="14"/>
          <w:sz w:val="24"/>
        </w:rPr>
        <w:t>否则， 在更换和擦拭照明器时， 容易意外地触及螺口相线部分， 而发生触电。</w:t>
      </w:r>
    </w:p>
    <w:p>
      <w:pPr>
        <w:spacing w:after="0" w:line="364" w:lineRule="auto"/>
        <w:jc w:val="left"/>
        <w:rPr>
          <w:sz w:val="24"/>
        </w:rPr>
        <w:sectPr>
          <w:headerReference w:type="default" r:id="rId35"/>
          <w:footerReference w:type="default" r:id="rId36"/>
          <w:pgSz w:w="11910" w:h="16840"/>
          <w:pgMar w:top="1420" w:right="120" w:bottom="1180" w:left="680" w:header="884" w:footer="991"/>
          <w:pgNumType w:start="16"/>
          <w:cols w:space="708"/>
        </w:sectPr>
      </w:pPr>
    </w:p>
    <w:p>
      <w:pPr>
        <w:pStyle w:val="ListParagraph"/>
        <w:numPr>
          <w:ilvl w:val="0"/>
          <w:numId w:val="2"/>
        </w:numPr>
        <w:tabs>
          <w:tab w:val="left" w:pos="861"/>
        </w:tabs>
        <w:spacing w:before="102" w:after="0" w:line="364" w:lineRule="auto"/>
        <w:ind w:left="580" w:right="1084" w:firstLine="0"/>
        <w:jc w:val="left"/>
        <w:rPr>
          <w:sz w:val="24"/>
        </w:rPr>
      </w:pPr>
      <w:r>
        <w:rPr>
          <w:spacing w:val="28"/>
          <w:sz w:val="24"/>
        </w:rPr>
        <w:t>灯具的安装高度既要符合施工现场实际， 又要符合安全要求。按照《施工</w:t>
      </w:r>
      <w:r>
        <w:rPr>
          <w:spacing w:val="39"/>
          <w:sz w:val="24"/>
        </w:rPr>
        <w:t>现场临时用电安全技术规范》</w:t>
      </w:r>
      <w:r>
        <w:rPr>
          <w:spacing w:val="19"/>
          <w:sz w:val="24"/>
        </w:rPr>
        <w:t>JGJ46—</w:t>
      </w:r>
      <w:r>
        <w:rPr>
          <w:spacing w:val="9"/>
          <w:sz w:val="24"/>
        </w:rPr>
        <w:t>88</w:t>
      </w:r>
      <w:r>
        <w:rPr>
          <w:spacing w:val="17"/>
          <w:sz w:val="24"/>
        </w:rPr>
        <w:t xml:space="preserve"> 的要求， 室外灯具距地不得低于 </w:t>
      </w:r>
      <w:r>
        <w:rPr>
          <w:sz w:val="24"/>
        </w:rPr>
        <w:t>3m；</w:t>
      </w:r>
      <w:r>
        <w:rPr>
          <w:spacing w:val="31"/>
          <w:sz w:val="24"/>
        </w:rPr>
        <w:t xml:space="preserve">室内灯具距地不得低于 </w:t>
      </w:r>
      <w:r>
        <w:rPr>
          <w:spacing w:val="19"/>
          <w:sz w:val="24"/>
        </w:rPr>
        <w:t>2.4m</w:t>
      </w:r>
      <w:r>
        <w:rPr>
          <w:spacing w:val="37"/>
          <w:sz w:val="24"/>
        </w:rPr>
        <w:t>。其中室内灯具对地高度与国家标准有关正式工</w:t>
      </w:r>
      <w:r>
        <w:rPr>
          <w:spacing w:val="29"/>
          <w:sz w:val="24"/>
        </w:rPr>
        <w:t xml:space="preserve">程中，室内照明灯具对地高度 </w:t>
      </w:r>
      <w:r>
        <w:rPr>
          <w:spacing w:val="14"/>
          <w:sz w:val="24"/>
        </w:rPr>
        <w:t>2．5m</w:t>
      </w:r>
      <w:r>
        <w:rPr>
          <w:spacing w:val="20"/>
          <w:sz w:val="24"/>
        </w:rPr>
        <w:t xml:space="preserve"> 相比，仅差 </w:t>
      </w:r>
      <w:r>
        <w:rPr>
          <w:spacing w:val="19"/>
          <w:sz w:val="24"/>
        </w:rPr>
        <w:t>0．1m</w:t>
      </w:r>
      <w:r>
        <w:rPr>
          <w:spacing w:val="31"/>
          <w:sz w:val="24"/>
        </w:rPr>
        <w:t>，不会给安全带来不利</w:t>
      </w:r>
      <w:r>
        <w:rPr>
          <w:spacing w:val="22"/>
          <w:sz w:val="24"/>
        </w:rPr>
        <w:t>影响。</w:t>
      </w:r>
    </w:p>
    <w:p>
      <w:pPr>
        <w:pStyle w:val="BodyText"/>
        <w:spacing w:before="7"/>
        <w:rPr>
          <w:sz w:val="30"/>
        </w:rPr>
      </w:pPr>
    </w:p>
    <w:p>
      <w:pPr>
        <w:spacing w:before="0"/>
        <w:ind w:left="580" w:right="0" w:firstLine="0"/>
        <w:jc w:val="left"/>
        <w:rPr>
          <w:rFonts w:ascii="Microsoft JhengHei" w:eastAsia="Microsoft JhengHei"/>
          <w:b/>
          <w:sz w:val="24"/>
        </w:rPr>
      </w:pPr>
      <w:r>
        <w:rPr>
          <w:rFonts w:ascii="Microsoft JhengHei" w:eastAsia="Microsoft JhengHei"/>
          <w:b/>
          <w:spacing w:val="36"/>
          <w:sz w:val="24"/>
        </w:rPr>
        <w:t>七、安全监理现场监督控制重点</w:t>
      </w:r>
    </w:p>
    <w:p>
      <w:pPr>
        <w:pStyle w:val="BodyText"/>
        <w:spacing w:before="14"/>
        <w:rPr>
          <w:rFonts w:ascii="Microsoft JhengHei"/>
          <w:b/>
          <w:sz w:val="26"/>
        </w:rPr>
      </w:pPr>
    </w:p>
    <w:tbl>
      <w:tblPr>
        <w:tblStyle w:val="TableNormal0"/>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0"/>
        <w:gridCol w:w="648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2340" w:type="dxa"/>
          </w:tcPr>
          <w:p>
            <w:pPr>
              <w:pStyle w:val="TableParagraph"/>
              <w:spacing w:before="82"/>
              <w:ind w:left="108"/>
              <w:rPr>
                <w:sz w:val="24"/>
              </w:rPr>
            </w:pPr>
            <w:r>
              <w:rPr>
                <w:spacing w:val="-21"/>
                <w:sz w:val="24"/>
              </w:rPr>
              <w:t>内容</w:t>
            </w:r>
            <w:r>
              <w:rPr>
                <w:sz w:val="24"/>
              </w:rPr>
              <w:t>（</w:t>
            </w:r>
            <w:r>
              <w:rPr>
                <w:spacing w:val="13"/>
                <w:sz w:val="24"/>
              </w:rPr>
              <w:t xml:space="preserve"> 作业/设施</w:t>
            </w:r>
            <w:r>
              <w:rPr>
                <w:spacing w:val="-10"/>
                <w:sz w:val="24"/>
              </w:rPr>
              <w:t>）</w:t>
            </w:r>
          </w:p>
        </w:tc>
        <w:tc>
          <w:tcPr>
            <w:tcW w:w="6480" w:type="dxa"/>
          </w:tcPr>
          <w:p>
            <w:pPr>
              <w:pStyle w:val="TableParagraph"/>
              <w:spacing w:before="82"/>
              <w:ind w:left="108"/>
              <w:rPr>
                <w:sz w:val="24"/>
              </w:rPr>
            </w:pPr>
            <w:r>
              <w:rPr>
                <w:spacing w:val="26"/>
                <w:sz w:val="24"/>
              </w:rPr>
              <w:t>安 全</w:t>
            </w:r>
            <w:r>
              <w:rPr>
                <w:spacing w:val="20"/>
                <w:w w:val="150"/>
                <w:sz w:val="24"/>
              </w:rPr>
              <w:t xml:space="preserve"> </w:t>
            </w:r>
            <w:r>
              <w:rPr>
                <w:spacing w:val="31"/>
                <w:sz w:val="24"/>
              </w:rPr>
              <w:t>监 督 措</w:t>
            </w:r>
            <w:r>
              <w:rPr>
                <w:spacing w:val="20"/>
                <w:w w:val="150"/>
                <w:sz w:val="24"/>
              </w:rPr>
              <w:t xml:space="preserve"> </w:t>
            </w:r>
            <w:r>
              <w:rPr>
                <w:spacing w:val="-10"/>
                <w:sz w:val="24"/>
              </w:rPr>
              <w:t>施</w:t>
            </w:r>
          </w:p>
        </w:tc>
      </w:tr>
      <w:tr>
        <w:tblPrEx>
          <w:tblW w:w="0" w:type="auto"/>
          <w:jc w:val="left"/>
          <w:tblInd w:w="405" w:type="dxa"/>
          <w:tblLayout w:type="fixed"/>
          <w:tblCellMar>
            <w:top w:w="0" w:type="dxa"/>
            <w:left w:w="0" w:type="dxa"/>
            <w:bottom w:w="0" w:type="dxa"/>
            <w:right w:w="0" w:type="dxa"/>
          </w:tblCellMar>
          <w:tblLook w:val="01E0"/>
        </w:tblPrEx>
        <w:trPr>
          <w:trHeight w:val="2807"/>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spacing w:before="1"/>
              <w:rPr>
                <w:rFonts w:ascii="Microsoft JhengHei"/>
                <w:b/>
                <w:sz w:val="20"/>
              </w:rPr>
            </w:pPr>
          </w:p>
          <w:p>
            <w:pPr>
              <w:pStyle w:val="TableParagraph"/>
              <w:ind w:left="108"/>
              <w:rPr>
                <w:sz w:val="24"/>
              </w:rPr>
            </w:pPr>
            <w:r>
              <w:rPr>
                <w:spacing w:val="30"/>
                <w:sz w:val="24"/>
              </w:rPr>
              <w:t>现场安全管理</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1）</w:t>
            </w:r>
            <w:r>
              <w:rPr>
                <w:spacing w:val="17"/>
                <w:sz w:val="24"/>
              </w:rPr>
              <w:t xml:space="preserve"> 检查施工单位现场安全管理制度建立情况， 是</w:t>
            </w:r>
            <w:r>
              <w:rPr>
                <w:spacing w:val="35"/>
                <w:sz w:val="24"/>
              </w:rPr>
              <w:t>否设立现场安全保卫专职人员。</w:t>
            </w:r>
          </w:p>
          <w:p>
            <w:pPr>
              <w:pStyle w:val="TableParagraph"/>
              <w:spacing w:before="1" w:line="364" w:lineRule="auto"/>
              <w:ind w:left="108" w:right="136"/>
              <w:rPr>
                <w:sz w:val="24"/>
              </w:rPr>
            </w:pPr>
            <w:r>
              <w:rPr>
                <w:sz w:val="24"/>
              </w:rPr>
              <w:t>（</w:t>
            </w:r>
            <w:r>
              <w:rPr>
                <w:spacing w:val="-80"/>
                <w:sz w:val="24"/>
              </w:rPr>
              <w:t xml:space="preserve"> </w:t>
            </w:r>
            <w:r>
              <w:rPr>
                <w:spacing w:val="9"/>
                <w:sz w:val="24"/>
              </w:rPr>
              <w:t>2）</w:t>
            </w:r>
            <w:r>
              <w:rPr>
                <w:spacing w:val="18"/>
                <w:sz w:val="24"/>
              </w:rPr>
              <w:t xml:space="preserve"> 检查施工单位安全责任制的落实情况， 是否进</w:t>
            </w:r>
            <w:r>
              <w:rPr>
                <w:spacing w:val="24"/>
                <w:sz w:val="24"/>
              </w:rPr>
              <w:t>行经常性安全教育， 安全技术交底、安全纪律、安</w:t>
            </w:r>
            <w:r>
              <w:rPr>
                <w:spacing w:val="36"/>
                <w:sz w:val="24"/>
              </w:rPr>
              <w:t>全标志、安全标语宣传和现场道路畅通等安全工作</w:t>
            </w:r>
          </w:p>
          <w:p>
            <w:pPr>
              <w:pStyle w:val="TableParagraph"/>
              <w:spacing w:before="2"/>
              <w:ind w:left="108"/>
              <w:rPr>
                <w:sz w:val="24"/>
              </w:rPr>
            </w:pPr>
            <w:r>
              <w:rPr>
                <w:spacing w:val="29"/>
                <w:sz w:val="24"/>
              </w:rPr>
              <w:t>是否落实。</w:t>
            </w:r>
          </w:p>
        </w:tc>
      </w:tr>
      <w:tr>
        <w:tblPrEx>
          <w:tblW w:w="0" w:type="auto"/>
          <w:jc w:val="left"/>
          <w:tblInd w:w="405" w:type="dxa"/>
          <w:tblLayout w:type="fixed"/>
          <w:tblCellMar>
            <w:top w:w="0" w:type="dxa"/>
            <w:left w:w="0" w:type="dxa"/>
            <w:bottom w:w="0" w:type="dxa"/>
            <w:right w:w="0" w:type="dxa"/>
          </w:tblCellMar>
          <w:tblLook w:val="01E0"/>
        </w:tblPrEx>
        <w:trPr>
          <w:trHeight w:val="936"/>
          <w:jc w:val="left"/>
        </w:trPr>
        <w:tc>
          <w:tcPr>
            <w:tcW w:w="2340" w:type="dxa"/>
          </w:tcPr>
          <w:p>
            <w:pPr>
              <w:pStyle w:val="TableParagraph"/>
              <w:spacing w:before="3"/>
              <w:rPr>
                <w:rFonts w:ascii="Microsoft JhengHei"/>
                <w:b/>
                <w:sz w:val="17"/>
              </w:rPr>
            </w:pPr>
          </w:p>
          <w:p>
            <w:pPr>
              <w:pStyle w:val="TableParagraph"/>
              <w:ind w:left="108"/>
              <w:rPr>
                <w:sz w:val="24"/>
              </w:rPr>
            </w:pPr>
            <w:r>
              <w:rPr>
                <w:spacing w:val="26"/>
                <w:sz w:val="24"/>
              </w:rPr>
              <w:t>安全用具</w:t>
            </w:r>
          </w:p>
        </w:tc>
        <w:tc>
          <w:tcPr>
            <w:tcW w:w="6480" w:type="dxa"/>
          </w:tcPr>
          <w:p>
            <w:pPr>
              <w:pStyle w:val="TableParagraph"/>
              <w:spacing w:before="82"/>
              <w:ind w:left="108"/>
              <w:rPr>
                <w:sz w:val="24"/>
              </w:rPr>
            </w:pPr>
            <w:r>
              <w:rPr>
                <w:spacing w:val="36"/>
                <w:sz w:val="24"/>
              </w:rPr>
              <w:t>检查现场使用安全帽、安全带、安全网是否齐全、</w:t>
            </w:r>
          </w:p>
          <w:p>
            <w:pPr>
              <w:pStyle w:val="TableParagraph"/>
              <w:spacing w:before="160"/>
              <w:ind w:left="108"/>
              <w:rPr>
                <w:sz w:val="24"/>
              </w:rPr>
            </w:pPr>
            <w:r>
              <w:rPr>
                <w:spacing w:val="15"/>
                <w:sz w:val="24"/>
              </w:rPr>
              <w:t>完好， 有无破损。</w:t>
            </w:r>
          </w:p>
        </w:tc>
      </w:tr>
      <w:tr>
        <w:tblPrEx>
          <w:tblW w:w="0" w:type="auto"/>
          <w:jc w:val="left"/>
          <w:tblInd w:w="405" w:type="dxa"/>
          <w:tblLayout w:type="fixed"/>
          <w:tblCellMar>
            <w:top w:w="0" w:type="dxa"/>
            <w:left w:w="0" w:type="dxa"/>
            <w:bottom w:w="0" w:type="dxa"/>
            <w:right w:w="0" w:type="dxa"/>
          </w:tblCellMar>
          <w:tblLook w:val="01E0"/>
        </w:tblPrEx>
        <w:trPr>
          <w:trHeight w:val="2808"/>
          <w:jc w:val="left"/>
        </w:trPr>
        <w:tc>
          <w:tcPr>
            <w:tcW w:w="2340" w:type="dxa"/>
          </w:tcPr>
          <w:p>
            <w:pPr>
              <w:pStyle w:val="TableParagraph"/>
              <w:rPr>
                <w:rFonts w:ascii="Microsoft JhengHei"/>
                <w:b/>
                <w:sz w:val="24"/>
              </w:rPr>
            </w:pPr>
          </w:p>
          <w:p>
            <w:pPr>
              <w:pStyle w:val="TableParagraph"/>
              <w:spacing w:before="6"/>
              <w:rPr>
                <w:rFonts w:ascii="Microsoft JhengHei"/>
                <w:b/>
                <w:sz w:val="31"/>
              </w:rPr>
            </w:pPr>
          </w:p>
          <w:p>
            <w:pPr>
              <w:pStyle w:val="TableParagraph"/>
              <w:spacing w:line="364" w:lineRule="auto"/>
              <w:ind w:left="108" w:right="301"/>
              <w:rPr>
                <w:sz w:val="24"/>
              </w:rPr>
            </w:pPr>
            <w:r>
              <w:rPr>
                <w:spacing w:val="32"/>
                <w:sz w:val="24"/>
              </w:rPr>
              <w:t>临边洞口及电梯</w:t>
            </w:r>
            <w:r>
              <w:rPr>
                <w:spacing w:val="15"/>
                <w:sz w:val="24"/>
              </w:rPr>
              <w:t>井道</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11"/>
                <w:sz w:val="24"/>
              </w:rPr>
              <w:t>1）</w:t>
            </w:r>
            <w:r>
              <w:rPr>
                <w:spacing w:val="37"/>
                <w:sz w:val="24"/>
              </w:rPr>
              <w:t>巡视检查临边洞口及电梯井是否及时设置防护</w:t>
            </w:r>
            <w:r>
              <w:rPr>
                <w:spacing w:val="22"/>
                <w:sz w:val="24"/>
              </w:rPr>
              <w:t>设施。</w:t>
            </w:r>
          </w:p>
          <w:p>
            <w:pPr>
              <w:pStyle w:val="TableParagraph"/>
              <w:spacing w:before="1" w:line="364" w:lineRule="auto"/>
              <w:ind w:left="108" w:right="136"/>
              <w:rPr>
                <w:sz w:val="24"/>
              </w:rPr>
            </w:pPr>
            <w:r>
              <w:rPr>
                <w:sz w:val="24"/>
              </w:rPr>
              <w:t>（</w:t>
            </w:r>
            <w:r>
              <w:rPr>
                <w:spacing w:val="-80"/>
                <w:sz w:val="24"/>
              </w:rPr>
              <w:t xml:space="preserve"> </w:t>
            </w:r>
            <w:r>
              <w:rPr>
                <w:spacing w:val="11"/>
                <w:sz w:val="24"/>
              </w:rPr>
              <w:t>2）</w:t>
            </w:r>
            <w:r>
              <w:rPr>
                <w:spacing w:val="37"/>
                <w:sz w:val="24"/>
              </w:rPr>
              <w:t>巡视检查搭设的临边防护栏和洞口采取的防护</w:t>
            </w:r>
            <w:r>
              <w:rPr>
                <w:spacing w:val="36"/>
                <w:sz w:val="24"/>
              </w:rPr>
              <w:t>栏杆、盖板、张挂的安全网、安装的栅门等措施是</w:t>
            </w:r>
            <w:r>
              <w:rPr>
                <w:spacing w:val="33"/>
                <w:sz w:val="24"/>
              </w:rPr>
              <w:t>否符合规范要求。</w:t>
            </w:r>
          </w:p>
          <w:p>
            <w:pPr>
              <w:pStyle w:val="TableParagraph"/>
              <w:spacing w:before="2"/>
              <w:ind w:left="108"/>
              <w:rPr>
                <w:sz w:val="24"/>
              </w:rPr>
            </w:pPr>
            <w:r>
              <w:rPr>
                <w:sz w:val="24"/>
              </w:rPr>
              <w:t>（</w:t>
            </w:r>
            <w:r>
              <w:rPr>
                <w:spacing w:val="-80"/>
                <w:sz w:val="24"/>
              </w:rPr>
              <w:t xml:space="preserve"> </w:t>
            </w:r>
            <w:r>
              <w:rPr>
                <w:spacing w:val="9"/>
                <w:sz w:val="24"/>
              </w:rPr>
              <w:t>3）</w:t>
            </w:r>
            <w:r>
              <w:rPr>
                <w:spacing w:val="25"/>
                <w:sz w:val="24"/>
              </w:rPr>
              <w:t xml:space="preserve"> 巡视检查防护设施是否牢固和固定。</w:t>
            </w:r>
          </w:p>
        </w:tc>
      </w:tr>
      <w:tr>
        <w:tblPrEx>
          <w:tblW w:w="0" w:type="auto"/>
          <w:jc w:val="left"/>
          <w:tblInd w:w="405" w:type="dxa"/>
          <w:tblLayout w:type="fixed"/>
          <w:tblCellMar>
            <w:top w:w="0" w:type="dxa"/>
            <w:left w:w="0" w:type="dxa"/>
            <w:bottom w:w="0" w:type="dxa"/>
            <w:right w:w="0" w:type="dxa"/>
          </w:tblCellMar>
          <w:tblLook w:val="01E0"/>
        </w:tblPrEx>
        <w:trPr>
          <w:trHeight w:val="2807"/>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spacing w:before="1"/>
              <w:rPr>
                <w:rFonts w:ascii="Microsoft JhengHei"/>
                <w:b/>
                <w:sz w:val="20"/>
              </w:rPr>
            </w:pPr>
          </w:p>
          <w:p>
            <w:pPr>
              <w:pStyle w:val="TableParagraph"/>
              <w:ind w:left="108"/>
              <w:rPr>
                <w:sz w:val="24"/>
              </w:rPr>
            </w:pPr>
            <w:r>
              <w:rPr>
                <w:spacing w:val="22"/>
                <w:sz w:val="24"/>
              </w:rPr>
              <w:t>脚手架</w:t>
            </w:r>
          </w:p>
        </w:tc>
        <w:tc>
          <w:tcPr>
            <w:tcW w:w="6480" w:type="dxa"/>
          </w:tcPr>
          <w:p>
            <w:pPr>
              <w:pStyle w:val="TableParagraph"/>
              <w:spacing w:before="82"/>
              <w:ind w:left="108"/>
              <w:jc w:val="both"/>
              <w:rPr>
                <w:sz w:val="24"/>
              </w:rPr>
            </w:pPr>
            <w:r>
              <w:rPr>
                <w:sz w:val="24"/>
              </w:rPr>
              <w:t>（</w:t>
            </w:r>
            <w:r>
              <w:rPr>
                <w:spacing w:val="-80"/>
                <w:sz w:val="24"/>
              </w:rPr>
              <w:t xml:space="preserve"> </w:t>
            </w:r>
            <w:r>
              <w:rPr>
                <w:spacing w:val="9"/>
                <w:sz w:val="24"/>
              </w:rPr>
              <w:t>1）</w:t>
            </w:r>
            <w:r>
              <w:rPr>
                <w:spacing w:val="25"/>
                <w:sz w:val="24"/>
              </w:rPr>
              <w:t xml:space="preserve"> 检查搭设人员上岗证和技术交底情况。</w:t>
            </w:r>
          </w:p>
          <w:p>
            <w:pPr>
              <w:pStyle w:val="TableParagraph"/>
              <w:spacing w:before="160"/>
              <w:ind w:left="108"/>
              <w:jc w:val="both"/>
              <w:rPr>
                <w:sz w:val="24"/>
              </w:rPr>
            </w:pPr>
            <w:r>
              <w:rPr>
                <w:sz w:val="24"/>
              </w:rPr>
              <w:t>（</w:t>
            </w:r>
            <w:r>
              <w:rPr>
                <w:spacing w:val="-80"/>
                <w:sz w:val="24"/>
              </w:rPr>
              <w:t xml:space="preserve"> </w:t>
            </w:r>
            <w:r>
              <w:rPr>
                <w:spacing w:val="9"/>
                <w:sz w:val="24"/>
              </w:rPr>
              <w:t>2）</w:t>
            </w:r>
            <w:r>
              <w:rPr>
                <w:spacing w:val="25"/>
                <w:sz w:val="24"/>
              </w:rPr>
              <w:t xml:space="preserve"> 检查搭设区域是否设置警戒线。</w:t>
            </w:r>
          </w:p>
          <w:p>
            <w:pPr>
              <w:pStyle w:val="TableParagraph"/>
              <w:spacing w:before="161" w:line="364" w:lineRule="auto"/>
              <w:ind w:left="108" w:right="136"/>
              <w:jc w:val="both"/>
              <w:rPr>
                <w:sz w:val="24"/>
              </w:rPr>
            </w:pPr>
            <w:r>
              <w:rPr>
                <w:sz w:val="24"/>
              </w:rPr>
              <w:t>（</w:t>
            </w:r>
            <w:r>
              <w:rPr>
                <w:spacing w:val="-25"/>
                <w:sz w:val="24"/>
              </w:rPr>
              <w:t xml:space="preserve"> </w:t>
            </w:r>
            <w:r>
              <w:rPr>
                <w:sz w:val="24"/>
              </w:rPr>
              <w:t>3）</w:t>
            </w:r>
            <w:r>
              <w:rPr>
                <w:spacing w:val="21"/>
                <w:sz w:val="24"/>
              </w:rPr>
              <w:t xml:space="preserve"> 督促施工单位报审《施工机械、安全设施验收</w:t>
            </w:r>
            <w:r>
              <w:rPr>
                <w:spacing w:val="22"/>
                <w:sz w:val="24"/>
              </w:rPr>
              <w:t>核查表》，抽查部分项目的验收结果和实际搭设的相</w:t>
            </w:r>
            <w:r>
              <w:rPr>
                <w:spacing w:val="35"/>
                <w:sz w:val="24"/>
              </w:rPr>
              <w:t>符性以及和施工方案的相符性。</w:t>
            </w:r>
          </w:p>
          <w:p>
            <w:pPr>
              <w:pStyle w:val="TableParagraph"/>
              <w:spacing w:before="2"/>
              <w:ind w:left="108"/>
              <w:jc w:val="both"/>
              <w:rPr>
                <w:sz w:val="24"/>
              </w:rPr>
            </w:pPr>
            <w:r>
              <w:rPr>
                <w:sz w:val="24"/>
              </w:rPr>
              <w:t>（</w:t>
            </w:r>
            <w:r>
              <w:rPr>
                <w:spacing w:val="-80"/>
                <w:sz w:val="24"/>
              </w:rPr>
              <w:t xml:space="preserve"> </w:t>
            </w:r>
            <w:r>
              <w:rPr>
                <w:spacing w:val="9"/>
                <w:sz w:val="24"/>
              </w:rPr>
              <w:t>4）</w:t>
            </w:r>
            <w:r>
              <w:rPr>
                <w:spacing w:val="26"/>
                <w:sz w:val="24"/>
              </w:rPr>
              <w:t xml:space="preserve"> 巡视检查是否有施工荷载或堆物不均匀现象。</w:t>
            </w:r>
          </w:p>
        </w:tc>
      </w:tr>
    </w:tbl>
    <w:p>
      <w:pPr>
        <w:spacing w:after="0"/>
        <w:jc w:val="both"/>
        <w:rPr>
          <w:sz w:val="24"/>
        </w:rPr>
        <w:sectPr>
          <w:headerReference w:type="default" r:id="rId37"/>
          <w:footerReference w:type="default" r:id="rId38"/>
          <w:pgSz w:w="11910" w:h="16840"/>
          <w:pgMar w:top="1420" w:right="120" w:bottom="1537" w:left="680" w:header="884" w:footer="991"/>
          <w:pgNumType w:start="17"/>
          <w:cols w:space="708"/>
        </w:sectPr>
      </w:pPr>
    </w:p>
    <w:tbl>
      <w:tblPr>
        <w:tblStyle w:val="TableNormal1"/>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0"/>
        <w:gridCol w:w="648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2340" w:type="dxa"/>
          </w:tcPr>
          <w:p>
            <w:pPr>
              <w:pStyle w:val="TableParagraph"/>
              <w:spacing w:before="82"/>
              <w:ind w:left="108"/>
              <w:rPr>
                <w:sz w:val="24"/>
              </w:rPr>
            </w:pPr>
            <w:r>
              <w:rPr>
                <w:spacing w:val="-21"/>
                <w:sz w:val="24"/>
              </w:rPr>
              <w:t>内容</w:t>
            </w:r>
            <w:r>
              <w:rPr>
                <w:sz w:val="24"/>
              </w:rPr>
              <w:t>（</w:t>
            </w:r>
            <w:r>
              <w:rPr>
                <w:spacing w:val="13"/>
                <w:sz w:val="24"/>
              </w:rPr>
              <w:t xml:space="preserve"> 作业/设施</w:t>
            </w:r>
            <w:r>
              <w:rPr>
                <w:spacing w:val="-10"/>
                <w:sz w:val="24"/>
              </w:rPr>
              <w:t>）</w:t>
            </w:r>
          </w:p>
        </w:tc>
        <w:tc>
          <w:tcPr>
            <w:tcW w:w="6480" w:type="dxa"/>
          </w:tcPr>
          <w:p>
            <w:pPr>
              <w:pStyle w:val="TableParagraph"/>
              <w:spacing w:before="82"/>
              <w:ind w:left="108"/>
              <w:rPr>
                <w:sz w:val="24"/>
              </w:rPr>
            </w:pPr>
            <w:r>
              <w:rPr>
                <w:spacing w:val="26"/>
                <w:sz w:val="24"/>
              </w:rPr>
              <w:t>安 全</w:t>
            </w:r>
            <w:r>
              <w:rPr>
                <w:spacing w:val="20"/>
                <w:w w:val="150"/>
                <w:sz w:val="24"/>
              </w:rPr>
              <w:t xml:space="preserve"> </w:t>
            </w:r>
            <w:r>
              <w:rPr>
                <w:spacing w:val="31"/>
                <w:sz w:val="24"/>
              </w:rPr>
              <w:t>监 督 措</w:t>
            </w:r>
            <w:r>
              <w:rPr>
                <w:spacing w:val="20"/>
                <w:w w:val="150"/>
                <w:sz w:val="24"/>
              </w:rPr>
              <w:t xml:space="preserve"> </w:t>
            </w:r>
            <w:r>
              <w:rPr>
                <w:spacing w:val="-10"/>
                <w:sz w:val="24"/>
              </w:rPr>
              <w:t>施</w:t>
            </w:r>
          </w:p>
        </w:tc>
      </w:tr>
      <w:tr>
        <w:tblPrEx>
          <w:tblW w:w="0" w:type="auto"/>
          <w:jc w:val="left"/>
          <w:tblInd w:w="405" w:type="dxa"/>
          <w:tblLayout w:type="fixed"/>
          <w:tblCellMar>
            <w:top w:w="0" w:type="dxa"/>
            <w:left w:w="0" w:type="dxa"/>
            <w:bottom w:w="0" w:type="dxa"/>
            <w:right w:w="0" w:type="dxa"/>
          </w:tblCellMar>
          <w:tblLook w:val="01E0"/>
        </w:tblPrEx>
        <w:trPr>
          <w:trHeight w:val="935"/>
          <w:jc w:val="left"/>
        </w:trPr>
        <w:tc>
          <w:tcPr>
            <w:tcW w:w="2340" w:type="dxa"/>
          </w:tcPr>
          <w:p>
            <w:pPr>
              <w:pStyle w:val="TableParagraph"/>
              <w:rPr>
                <w:rFonts w:ascii="Times New Roman"/>
                <w:sz w:val="22"/>
              </w:rPr>
            </w:pPr>
          </w:p>
        </w:tc>
        <w:tc>
          <w:tcPr>
            <w:tcW w:w="6480" w:type="dxa"/>
          </w:tcPr>
          <w:p>
            <w:pPr>
              <w:pStyle w:val="TableParagraph"/>
              <w:spacing w:before="82"/>
              <w:ind w:left="108"/>
              <w:rPr>
                <w:sz w:val="24"/>
              </w:rPr>
            </w:pPr>
            <w:r>
              <w:rPr>
                <w:sz w:val="24"/>
              </w:rPr>
              <w:t>（</w:t>
            </w:r>
            <w:r>
              <w:rPr>
                <w:spacing w:val="-80"/>
                <w:sz w:val="24"/>
              </w:rPr>
              <w:t xml:space="preserve"> </w:t>
            </w:r>
            <w:r>
              <w:rPr>
                <w:spacing w:val="9"/>
                <w:sz w:val="24"/>
              </w:rPr>
              <w:t>5）</w:t>
            </w:r>
            <w:r>
              <w:rPr>
                <w:spacing w:val="17"/>
                <w:sz w:val="24"/>
              </w:rPr>
              <w:t xml:space="preserve"> 拆除时检查脚手架拆除人员是否持证， 是否进</w:t>
            </w:r>
          </w:p>
          <w:p>
            <w:pPr>
              <w:pStyle w:val="TableParagraph"/>
              <w:spacing w:before="160"/>
              <w:ind w:left="108"/>
              <w:rPr>
                <w:sz w:val="24"/>
              </w:rPr>
            </w:pPr>
            <w:r>
              <w:rPr>
                <w:spacing w:val="24"/>
                <w:sz w:val="24"/>
              </w:rPr>
              <w:t>行技术交底， 拆除时的安全措施是否落实。</w:t>
            </w:r>
          </w:p>
        </w:tc>
      </w:tr>
      <w:tr>
        <w:tblPrEx>
          <w:tblW w:w="0" w:type="auto"/>
          <w:jc w:val="left"/>
          <w:tblInd w:w="405" w:type="dxa"/>
          <w:tblLayout w:type="fixed"/>
          <w:tblCellMar>
            <w:top w:w="0" w:type="dxa"/>
            <w:left w:w="0" w:type="dxa"/>
            <w:bottom w:w="0" w:type="dxa"/>
            <w:right w:w="0" w:type="dxa"/>
          </w:tblCellMar>
          <w:tblLook w:val="01E0"/>
        </w:tblPrEx>
        <w:trPr>
          <w:trHeight w:val="5615"/>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spacing w:before="8"/>
              <w:rPr>
                <w:rFonts w:ascii="Microsoft JhengHei"/>
                <w:b/>
                <w:sz w:val="24"/>
              </w:rPr>
            </w:pPr>
          </w:p>
          <w:p>
            <w:pPr>
              <w:pStyle w:val="TableParagraph"/>
              <w:ind w:left="108"/>
              <w:rPr>
                <w:sz w:val="24"/>
              </w:rPr>
            </w:pPr>
            <w:r>
              <w:rPr>
                <w:spacing w:val="29"/>
                <w:sz w:val="24"/>
              </w:rPr>
              <w:t>塔式起重机</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1）</w:t>
            </w:r>
            <w:r>
              <w:rPr>
                <w:spacing w:val="19"/>
                <w:sz w:val="24"/>
              </w:rPr>
              <w:t xml:space="preserve"> 审查安装单位的专项资质证书， 安装人员的上</w:t>
            </w:r>
            <w:r>
              <w:rPr>
                <w:spacing w:val="34"/>
                <w:sz w:val="24"/>
              </w:rPr>
              <w:t>岗证和安全技术交底情况。</w:t>
            </w:r>
          </w:p>
          <w:p>
            <w:pPr>
              <w:pStyle w:val="TableParagraph"/>
              <w:spacing w:before="1" w:line="364" w:lineRule="auto"/>
              <w:ind w:left="108" w:right="16"/>
              <w:rPr>
                <w:sz w:val="24"/>
              </w:rPr>
            </w:pPr>
            <w:r>
              <w:rPr>
                <w:sz w:val="24"/>
              </w:rPr>
              <w:t>（</w:t>
            </w:r>
            <w:r>
              <w:rPr>
                <w:spacing w:val="-80"/>
                <w:sz w:val="24"/>
              </w:rPr>
              <w:t xml:space="preserve"> </w:t>
            </w:r>
            <w:r>
              <w:rPr>
                <w:sz w:val="24"/>
              </w:rPr>
              <w:t>2）</w:t>
            </w:r>
            <w:r>
              <w:rPr>
                <w:spacing w:val="24"/>
                <w:sz w:val="24"/>
              </w:rPr>
              <w:t>检查塔吊的避雷接地，检查塔吊安装就位情况，</w:t>
            </w:r>
            <w:r>
              <w:rPr>
                <w:spacing w:val="30"/>
                <w:sz w:val="24"/>
              </w:rPr>
              <w:t>塔吊就位后，应由法定检测单位提供认可检测报告。</w:t>
            </w:r>
          </w:p>
          <w:p>
            <w:pPr>
              <w:pStyle w:val="TableParagraph"/>
              <w:spacing w:before="1" w:line="364" w:lineRule="auto"/>
              <w:ind w:left="108" w:right="136"/>
              <w:rPr>
                <w:sz w:val="24"/>
              </w:rPr>
            </w:pPr>
            <w:r>
              <w:rPr>
                <w:sz w:val="24"/>
              </w:rPr>
              <w:t>（</w:t>
            </w:r>
            <w:r>
              <w:rPr>
                <w:spacing w:val="-80"/>
                <w:sz w:val="24"/>
              </w:rPr>
              <w:t xml:space="preserve"> </w:t>
            </w:r>
            <w:r>
              <w:rPr>
                <w:spacing w:val="9"/>
                <w:sz w:val="24"/>
              </w:rPr>
              <w:t>3）</w:t>
            </w:r>
            <w:r>
              <w:rPr>
                <w:spacing w:val="24"/>
                <w:sz w:val="24"/>
              </w:rPr>
              <w:t xml:space="preserve"> 督促施工单位报审《施工机械、安装设施验收</w:t>
            </w:r>
            <w:r>
              <w:rPr>
                <w:spacing w:val="5"/>
                <w:sz w:val="24"/>
              </w:rPr>
              <w:t>核查表》。</w:t>
            </w:r>
          </w:p>
          <w:p>
            <w:pPr>
              <w:pStyle w:val="TableParagraph"/>
              <w:spacing w:before="1"/>
              <w:ind w:left="108"/>
              <w:rPr>
                <w:sz w:val="24"/>
              </w:rPr>
            </w:pPr>
            <w:r>
              <w:rPr>
                <w:sz w:val="24"/>
              </w:rPr>
              <w:t>（</w:t>
            </w:r>
            <w:r>
              <w:rPr>
                <w:spacing w:val="-80"/>
                <w:sz w:val="24"/>
              </w:rPr>
              <w:t xml:space="preserve"> </w:t>
            </w:r>
            <w:r>
              <w:rPr>
                <w:spacing w:val="9"/>
                <w:sz w:val="24"/>
              </w:rPr>
              <w:t>4）</w:t>
            </w:r>
            <w:r>
              <w:rPr>
                <w:spacing w:val="25"/>
                <w:sz w:val="24"/>
              </w:rPr>
              <w:t xml:space="preserve"> 巡视检查驾驶员、起重指挥的上岗证。</w:t>
            </w:r>
          </w:p>
          <w:p>
            <w:pPr>
              <w:pStyle w:val="TableParagraph"/>
              <w:spacing w:before="161" w:line="364" w:lineRule="auto"/>
              <w:ind w:left="108" w:right="136"/>
              <w:rPr>
                <w:sz w:val="24"/>
              </w:rPr>
            </w:pPr>
            <w:r>
              <w:rPr>
                <w:sz w:val="24"/>
              </w:rPr>
              <w:t>（</w:t>
            </w:r>
            <w:r>
              <w:rPr>
                <w:spacing w:val="-80"/>
                <w:sz w:val="24"/>
              </w:rPr>
              <w:t xml:space="preserve"> </w:t>
            </w:r>
            <w:r>
              <w:rPr>
                <w:spacing w:val="9"/>
                <w:sz w:val="24"/>
              </w:rPr>
              <w:t>5）</w:t>
            </w:r>
            <w:r>
              <w:rPr>
                <w:spacing w:val="13"/>
                <w:sz w:val="24"/>
              </w:rPr>
              <w:t xml:space="preserve"> 巡视检查是否有未执行“ 十不吊” 和其他违章</w:t>
            </w:r>
            <w:r>
              <w:rPr>
                <w:spacing w:val="28"/>
                <w:sz w:val="24"/>
              </w:rPr>
              <w:t>吊装情况。</w:t>
            </w:r>
          </w:p>
          <w:p>
            <w:pPr>
              <w:pStyle w:val="TableParagraph"/>
              <w:spacing w:before="1" w:line="364" w:lineRule="auto"/>
              <w:ind w:left="108" w:right="136"/>
              <w:rPr>
                <w:sz w:val="24"/>
              </w:rPr>
            </w:pPr>
            <w:r>
              <w:rPr>
                <w:sz w:val="24"/>
              </w:rPr>
              <w:t>（</w:t>
            </w:r>
            <w:r>
              <w:rPr>
                <w:spacing w:val="-80"/>
                <w:sz w:val="24"/>
              </w:rPr>
              <w:t xml:space="preserve"> </w:t>
            </w:r>
            <w:r>
              <w:rPr>
                <w:spacing w:val="9"/>
                <w:sz w:val="24"/>
              </w:rPr>
              <w:t>6）</w:t>
            </w:r>
            <w:r>
              <w:rPr>
                <w:spacing w:val="18"/>
                <w:sz w:val="24"/>
              </w:rPr>
              <w:t xml:space="preserve"> 拆除时检查拆除单位的专项资质证书， 人员是</w:t>
            </w:r>
            <w:r>
              <w:rPr>
                <w:spacing w:val="20"/>
                <w:sz w:val="24"/>
              </w:rPr>
              <w:t>否持证， 是否进行技术交底， 拆除时的安全措施是</w:t>
            </w:r>
          </w:p>
          <w:p>
            <w:pPr>
              <w:pStyle w:val="TableParagraph"/>
              <w:spacing w:before="1"/>
              <w:ind w:left="108"/>
              <w:rPr>
                <w:sz w:val="24"/>
              </w:rPr>
            </w:pPr>
            <w:r>
              <w:rPr>
                <w:spacing w:val="26"/>
                <w:sz w:val="24"/>
              </w:rPr>
              <w:t>否落实。</w:t>
            </w:r>
          </w:p>
        </w:tc>
      </w:tr>
      <w:tr>
        <w:tblPrEx>
          <w:tblW w:w="0" w:type="auto"/>
          <w:jc w:val="left"/>
          <w:tblInd w:w="405" w:type="dxa"/>
          <w:tblLayout w:type="fixed"/>
          <w:tblCellMar>
            <w:top w:w="0" w:type="dxa"/>
            <w:left w:w="0" w:type="dxa"/>
            <w:bottom w:w="0" w:type="dxa"/>
            <w:right w:w="0" w:type="dxa"/>
          </w:tblCellMar>
          <w:tblLook w:val="01E0"/>
        </w:tblPrEx>
        <w:trPr>
          <w:trHeight w:val="3275"/>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spacing w:before="1"/>
              <w:rPr>
                <w:rFonts w:ascii="Microsoft JhengHei"/>
                <w:b/>
                <w:sz w:val="20"/>
              </w:rPr>
            </w:pPr>
          </w:p>
          <w:p>
            <w:pPr>
              <w:pStyle w:val="TableParagraph"/>
              <w:spacing w:line="364" w:lineRule="auto"/>
              <w:ind w:left="108" w:right="136"/>
              <w:rPr>
                <w:sz w:val="24"/>
              </w:rPr>
            </w:pPr>
            <w:r>
              <w:rPr>
                <w:spacing w:val="15"/>
                <w:sz w:val="24"/>
              </w:rPr>
              <w:t>龙门架、井架物料</w:t>
            </w:r>
            <w:r>
              <w:rPr>
                <w:spacing w:val="22"/>
                <w:sz w:val="24"/>
              </w:rPr>
              <w:t>提升机</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1）</w:t>
            </w:r>
            <w:r>
              <w:rPr>
                <w:spacing w:val="19"/>
                <w:sz w:val="24"/>
              </w:rPr>
              <w:t xml:space="preserve"> 审查安装单位的专项资质证书， 安装人员的上</w:t>
            </w:r>
            <w:r>
              <w:rPr>
                <w:spacing w:val="34"/>
                <w:sz w:val="24"/>
              </w:rPr>
              <w:t>岗证和安全技术交底情况。</w:t>
            </w:r>
          </w:p>
          <w:p>
            <w:pPr>
              <w:pStyle w:val="TableParagraph"/>
              <w:spacing w:before="1" w:line="364" w:lineRule="auto"/>
              <w:ind w:left="108" w:right="136"/>
              <w:rPr>
                <w:sz w:val="24"/>
              </w:rPr>
            </w:pPr>
            <w:r>
              <w:rPr>
                <w:sz w:val="24"/>
              </w:rPr>
              <w:t>（</w:t>
            </w:r>
            <w:r>
              <w:rPr>
                <w:spacing w:val="-80"/>
                <w:sz w:val="24"/>
              </w:rPr>
              <w:t xml:space="preserve"> </w:t>
            </w:r>
            <w:r>
              <w:rPr>
                <w:spacing w:val="9"/>
                <w:sz w:val="24"/>
              </w:rPr>
              <w:t>2）</w:t>
            </w:r>
            <w:r>
              <w:rPr>
                <w:spacing w:val="24"/>
                <w:sz w:val="24"/>
              </w:rPr>
              <w:t xml:space="preserve"> 督促施工单位报审《施工机械、安装设施验收</w:t>
            </w:r>
            <w:r>
              <w:rPr>
                <w:spacing w:val="5"/>
                <w:sz w:val="24"/>
              </w:rPr>
              <w:t>核查表》。</w:t>
            </w:r>
          </w:p>
          <w:p>
            <w:pPr>
              <w:pStyle w:val="TableParagraph"/>
              <w:spacing w:before="1"/>
              <w:ind w:left="108"/>
              <w:rPr>
                <w:sz w:val="24"/>
              </w:rPr>
            </w:pPr>
            <w:r>
              <w:rPr>
                <w:sz w:val="24"/>
              </w:rPr>
              <w:t>（</w:t>
            </w:r>
            <w:r>
              <w:rPr>
                <w:spacing w:val="-80"/>
                <w:sz w:val="24"/>
              </w:rPr>
              <w:t xml:space="preserve"> </w:t>
            </w:r>
            <w:r>
              <w:rPr>
                <w:spacing w:val="9"/>
                <w:sz w:val="24"/>
              </w:rPr>
              <w:t>3）</w:t>
            </w:r>
            <w:r>
              <w:rPr>
                <w:spacing w:val="25"/>
                <w:sz w:val="24"/>
              </w:rPr>
              <w:t xml:space="preserve"> 巡视抽查使用人员上岗证。</w:t>
            </w:r>
          </w:p>
          <w:p>
            <w:pPr>
              <w:pStyle w:val="TableParagraph"/>
              <w:spacing w:before="8" w:line="460" w:lineRule="atLeast"/>
              <w:ind w:left="108" w:right="136"/>
              <w:rPr>
                <w:sz w:val="24"/>
              </w:rPr>
            </w:pPr>
            <w:r>
              <w:rPr>
                <w:sz w:val="24"/>
              </w:rPr>
              <w:t>（</w:t>
            </w:r>
            <w:r>
              <w:rPr>
                <w:spacing w:val="-80"/>
                <w:sz w:val="24"/>
              </w:rPr>
              <w:t xml:space="preserve"> </w:t>
            </w:r>
            <w:r>
              <w:rPr>
                <w:spacing w:val="9"/>
                <w:sz w:val="24"/>
              </w:rPr>
              <w:t>4）</w:t>
            </w:r>
            <w:r>
              <w:rPr>
                <w:spacing w:val="19"/>
                <w:sz w:val="24"/>
              </w:rPr>
              <w:t xml:space="preserve"> 检查拆除单位的专项资质证书， 是否按施工方</w:t>
            </w:r>
            <w:r>
              <w:rPr>
                <w:spacing w:val="34"/>
                <w:sz w:val="24"/>
              </w:rPr>
              <w:t>案规定的要求实施拆除。</w:t>
            </w:r>
          </w:p>
        </w:tc>
      </w:tr>
      <w:tr>
        <w:tblPrEx>
          <w:tblW w:w="0" w:type="auto"/>
          <w:jc w:val="left"/>
          <w:tblInd w:w="405" w:type="dxa"/>
          <w:tblLayout w:type="fixed"/>
          <w:tblCellMar>
            <w:top w:w="0" w:type="dxa"/>
            <w:left w:w="0" w:type="dxa"/>
            <w:bottom w:w="0" w:type="dxa"/>
            <w:right w:w="0" w:type="dxa"/>
          </w:tblCellMar>
          <w:tblLook w:val="01E0"/>
        </w:tblPrEx>
        <w:trPr>
          <w:trHeight w:val="3275"/>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spacing w:before="1"/>
              <w:rPr>
                <w:rFonts w:ascii="Microsoft JhengHei"/>
                <w:b/>
                <w:sz w:val="20"/>
              </w:rPr>
            </w:pPr>
          </w:p>
          <w:p>
            <w:pPr>
              <w:pStyle w:val="TableParagraph"/>
              <w:spacing w:line="364" w:lineRule="auto"/>
              <w:ind w:left="108" w:right="301"/>
              <w:rPr>
                <w:sz w:val="24"/>
              </w:rPr>
            </w:pPr>
            <w:r>
              <w:rPr>
                <w:spacing w:val="32"/>
                <w:sz w:val="24"/>
              </w:rPr>
              <w:t>施工现场临时用</w:t>
            </w:r>
            <w:r>
              <w:rPr>
                <w:spacing w:val="-10"/>
                <w:sz w:val="24"/>
              </w:rPr>
              <w:t>电</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1）</w:t>
            </w:r>
            <w:r>
              <w:rPr>
                <w:spacing w:val="25"/>
                <w:sz w:val="24"/>
              </w:rPr>
              <w:t xml:space="preserve"> 巡视抽查各种用电设备的接零、接地、漏电保</w:t>
            </w:r>
            <w:r>
              <w:rPr>
                <w:spacing w:val="34"/>
                <w:sz w:val="24"/>
              </w:rPr>
              <w:t>护是否符合强制性条文。</w:t>
            </w:r>
          </w:p>
          <w:p>
            <w:pPr>
              <w:pStyle w:val="TableParagraph"/>
              <w:spacing w:before="1"/>
              <w:ind w:left="108"/>
              <w:rPr>
                <w:sz w:val="24"/>
              </w:rPr>
            </w:pPr>
            <w:r>
              <w:rPr>
                <w:sz w:val="24"/>
              </w:rPr>
              <w:t>（</w:t>
            </w:r>
            <w:r>
              <w:rPr>
                <w:spacing w:val="-80"/>
                <w:sz w:val="24"/>
              </w:rPr>
              <w:t xml:space="preserve"> </w:t>
            </w:r>
            <w:r>
              <w:rPr>
                <w:spacing w:val="9"/>
                <w:sz w:val="24"/>
              </w:rPr>
              <w:t>2）</w:t>
            </w:r>
            <w:r>
              <w:rPr>
                <w:spacing w:val="26"/>
                <w:sz w:val="24"/>
              </w:rPr>
              <w:t xml:space="preserve"> 巡视检查线路配线是否符合强制性条文。</w:t>
            </w:r>
          </w:p>
          <w:p>
            <w:pPr>
              <w:pStyle w:val="TableParagraph"/>
              <w:spacing w:before="161" w:line="364" w:lineRule="auto"/>
              <w:ind w:left="108" w:right="136"/>
              <w:rPr>
                <w:sz w:val="24"/>
              </w:rPr>
            </w:pPr>
            <w:r>
              <w:rPr>
                <w:sz w:val="24"/>
              </w:rPr>
              <w:t>（</w:t>
            </w:r>
            <w:r>
              <w:rPr>
                <w:spacing w:val="-80"/>
                <w:sz w:val="24"/>
              </w:rPr>
              <w:t xml:space="preserve"> </w:t>
            </w:r>
            <w:r>
              <w:rPr>
                <w:spacing w:val="9"/>
                <w:sz w:val="24"/>
              </w:rPr>
              <w:t>3）</w:t>
            </w:r>
            <w:r>
              <w:rPr>
                <w:spacing w:val="25"/>
                <w:sz w:val="24"/>
              </w:rPr>
              <w:t xml:space="preserve"> 巡视检查线路加高是否存在乱拖、乱拉、乱接</w:t>
            </w:r>
            <w:r>
              <w:rPr>
                <w:spacing w:val="22"/>
                <w:sz w:val="24"/>
              </w:rPr>
              <w:t>现象。</w:t>
            </w:r>
          </w:p>
          <w:p>
            <w:pPr>
              <w:pStyle w:val="TableParagraph"/>
              <w:spacing w:before="1"/>
              <w:ind w:left="108"/>
              <w:rPr>
                <w:sz w:val="24"/>
              </w:rPr>
            </w:pPr>
            <w:r>
              <w:rPr>
                <w:sz w:val="24"/>
              </w:rPr>
              <w:t>（</w:t>
            </w:r>
            <w:r>
              <w:rPr>
                <w:spacing w:val="-80"/>
                <w:sz w:val="24"/>
              </w:rPr>
              <w:t xml:space="preserve"> </w:t>
            </w:r>
            <w:r>
              <w:rPr>
                <w:spacing w:val="9"/>
                <w:sz w:val="24"/>
              </w:rPr>
              <w:t>4）</w:t>
            </w:r>
            <w:r>
              <w:rPr>
                <w:spacing w:val="25"/>
                <w:sz w:val="24"/>
              </w:rPr>
              <w:t xml:space="preserve"> 巡视检查电线是否存在老化、破损、未包扎等</w:t>
            </w:r>
          </w:p>
          <w:p>
            <w:pPr>
              <w:pStyle w:val="TableParagraph"/>
              <w:spacing w:before="160"/>
              <w:ind w:left="108"/>
              <w:rPr>
                <w:sz w:val="24"/>
              </w:rPr>
            </w:pPr>
            <w:r>
              <w:rPr>
                <w:spacing w:val="22"/>
                <w:sz w:val="24"/>
              </w:rPr>
              <w:t>现象。</w:t>
            </w:r>
          </w:p>
        </w:tc>
      </w:tr>
    </w:tbl>
    <w:p>
      <w:pPr>
        <w:spacing w:after="0"/>
        <w:rPr>
          <w:sz w:val="24"/>
        </w:rPr>
        <w:sectPr>
          <w:headerReference w:type="default" r:id="rId39"/>
          <w:footerReference w:type="default" r:id="rId40"/>
          <w:type w:val="continuous"/>
          <w:pgSz w:w="11910" w:h="16840"/>
          <w:pgMar w:top="1420" w:right="120" w:bottom="1559" w:left="680" w:header="884" w:footer="991"/>
          <w:pgNumType w:start="18"/>
          <w:cols w:space="708"/>
        </w:sectPr>
      </w:pPr>
    </w:p>
    <w:tbl>
      <w:tblPr>
        <w:tblStyle w:val="TableNormal2"/>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0"/>
        <w:gridCol w:w="648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2340" w:type="dxa"/>
          </w:tcPr>
          <w:p>
            <w:pPr>
              <w:pStyle w:val="TableParagraph"/>
              <w:spacing w:before="82"/>
              <w:ind w:left="108"/>
              <w:rPr>
                <w:sz w:val="24"/>
              </w:rPr>
            </w:pPr>
            <w:r>
              <w:rPr>
                <w:spacing w:val="-21"/>
                <w:sz w:val="24"/>
              </w:rPr>
              <w:t>内容</w:t>
            </w:r>
            <w:r>
              <w:rPr>
                <w:sz w:val="24"/>
              </w:rPr>
              <w:t>（</w:t>
            </w:r>
            <w:r>
              <w:rPr>
                <w:spacing w:val="13"/>
                <w:sz w:val="24"/>
              </w:rPr>
              <w:t xml:space="preserve"> 作业/设施</w:t>
            </w:r>
            <w:r>
              <w:rPr>
                <w:spacing w:val="-10"/>
                <w:sz w:val="24"/>
              </w:rPr>
              <w:t>）</w:t>
            </w:r>
          </w:p>
        </w:tc>
        <w:tc>
          <w:tcPr>
            <w:tcW w:w="6480" w:type="dxa"/>
          </w:tcPr>
          <w:p>
            <w:pPr>
              <w:pStyle w:val="TableParagraph"/>
              <w:spacing w:before="82"/>
              <w:ind w:left="108"/>
              <w:rPr>
                <w:sz w:val="24"/>
              </w:rPr>
            </w:pPr>
            <w:r>
              <w:rPr>
                <w:spacing w:val="26"/>
                <w:sz w:val="24"/>
              </w:rPr>
              <w:t>安 全</w:t>
            </w:r>
            <w:r>
              <w:rPr>
                <w:spacing w:val="20"/>
                <w:w w:val="150"/>
                <w:sz w:val="24"/>
              </w:rPr>
              <w:t xml:space="preserve"> </w:t>
            </w:r>
            <w:r>
              <w:rPr>
                <w:spacing w:val="31"/>
                <w:sz w:val="24"/>
              </w:rPr>
              <w:t>监 督 措</w:t>
            </w:r>
            <w:r>
              <w:rPr>
                <w:spacing w:val="20"/>
                <w:w w:val="150"/>
                <w:sz w:val="24"/>
              </w:rPr>
              <w:t xml:space="preserve"> </w:t>
            </w:r>
            <w:r>
              <w:rPr>
                <w:spacing w:val="-10"/>
                <w:sz w:val="24"/>
              </w:rPr>
              <w:t>施</w:t>
            </w:r>
          </w:p>
        </w:tc>
      </w:tr>
      <w:tr>
        <w:tblPrEx>
          <w:tblW w:w="0" w:type="auto"/>
          <w:jc w:val="left"/>
          <w:tblInd w:w="405" w:type="dxa"/>
          <w:tblLayout w:type="fixed"/>
          <w:tblCellMar>
            <w:top w:w="0" w:type="dxa"/>
            <w:left w:w="0" w:type="dxa"/>
            <w:bottom w:w="0" w:type="dxa"/>
            <w:right w:w="0" w:type="dxa"/>
          </w:tblCellMar>
          <w:tblLook w:val="01E0"/>
        </w:tblPrEx>
        <w:trPr>
          <w:trHeight w:val="2340"/>
          <w:jc w:val="left"/>
        </w:trPr>
        <w:tc>
          <w:tcPr>
            <w:tcW w:w="2340" w:type="dxa"/>
          </w:tcPr>
          <w:p>
            <w:pPr>
              <w:pStyle w:val="TableParagraph"/>
              <w:rPr>
                <w:rFonts w:ascii="Times New Roman"/>
                <w:sz w:val="22"/>
              </w:rPr>
            </w:pP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5）</w:t>
            </w:r>
            <w:r>
              <w:rPr>
                <w:spacing w:val="24"/>
                <w:sz w:val="24"/>
              </w:rPr>
              <w:t xml:space="preserve"> 督促施工方在检查电器、线路维修时悬挂停电</w:t>
            </w:r>
            <w:r>
              <w:rPr>
                <w:spacing w:val="33"/>
                <w:sz w:val="24"/>
              </w:rPr>
              <w:t>标志并专人监控。</w:t>
            </w:r>
          </w:p>
          <w:p>
            <w:pPr>
              <w:pStyle w:val="TableParagraph"/>
              <w:spacing w:before="1"/>
              <w:ind w:left="108"/>
              <w:rPr>
                <w:sz w:val="24"/>
              </w:rPr>
            </w:pPr>
            <w:r>
              <w:rPr>
                <w:sz w:val="24"/>
              </w:rPr>
              <w:t>（</w:t>
            </w:r>
            <w:r>
              <w:rPr>
                <w:spacing w:val="-80"/>
                <w:sz w:val="24"/>
              </w:rPr>
              <w:t xml:space="preserve"> </w:t>
            </w:r>
            <w:r>
              <w:rPr>
                <w:spacing w:val="9"/>
                <w:sz w:val="24"/>
              </w:rPr>
              <w:t>6）</w:t>
            </w:r>
            <w:r>
              <w:rPr>
                <w:spacing w:val="25"/>
                <w:sz w:val="24"/>
              </w:rPr>
              <w:t xml:space="preserve"> 督促施工方在停、送电时有专人负责。</w:t>
            </w:r>
          </w:p>
          <w:p>
            <w:pPr>
              <w:pStyle w:val="TableParagraph"/>
              <w:spacing w:line="470" w:lineRule="atLeast"/>
              <w:ind w:left="108" w:right="136"/>
              <w:rPr>
                <w:sz w:val="24"/>
              </w:rPr>
            </w:pPr>
            <w:r>
              <w:rPr>
                <w:sz w:val="24"/>
              </w:rPr>
              <w:t>（</w:t>
            </w:r>
            <w:r>
              <w:rPr>
                <w:spacing w:val="-80"/>
                <w:sz w:val="24"/>
              </w:rPr>
              <w:t xml:space="preserve"> </w:t>
            </w:r>
            <w:r>
              <w:rPr>
                <w:spacing w:val="9"/>
                <w:sz w:val="24"/>
              </w:rPr>
              <w:t>7）</w:t>
            </w:r>
            <w:r>
              <w:rPr>
                <w:spacing w:val="17"/>
                <w:sz w:val="24"/>
              </w:rPr>
              <w:t xml:space="preserve"> 巡视检查每台用电设备是否有各自开关箱， 并</w:t>
            </w:r>
            <w:r>
              <w:rPr>
                <w:spacing w:val="35"/>
                <w:sz w:val="24"/>
              </w:rPr>
              <w:t>符合一机、一闸、一漏原则。</w:t>
            </w:r>
          </w:p>
        </w:tc>
      </w:tr>
      <w:tr>
        <w:tblPrEx>
          <w:tblW w:w="0" w:type="auto"/>
          <w:jc w:val="left"/>
          <w:tblInd w:w="405" w:type="dxa"/>
          <w:tblLayout w:type="fixed"/>
          <w:tblCellMar>
            <w:top w:w="0" w:type="dxa"/>
            <w:left w:w="0" w:type="dxa"/>
            <w:bottom w:w="0" w:type="dxa"/>
            <w:right w:w="0" w:type="dxa"/>
          </w:tblCellMar>
          <w:tblLook w:val="01E0"/>
        </w:tblPrEx>
        <w:trPr>
          <w:trHeight w:val="936"/>
          <w:jc w:val="left"/>
        </w:trPr>
        <w:tc>
          <w:tcPr>
            <w:tcW w:w="2340" w:type="dxa"/>
          </w:tcPr>
          <w:p>
            <w:pPr>
              <w:pStyle w:val="TableParagraph"/>
              <w:spacing w:before="3"/>
              <w:rPr>
                <w:rFonts w:ascii="Microsoft JhengHei"/>
                <w:b/>
                <w:sz w:val="17"/>
              </w:rPr>
            </w:pPr>
          </w:p>
          <w:p>
            <w:pPr>
              <w:pStyle w:val="TableParagraph"/>
              <w:ind w:left="108"/>
              <w:rPr>
                <w:sz w:val="24"/>
              </w:rPr>
            </w:pPr>
            <w:r>
              <w:rPr>
                <w:spacing w:val="26"/>
                <w:sz w:val="24"/>
              </w:rPr>
              <w:t>施工机具</w:t>
            </w:r>
          </w:p>
        </w:tc>
        <w:tc>
          <w:tcPr>
            <w:tcW w:w="6480" w:type="dxa"/>
          </w:tcPr>
          <w:p>
            <w:pPr>
              <w:pStyle w:val="TableParagraph"/>
              <w:spacing w:before="82"/>
              <w:ind w:left="108"/>
              <w:rPr>
                <w:sz w:val="24"/>
              </w:rPr>
            </w:pPr>
            <w:r>
              <w:rPr>
                <w:sz w:val="24"/>
              </w:rPr>
              <w:t>（</w:t>
            </w:r>
            <w:r>
              <w:rPr>
                <w:spacing w:val="-80"/>
                <w:sz w:val="24"/>
              </w:rPr>
              <w:t xml:space="preserve"> </w:t>
            </w:r>
            <w:r>
              <w:rPr>
                <w:spacing w:val="9"/>
                <w:sz w:val="24"/>
              </w:rPr>
              <w:t>1）</w:t>
            </w:r>
            <w:r>
              <w:rPr>
                <w:spacing w:val="26"/>
                <w:sz w:val="24"/>
              </w:rPr>
              <w:t xml:space="preserve"> 巡视检查机械防护是否做到轮有罩、轴有帽。</w:t>
            </w:r>
          </w:p>
          <w:p>
            <w:pPr>
              <w:pStyle w:val="TableParagraph"/>
              <w:spacing w:before="160"/>
              <w:ind w:left="108"/>
              <w:rPr>
                <w:sz w:val="24"/>
              </w:rPr>
            </w:pPr>
            <w:r>
              <w:rPr>
                <w:sz w:val="24"/>
              </w:rPr>
              <w:t>（</w:t>
            </w:r>
            <w:r>
              <w:rPr>
                <w:spacing w:val="-80"/>
                <w:sz w:val="24"/>
              </w:rPr>
              <w:t xml:space="preserve"> </w:t>
            </w:r>
            <w:r>
              <w:rPr>
                <w:spacing w:val="9"/>
                <w:sz w:val="24"/>
              </w:rPr>
              <w:t>2）</w:t>
            </w:r>
            <w:r>
              <w:rPr>
                <w:spacing w:val="23"/>
                <w:sz w:val="24"/>
              </w:rPr>
              <w:t xml:space="preserve"> 凡机械工必须持证操作。</w:t>
            </w:r>
          </w:p>
        </w:tc>
      </w:tr>
      <w:tr>
        <w:tblPrEx>
          <w:tblW w:w="0" w:type="auto"/>
          <w:jc w:val="left"/>
          <w:tblInd w:w="405" w:type="dxa"/>
          <w:tblLayout w:type="fixed"/>
          <w:tblCellMar>
            <w:top w:w="0" w:type="dxa"/>
            <w:left w:w="0" w:type="dxa"/>
            <w:bottom w:w="0" w:type="dxa"/>
            <w:right w:w="0" w:type="dxa"/>
          </w:tblCellMar>
          <w:tblLook w:val="01E0"/>
        </w:tblPrEx>
        <w:trPr>
          <w:trHeight w:val="3743"/>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spacing w:before="15"/>
              <w:rPr>
                <w:rFonts w:ascii="Microsoft JhengHei"/>
                <w:b/>
                <w:sz w:val="32"/>
              </w:rPr>
            </w:pPr>
          </w:p>
          <w:p>
            <w:pPr>
              <w:pStyle w:val="TableParagraph"/>
              <w:spacing w:line="364" w:lineRule="auto"/>
              <w:ind w:left="108" w:right="301"/>
              <w:rPr>
                <w:sz w:val="24"/>
              </w:rPr>
            </w:pPr>
            <w:r>
              <w:rPr>
                <w:spacing w:val="32"/>
                <w:sz w:val="24"/>
              </w:rPr>
              <w:t>基坑支护与土方</w:t>
            </w:r>
            <w:r>
              <w:rPr>
                <w:spacing w:val="15"/>
                <w:sz w:val="24"/>
              </w:rPr>
              <w:t>开挖</w:t>
            </w:r>
          </w:p>
        </w:tc>
        <w:tc>
          <w:tcPr>
            <w:tcW w:w="6480" w:type="dxa"/>
          </w:tcPr>
          <w:p>
            <w:pPr>
              <w:pStyle w:val="TableParagraph"/>
              <w:spacing w:before="82"/>
              <w:ind w:left="108"/>
              <w:rPr>
                <w:sz w:val="24"/>
              </w:rPr>
            </w:pPr>
            <w:r>
              <w:rPr>
                <w:sz w:val="24"/>
              </w:rPr>
              <w:t>（</w:t>
            </w:r>
            <w:r>
              <w:rPr>
                <w:spacing w:val="-80"/>
                <w:sz w:val="24"/>
              </w:rPr>
              <w:t xml:space="preserve"> </w:t>
            </w:r>
            <w:r>
              <w:rPr>
                <w:spacing w:val="9"/>
                <w:sz w:val="24"/>
              </w:rPr>
              <w:t>1）</w:t>
            </w:r>
            <w:r>
              <w:rPr>
                <w:spacing w:val="25"/>
                <w:sz w:val="24"/>
              </w:rPr>
              <w:t xml:space="preserve"> 检查操作人员安全技术交底情况。</w:t>
            </w:r>
          </w:p>
          <w:p>
            <w:pPr>
              <w:pStyle w:val="TableParagraph"/>
              <w:spacing w:before="160" w:line="364" w:lineRule="auto"/>
              <w:ind w:left="108" w:right="136"/>
              <w:rPr>
                <w:sz w:val="24"/>
              </w:rPr>
            </w:pPr>
            <w:r>
              <w:rPr>
                <w:sz w:val="24"/>
              </w:rPr>
              <w:t>（</w:t>
            </w:r>
            <w:r>
              <w:rPr>
                <w:spacing w:val="-80"/>
                <w:sz w:val="24"/>
              </w:rPr>
              <w:t xml:space="preserve"> </w:t>
            </w:r>
            <w:r>
              <w:rPr>
                <w:spacing w:val="11"/>
                <w:sz w:val="24"/>
              </w:rPr>
              <w:t>2）</w:t>
            </w:r>
            <w:r>
              <w:rPr>
                <w:spacing w:val="37"/>
                <w:sz w:val="24"/>
              </w:rPr>
              <w:t>巡视检查施工机械的作业位置是否符合施工方</w:t>
            </w:r>
            <w:r>
              <w:rPr>
                <w:spacing w:val="24"/>
                <w:sz w:val="24"/>
              </w:rPr>
              <w:t>案， 其他人员是否进入挖土机作业区域。</w:t>
            </w:r>
          </w:p>
          <w:p>
            <w:pPr>
              <w:pStyle w:val="TableParagraph"/>
              <w:spacing w:before="2" w:line="364" w:lineRule="auto"/>
              <w:ind w:left="108" w:right="136"/>
              <w:rPr>
                <w:sz w:val="24"/>
              </w:rPr>
            </w:pPr>
            <w:r>
              <w:rPr>
                <w:sz w:val="24"/>
              </w:rPr>
              <w:t>（</w:t>
            </w:r>
            <w:r>
              <w:rPr>
                <w:spacing w:val="-80"/>
                <w:sz w:val="24"/>
              </w:rPr>
              <w:t xml:space="preserve"> </w:t>
            </w:r>
            <w:r>
              <w:rPr>
                <w:spacing w:val="9"/>
                <w:sz w:val="24"/>
              </w:rPr>
              <w:t>3）</w:t>
            </w:r>
            <w:r>
              <w:rPr>
                <w:spacing w:val="24"/>
                <w:sz w:val="24"/>
              </w:rPr>
              <w:t xml:space="preserve"> 巡视检查土方开挖的顺序、方法是否同设计工</w:t>
            </w:r>
            <w:r>
              <w:rPr>
                <w:spacing w:val="20"/>
                <w:sz w:val="24"/>
              </w:rPr>
              <w:t>艺一致， 是否遵循“ 开槽支撑、先撑后挖、分层开挖、严禁超挖” 原则。</w:t>
            </w:r>
          </w:p>
          <w:p>
            <w:pPr>
              <w:pStyle w:val="TableParagraph"/>
              <w:spacing w:before="1"/>
              <w:ind w:left="108"/>
              <w:rPr>
                <w:sz w:val="24"/>
              </w:rPr>
            </w:pPr>
            <w:r>
              <w:rPr>
                <w:sz w:val="24"/>
              </w:rPr>
              <w:t>（</w:t>
            </w:r>
            <w:r>
              <w:rPr>
                <w:spacing w:val="-80"/>
                <w:sz w:val="24"/>
              </w:rPr>
              <w:t xml:space="preserve"> </w:t>
            </w:r>
            <w:r>
              <w:rPr>
                <w:spacing w:val="9"/>
                <w:sz w:val="24"/>
              </w:rPr>
              <w:t>4）</w:t>
            </w:r>
            <w:r>
              <w:rPr>
                <w:spacing w:val="18"/>
                <w:sz w:val="24"/>
              </w:rPr>
              <w:t xml:space="preserve"> 检查基坑四周是否设置排水沟， 基坑有否严重</w:t>
            </w:r>
          </w:p>
          <w:p>
            <w:pPr>
              <w:pStyle w:val="TableParagraph"/>
              <w:spacing w:before="161"/>
              <w:ind w:left="108"/>
              <w:rPr>
                <w:sz w:val="24"/>
              </w:rPr>
            </w:pPr>
            <w:r>
              <w:rPr>
                <w:spacing w:val="23"/>
                <w:sz w:val="24"/>
              </w:rPr>
              <w:t>积水现象， 降水措施的检查效果。</w:t>
            </w:r>
          </w:p>
        </w:tc>
      </w:tr>
      <w:tr>
        <w:tblPrEx>
          <w:tblW w:w="0" w:type="auto"/>
          <w:jc w:val="left"/>
          <w:tblInd w:w="405" w:type="dxa"/>
          <w:tblLayout w:type="fixed"/>
          <w:tblCellMar>
            <w:top w:w="0" w:type="dxa"/>
            <w:left w:w="0" w:type="dxa"/>
            <w:bottom w:w="0" w:type="dxa"/>
            <w:right w:w="0" w:type="dxa"/>
          </w:tblCellMar>
          <w:tblLook w:val="01E0"/>
        </w:tblPrEx>
        <w:trPr>
          <w:trHeight w:val="4211"/>
          <w:jc w:val="left"/>
        </w:trPr>
        <w:tc>
          <w:tcPr>
            <w:tcW w:w="2340" w:type="dxa"/>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spacing w:before="4"/>
              <w:rPr>
                <w:rFonts w:ascii="Microsoft JhengHei"/>
                <w:b/>
                <w:sz w:val="34"/>
              </w:rPr>
            </w:pPr>
          </w:p>
          <w:p>
            <w:pPr>
              <w:pStyle w:val="TableParagraph"/>
              <w:spacing w:before="1"/>
              <w:ind w:left="108"/>
              <w:rPr>
                <w:sz w:val="24"/>
              </w:rPr>
            </w:pPr>
            <w:r>
              <w:rPr>
                <w:spacing w:val="26"/>
                <w:sz w:val="24"/>
              </w:rPr>
              <w:t>桩基工程</w:t>
            </w: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1）</w:t>
            </w:r>
            <w:r>
              <w:rPr>
                <w:spacing w:val="18"/>
                <w:sz w:val="24"/>
              </w:rPr>
              <w:t xml:space="preserve"> 巡视检查临边处是否设置防护栏杆， 是否牢固</w:t>
            </w:r>
            <w:r>
              <w:rPr>
                <w:spacing w:val="15"/>
                <w:sz w:val="24"/>
              </w:rPr>
              <w:t>可靠</w:t>
            </w:r>
          </w:p>
          <w:p>
            <w:pPr>
              <w:pStyle w:val="TableParagraph"/>
              <w:spacing w:before="1" w:line="364" w:lineRule="auto"/>
              <w:ind w:left="108" w:right="16"/>
              <w:rPr>
                <w:sz w:val="24"/>
              </w:rPr>
            </w:pPr>
            <w:r>
              <w:rPr>
                <w:sz w:val="24"/>
              </w:rPr>
              <w:t>（</w:t>
            </w:r>
            <w:r>
              <w:rPr>
                <w:spacing w:val="-80"/>
                <w:sz w:val="24"/>
              </w:rPr>
              <w:t xml:space="preserve"> </w:t>
            </w:r>
            <w:r>
              <w:rPr>
                <w:spacing w:val="11"/>
                <w:sz w:val="24"/>
              </w:rPr>
              <w:t>2）</w:t>
            </w:r>
            <w:r>
              <w:rPr>
                <w:spacing w:val="37"/>
                <w:sz w:val="24"/>
              </w:rPr>
              <w:t>督促施工单位定期对围护结构和边坡的位移和</w:t>
            </w:r>
            <w:r>
              <w:rPr>
                <w:spacing w:val="31"/>
                <w:sz w:val="24"/>
              </w:rPr>
              <w:t>沉降进行监控测量，督促施工方按时提交测量数据，</w:t>
            </w:r>
            <w:r>
              <w:rPr>
                <w:spacing w:val="35"/>
                <w:sz w:val="24"/>
              </w:rPr>
              <w:t>发现问题时督促施工方处理。</w:t>
            </w:r>
          </w:p>
          <w:p>
            <w:pPr>
              <w:pStyle w:val="TableParagraph"/>
              <w:spacing w:before="2" w:line="364" w:lineRule="auto"/>
              <w:ind w:left="108" w:right="136"/>
              <w:rPr>
                <w:sz w:val="24"/>
              </w:rPr>
            </w:pPr>
            <w:r>
              <w:rPr>
                <w:sz w:val="24"/>
              </w:rPr>
              <w:t>（</w:t>
            </w:r>
            <w:r>
              <w:rPr>
                <w:spacing w:val="-80"/>
                <w:sz w:val="24"/>
              </w:rPr>
              <w:t xml:space="preserve"> </w:t>
            </w:r>
            <w:r>
              <w:rPr>
                <w:spacing w:val="11"/>
                <w:sz w:val="24"/>
              </w:rPr>
              <w:t>3）</w:t>
            </w:r>
            <w:r>
              <w:rPr>
                <w:spacing w:val="37"/>
                <w:sz w:val="24"/>
              </w:rPr>
              <w:t>巡视检查基坑周边堆物荷载和施工机械施工是</w:t>
            </w:r>
            <w:r>
              <w:rPr>
                <w:spacing w:val="24"/>
                <w:sz w:val="24"/>
              </w:rPr>
              <w:t>否符合施工方案， 有否超堆荷载和施工机械施工不</w:t>
            </w:r>
            <w:r>
              <w:rPr>
                <w:spacing w:val="28"/>
                <w:sz w:val="24"/>
              </w:rPr>
              <w:t>合理情况。</w:t>
            </w:r>
          </w:p>
          <w:p>
            <w:pPr>
              <w:pStyle w:val="TableParagraph"/>
              <w:spacing w:before="2"/>
              <w:ind w:left="108"/>
              <w:rPr>
                <w:sz w:val="24"/>
              </w:rPr>
            </w:pPr>
            <w:r>
              <w:rPr>
                <w:sz w:val="24"/>
              </w:rPr>
              <w:t>（</w:t>
            </w:r>
            <w:r>
              <w:rPr>
                <w:spacing w:val="-80"/>
                <w:sz w:val="24"/>
              </w:rPr>
              <w:t xml:space="preserve"> </w:t>
            </w:r>
            <w:r>
              <w:rPr>
                <w:spacing w:val="9"/>
                <w:sz w:val="24"/>
              </w:rPr>
              <w:t>4）</w:t>
            </w:r>
            <w:r>
              <w:rPr>
                <w:spacing w:val="25"/>
                <w:sz w:val="24"/>
              </w:rPr>
              <w:t xml:space="preserve"> 巡视检查桩机作业区有否警告标志。</w:t>
            </w:r>
          </w:p>
        </w:tc>
      </w:tr>
      <w:tr>
        <w:tblPrEx>
          <w:tblW w:w="0" w:type="auto"/>
          <w:jc w:val="left"/>
          <w:tblInd w:w="405" w:type="dxa"/>
          <w:tblLayout w:type="fixed"/>
          <w:tblCellMar>
            <w:top w:w="0" w:type="dxa"/>
            <w:left w:w="0" w:type="dxa"/>
            <w:bottom w:w="0" w:type="dxa"/>
            <w:right w:w="0" w:type="dxa"/>
          </w:tblCellMar>
          <w:tblLook w:val="01E0"/>
        </w:tblPrEx>
        <w:trPr>
          <w:trHeight w:val="1871"/>
          <w:jc w:val="left"/>
        </w:trPr>
        <w:tc>
          <w:tcPr>
            <w:tcW w:w="2340" w:type="dxa"/>
          </w:tcPr>
          <w:p>
            <w:pPr>
              <w:pStyle w:val="TableParagraph"/>
              <w:spacing w:before="16"/>
              <w:rPr>
                <w:rFonts w:ascii="Microsoft JhengHei"/>
                <w:b/>
                <w:sz w:val="29"/>
              </w:rPr>
            </w:pPr>
          </w:p>
          <w:p>
            <w:pPr>
              <w:pStyle w:val="TableParagraph"/>
              <w:spacing w:before="1" w:line="364" w:lineRule="auto"/>
              <w:ind w:left="108" w:right="301"/>
              <w:rPr>
                <w:sz w:val="24"/>
              </w:rPr>
            </w:pPr>
            <w:r>
              <w:rPr>
                <w:spacing w:val="32"/>
                <w:sz w:val="24"/>
              </w:rPr>
              <w:t>模板及其支撑工</w:t>
            </w:r>
            <w:r>
              <w:rPr>
                <w:spacing w:val="-10"/>
                <w:sz w:val="24"/>
              </w:rPr>
              <w:t>程</w:t>
            </w:r>
          </w:p>
        </w:tc>
        <w:tc>
          <w:tcPr>
            <w:tcW w:w="6480" w:type="dxa"/>
          </w:tcPr>
          <w:p>
            <w:pPr>
              <w:pStyle w:val="TableParagraph"/>
              <w:spacing w:before="82"/>
              <w:ind w:left="108"/>
              <w:rPr>
                <w:sz w:val="24"/>
              </w:rPr>
            </w:pPr>
            <w:r>
              <w:rPr>
                <w:sz w:val="24"/>
              </w:rPr>
              <w:t>（</w:t>
            </w:r>
            <w:r>
              <w:rPr>
                <w:spacing w:val="-80"/>
                <w:sz w:val="24"/>
              </w:rPr>
              <w:t xml:space="preserve"> </w:t>
            </w:r>
            <w:r>
              <w:rPr>
                <w:spacing w:val="9"/>
                <w:sz w:val="24"/>
              </w:rPr>
              <w:t>1）</w:t>
            </w:r>
            <w:r>
              <w:rPr>
                <w:spacing w:val="25"/>
                <w:sz w:val="24"/>
              </w:rPr>
              <w:t xml:space="preserve"> 检查搭设人员安全技术交底情况。</w:t>
            </w:r>
          </w:p>
          <w:p>
            <w:pPr>
              <w:pStyle w:val="TableParagraph"/>
              <w:spacing w:before="8" w:line="460" w:lineRule="atLeast"/>
              <w:ind w:left="108" w:right="136"/>
              <w:rPr>
                <w:sz w:val="24"/>
              </w:rPr>
            </w:pPr>
            <w:r>
              <w:rPr>
                <w:sz w:val="24"/>
              </w:rPr>
              <w:t>（</w:t>
            </w:r>
            <w:r>
              <w:rPr>
                <w:spacing w:val="-80"/>
                <w:sz w:val="24"/>
              </w:rPr>
              <w:t xml:space="preserve"> </w:t>
            </w:r>
            <w:r>
              <w:rPr>
                <w:spacing w:val="9"/>
                <w:sz w:val="24"/>
              </w:rPr>
              <w:t>2）</w:t>
            </w:r>
            <w:r>
              <w:rPr>
                <w:spacing w:val="19"/>
                <w:sz w:val="24"/>
              </w:rPr>
              <w:t xml:space="preserve"> 核查《模板支撑系统验收记录表》， 抽查部分</w:t>
            </w:r>
            <w:r>
              <w:rPr>
                <w:spacing w:val="36"/>
                <w:sz w:val="24"/>
              </w:rPr>
              <w:t>项目的验收结果与实际搭设的相符性以及和施工方</w:t>
            </w:r>
            <w:r>
              <w:rPr>
                <w:spacing w:val="30"/>
                <w:sz w:val="24"/>
              </w:rPr>
              <w:t>案的相符性。</w:t>
            </w:r>
          </w:p>
        </w:tc>
      </w:tr>
    </w:tbl>
    <w:p>
      <w:pPr>
        <w:spacing w:after="0" w:line="460" w:lineRule="atLeast"/>
        <w:rPr>
          <w:sz w:val="24"/>
        </w:rPr>
        <w:sectPr>
          <w:headerReference w:type="default" r:id="rId41"/>
          <w:footerReference w:type="default" r:id="rId42"/>
          <w:type w:val="continuous"/>
          <w:pgSz w:w="11910" w:h="16840"/>
          <w:pgMar w:top="1420" w:right="120" w:bottom="1548" w:left="680" w:header="884" w:footer="991"/>
          <w:pgNumType w:start="19"/>
          <w:cols w:space="708"/>
        </w:sectPr>
      </w:pPr>
    </w:p>
    <w:tbl>
      <w:tblPr>
        <w:tblStyle w:val="TableNormal3"/>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0"/>
        <w:gridCol w:w="648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2340" w:type="dxa"/>
          </w:tcPr>
          <w:p>
            <w:pPr>
              <w:pStyle w:val="TableParagraph"/>
              <w:spacing w:before="82"/>
              <w:ind w:left="108"/>
              <w:rPr>
                <w:sz w:val="24"/>
              </w:rPr>
            </w:pPr>
            <w:r>
              <w:rPr>
                <w:spacing w:val="-21"/>
                <w:sz w:val="24"/>
              </w:rPr>
              <w:t>内容</w:t>
            </w:r>
            <w:r>
              <w:rPr>
                <w:sz w:val="24"/>
              </w:rPr>
              <w:t>（</w:t>
            </w:r>
            <w:r>
              <w:rPr>
                <w:spacing w:val="13"/>
                <w:sz w:val="24"/>
              </w:rPr>
              <w:t xml:space="preserve"> 作业/设施</w:t>
            </w:r>
            <w:r>
              <w:rPr>
                <w:spacing w:val="-10"/>
                <w:sz w:val="24"/>
              </w:rPr>
              <w:t>）</w:t>
            </w:r>
          </w:p>
        </w:tc>
        <w:tc>
          <w:tcPr>
            <w:tcW w:w="6480" w:type="dxa"/>
          </w:tcPr>
          <w:p>
            <w:pPr>
              <w:pStyle w:val="TableParagraph"/>
              <w:spacing w:before="82"/>
              <w:ind w:left="108"/>
              <w:rPr>
                <w:sz w:val="24"/>
              </w:rPr>
            </w:pPr>
            <w:r>
              <w:rPr>
                <w:spacing w:val="26"/>
                <w:sz w:val="24"/>
              </w:rPr>
              <w:t>安 全</w:t>
            </w:r>
            <w:r>
              <w:rPr>
                <w:spacing w:val="20"/>
                <w:w w:val="150"/>
                <w:sz w:val="24"/>
              </w:rPr>
              <w:t xml:space="preserve"> </w:t>
            </w:r>
            <w:r>
              <w:rPr>
                <w:spacing w:val="31"/>
                <w:sz w:val="24"/>
              </w:rPr>
              <w:t>监 督 措</w:t>
            </w:r>
            <w:r>
              <w:rPr>
                <w:spacing w:val="20"/>
                <w:w w:val="150"/>
                <w:sz w:val="24"/>
              </w:rPr>
              <w:t xml:space="preserve"> </w:t>
            </w:r>
            <w:r>
              <w:rPr>
                <w:spacing w:val="-10"/>
                <w:sz w:val="24"/>
              </w:rPr>
              <w:t>施</w:t>
            </w:r>
          </w:p>
        </w:tc>
      </w:tr>
      <w:tr>
        <w:tblPrEx>
          <w:tblW w:w="0" w:type="auto"/>
          <w:jc w:val="left"/>
          <w:tblInd w:w="405" w:type="dxa"/>
          <w:tblLayout w:type="fixed"/>
          <w:tblCellMar>
            <w:top w:w="0" w:type="dxa"/>
            <w:left w:w="0" w:type="dxa"/>
            <w:bottom w:w="0" w:type="dxa"/>
            <w:right w:w="0" w:type="dxa"/>
          </w:tblCellMar>
          <w:tblLook w:val="01E0"/>
        </w:tblPrEx>
        <w:trPr>
          <w:trHeight w:val="1871"/>
          <w:jc w:val="left"/>
        </w:trPr>
        <w:tc>
          <w:tcPr>
            <w:tcW w:w="2340" w:type="dxa"/>
          </w:tcPr>
          <w:p>
            <w:pPr>
              <w:pStyle w:val="TableParagraph"/>
              <w:rPr>
                <w:rFonts w:ascii="Times New Roman"/>
                <w:sz w:val="22"/>
              </w:rPr>
            </w:pPr>
          </w:p>
        </w:tc>
        <w:tc>
          <w:tcPr>
            <w:tcW w:w="6480" w:type="dxa"/>
          </w:tcPr>
          <w:p>
            <w:pPr>
              <w:pStyle w:val="TableParagraph"/>
              <w:spacing w:before="82" w:line="364" w:lineRule="auto"/>
              <w:ind w:left="108" w:right="136"/>
              <w:rPr>
                <w:sz w:val="24"/>
              </w:rPr>
            </w:pPr>
            <w:r>
              <w:rPr>
                <w:sz w:val="24"/>
              </w:rPr>
              <w:t>（</w:t>
            </w:r>
            <w:r>
              <w:rPr>
                <w:spacing w:val="-80"/>
                <w:sz w:val="24"/>
              </w:rPr>
              <w:t xml:space="preserve"> </w:t>
            </w:r>
            <w:r>
              <w:rPr>
                <w:spacing w:val="9"/>
                <w:sz w:val="24"/>
              </w:rPr>
              <w:t>3）</w:t>
            </w:r>
            <w:r>
              <w:rPr>
                <w:spacing w:val="19"/>
                <w:sz w:val="24"/>
              </w:rPr>
              <w:t xml:space="preserve"> 巡视检查支撑系统的完好情况， 混凝土浇筑时</w:t>
            </w:r>
            <w:r>
              <w:rPr>
                <w:spacing w:val="34"/>
                <w:sz w:val="24"/>
              </w:rPr>
              <w:t>是否有专人负责监护。</w:t>
            </w:r>
          </w:p>
          <w:p>
            <w:pPr>
              <w:pStyle w:val="TableParagraph"/>
              <w:spacing w:before="1"/>
              <w:ind w:left="108"/>
              <w:rPr>
                <w:sz w:val="24"/>
              </w:rPr>
            </w:pPr>
            <w:r>
              <w:rPr>
                <w:sz w:val="24"/>
              </w:rPr>
              <w:t>（</w:t>
            </w:r>
            <w:r>
              <w:rPr>
                <w:spacing w:val="-80"/>
                <w:sz w:val="24"/>
              </w:rPr>
              <w:t xml:space="preserve"> </w:t>
            </w:r>
            <w:r>
              <w:rPr>
                <w:spacing w:val="9"/>
                <w:sz w:val="24"/>
              </w:rPr>
              <w:t>4）</w:t>
            </w:r>
            <w:r>
              <w:rPr>
                <w:spacing w:val="17"/>
                <w:sz w:val="24"/>
              </w:rPr>
              <w:t xml:space="preserve"> 检查拆模时混凝土强度是否达到要求， 拆除顺</w:t>
            </w:r>
          </w:p>
          <w:p>
            <w:pPr>
              <w:pStyle w:val="TableParagraph"/>
              <w:spacing w:before="161"/>
              <w:ind w:left="108"/>
              <w:rPr>
                <w:sz w:val="24"/>
              </w:rPr>
            </w:pPr>
            <w:r>
              <w:rPr>
                <w:spacing w:val="34"/>
                <w:sz w:val="24"/>
              </w:rPr>
              <w:t>序是否符合施工方案。</w:t>
            </w:r>
          </w:p>
        </w:tc>
      </w:tr>
    </w:tbl>
    <w:p>
      <w:pPr>
        <w:spacing w:before="25"/>
        <w:ind w:left="697" w:right="0" w:firstLine="0"/>
        <w:jc w:val="left"/>
        <w:rPr>
          <w:rFonts w:ascii="Microsoft JhengHei" w:eastAsia="Microsoft JhengHei"/>
          <w:b/>
          <w:sz w:val="24"/>
        </w:rPr>
      </w:pPr>
      <w:r>
        <w:rPr>
          <w:rFonts w:ascii="Microsoft JhengHei" w:eastAsia="Microsoft JhengHei"/>
          <w:b/>
          <w:spacing w:val="35"/>
          <w:sz w:val="24"/>
        </w:rPr>
        <w:t>八、现场文明施工控制重点</w:t>
      </w:r>
    </w:p>
    <w:p>
      <w:pPr>
        <w:pStyle w:val="BodyText"/>
        <w:spacing w:before="13"/>
        <w:rPr>
          <w:rFonts w:ascii="Microsoft JhengHei"/>
          <w:b/>
          <w:sz w:val="26"/>
        </w:rPr>
      </w:pPr>
    </w:p>
    <w:tbl>
      <w:tblPr>
        <w:tblStyle w:val="TableNormal3"/>
        <w:tblW w:w="0" w:type="auto"/>
        <w:jc w:val="left"/>
        <w:tblInd w:w="4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27"/>
        <w:gridCol w:w="7262"/>
      </w:tblGrid>
      <w:tr>
        <w:tblPrEx>
          <w:tblW w:w="0" w:type="auto"/>
          <w:jc w:val="left"/>
          <w:tblInd w:w="4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597"/>
          <w:jc w:val="left"/>
        </w:trPr>
        <w:tc>
          <w:tcPr>
            <w:tcW w:w="2027" w:type="dxa"/>
            <w:tcBorders>
              <w:bottom w:val="single" w:sz="4" w:space="0" w:color="000000"/>
              <w:right w:val="single" w:sz="4" w:space="0" w:color="000000"/>
            </w:tcBorders>
          </w:tcPr>
          <w:p>
            <w:pPr>
              <w:pStyle w:val="TableParagraph"/>
              <w:tabs>
                <w:tab w:val="left" w:pos="1027"/>
              </w:tabs>
              <w:spacing w:before="146"/>
              <w:ind w:left="108"/>
              <w:rPr>
                <w:sz w:val="24"/>
              </w:rPr>
            </w:pPr>
            <w:r>
              <w:rPr>
                <w:spacing w:val="-10"/>
                <w:sz w:val="24"/>
              </w:rPr>
              <w:t>内</w:t>
            </w:r>
            <w:r>
              <w:rPr>
                <w:sz w:val="24"/>
              </w:rPr>
              <w:tab/>
            </w:r>
            <w:r>
              <w:rPr>
                <w:spacing w:val="-10"/>
                <w:sz w:val="24"/>
              </w:rPr>
              <w:t>容</w:t>
            </w:r>
          </w:p>
        </w:tc>
        <w:tc>
          <w:tcPr>
            <w:tcW w:w="7262" w:type="dxa"/>
            <w:tcBorders>
              <w:left w:val="single" w:sz="4" w:space="0" w:color="000000"/>
              <w:bottom w:val="single" w:sz="4" w:space="0" w:color="000000"/>
            </w:tcBorders>
          </w:tcPr>
          <w:p>
            <w:pPr>
              <w:pStyle w:val="TableParagraph"/>
              <w:tabs>
                <w:tab w:val="left" w:pos="707"/>
                <w:tab w:val="left" w:pos="1307"/>
                <w:tab w:val="left" w:pos="1907"/>
                <w:tab w:val="left" w:pos="2507"/>
                <w:tab w:val="left" w:pos="3107"/>
                <w:tab w:val="left" w:pos="3707"/>
                <w:tab w:val="left" w:pos="4307"/>
              </w:tabs>
              <w:spacing w:before="146"/>
              <w:ind w:left="107"/>
              <w:rPr>
                <w:sz w:val="24"/>
              </w:rPr>
            </w:pPr>
            <w:r>
              <w:rPr>
                <w:spacing w:val="-10"/>
                <w:sz w:val="24"/>
              </w:rPr>
              <w:t>监</w:t>
            </w:r>
            <w:r>
              <w:rPr>
                <w:sz w:val="24"/>
              </w:rPr>
              <w:tab/>
            </w:r>
            <w:r>
              <w:rPr>
                <w:spacing w:val="-10"/>
                <w:sz w:val="24"/>
              </w:rPr>
              <w:t>理</w:t>
            </w:r>
            <w:r>
              <w:rPr>
                <w:sz w:val="24"/>
              </w:rPr>
              <w:tab/>
            </w:r>
            <w:r>
              <w:rPr>
                <w:spacing w:val="-10"/>
                <w:sz w:val="24"/>
              </w:rPr>
              <w:t>督</w:t>
            </w:r>
            <w:r>
              <w:rPr>
                <w:sz w:val="24"/>
              </w:rPr>
              <w:tab/>
            </w:r>
            <w:r>
              <w:rPr>
                <w:spacing w:val="-10"/>
                <w:sz w:val="24"/>
              </w:rPr>
              <w:t>促</w:t>
            </w:r>
            <w:r>
              <w:rPr>
                <w:sz w:val="24"/>
              </w:rPr>
              <w:tab/>
            </w:r>
            <w:r>
              <w:rPr>
                <w:spacing w:val="-10"/>
                <w:sz w:val="24"/>
              </w:rPr>
              <w:t>检</w:t>
            </w:r>
            <w:r>
              <w:rPr>
                <w:sz w:val="24"/>
              </w:rPr>
              <w:tab/>
            </w:r>
            <w:r>
              <w:rPr>
                <w:spacing w:val="-10"/>
                <w:sz w:val="24"/>
              </w:rPr>
              <w:t>查</w:t>
            </w:r>
            <w:r>
              <w:rPr>
                <w:sz w:val="24"/>
              </w:rPr>
              <w:tab/>
            </w:r>
            <w:r>
              <w:rPr>
                <w:spacing w:val="-10"/>
                <w:sz w:val="24"/>
              </w:rPr>
              <w:t>内</w:t>
            </w:r>
            <w:r>
              <w:rPr>
                <w:sz w:val="24"/>
              </w:rPr>
              <w:tab/>
            </w:r>
            <w:r>
              <w:rPr>
                <w:spacing w:val="-10"/>
                <w:sz w:val="24"/>
              </w:rPr>
              <w:t>容</w:t>
            </w:r>
          </w:p>
        </w:tc>
      </w:tr>
      <w:tr>
        <w:tblPrEx>
          <w:tblW w:w="0" w:type="auto"/>
          <w:jc w:val="left"/>
          <w:tblInd w:w="482" w:type="dxa"/>
          <w:tblLayout w:type="fixed"/>
          <w:tblCellMar>
            <w:top w:w="0" w:type="dxa"/>
            <w:left w:w="0" w:type="dxa"/>
            <w:bottom w:w="0" w:type="dxa"/>
            <w:right w:w="0" w:type="dxa"/>
          </w:tblCellMar>
          <w:tblLook w:val="01E0"/>
        </w:tblPrEx>
        <w:trPr>
          <w:trHeight w:val="467"/>
          <w:jc w:val="left"/>
        </w:trPr>
        <w:tc>
          <w:tcPr>
            <w:tcW w:w="2027" w:type="dxa"/>
            <w:tcBorders>
              <w:top w:val="single" w:sz="4" w:space="0" w:color="000000"/>
              <w:bottom w:val="single" w:sz="4" w:space="0" w:color="000000"/>
              <w:right w:val="single" w:sz="4" w:space="0" w:color="000000"/>
            </w:tcBorders>
          </w:tcPr>
          <w:p>
            <w:pPr>
              <w:pStyle w:val="TableParagraph"/>
              <w:spacing w:before="82"/>
              <w:ind w:left="108"/>
              <w:rPr>
                <w:sz w:val="24"/>
              </w:rPr>
            </w:pPr>
            <w:r>
              <w:rPr>
                <w:spacing w:val="30"/>
                <w:sz w:val="24"/>
              </w:rPr>
              <w:t>施工现场挂牌</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24"/>
                <w:sz w:val="24"/>
              </w:rPr>
              <w:t>挂牌内容齐全， 五牌一图挂放整齐、醒目。</w:t>
            </w:r>
          </w:p>
        </w:tc>
      </w:tr>
      <w:tr>
        <w:tblPrEx>
          <w:tblW w:w="0" w:type="auto"/>
          <w:jc w:val="left"/>
          <w:tblInd w:w="482" w:type="dxa"/>
          <w:tblLayout w:type="fixed"/>
          <w:tblCellMar>
            <w:top w:w="0" w:type="dxa"/>
            <w:left w:w="0" w:type="dxa"/>
            <w:bottom w:w="0" w:type="dxa"/>
            <w:right w:w="0" w:type="dxa"/>
          </w:tblCellMar>
          <w:tblLook w:val="01E0"/>
        </w:tblPrEx>
        <w:trPr>
          <w:trHeight w:val="936"/>
          <w:jc w:val="left"/>
        </w:trPr>
        <w:tc>
          <w:tcPr>
            <w:tcW w:w="2027" w:type="dxa"/>
            <w:tcBorders>
              <w:top w:val="single" w:sz="4" w:space="0" w:color="000000"/>
              <w:bottom w:val="single" w:sz="4" w:space="0" w:color="000000"/>
              <w:right w:val="single" w:sz="4" w:space="0" w:color="000000"/>
            </w:tcBorders>
          </w:tcPr>
          <w:p>
            <w:pPr>
              <w:pStyle w:val="TableParagraph"/>
              <w:spacing w:before="3"/>
              <w:rPr>
                <w:rFonts w:ascii="Microsoft JhengHei"/>
                <w:b/>
                <w:sz w:val="17"/>
              </w:rPr>
            </w:pPr>
          </w:p>
          <w:p>
            <w:pPr>
              <w:pStyle w:val="TableParagraph"/>
              <w:ind w:left="108"/>
              <w:rPr>
                <w:sz w:val="24"/>
              </w:rPr>
            </w:pPr>
            <w:r>
              <w:rPr>
                <w:spacing w:val="29"/>
                <w:sz w:val="24"/>
              </w:rPr>
              <w:t>封闭式管理</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15"/>
                <w:sz w:val="24"/>
              </w:rPr>
              <w:t>现场统一服装， 佩带出入证， 确立门卫制度， 杜绝人员混</w:t>
            </w:r>
          </w:p>
          <w:p>
            <w:pPr>
              <w:pStyle w:val="TableParagraph"/>
              <w:spacing w:before="160"/>
              <w:ind w:left="107"/>
              <w:rPr>
                <w:sz w:val="24"/>
              </w:rPr>
            </w:pPr>
            <w:r>
              <w:rPr>
                <w:spacing w:val="15"/>
                <w:sz w:val="24"/>
              </w:rPr>
              <w:t>杂。</w:t>
            </w:r>
          </w:p>
        </w:tc>
      </w:tr>
      <w:tr>
        <w:tblPrEx>
          <w:tblW w:w="0" w:type="auto"/>
          <w:jc w:val="left"/>
          <w:tblInd w:w="482" w:type="dxa"/>
          <w:tblLayout w:type="fixed"/>
          <w:tblCellMar>
            <w:top w:w="0" w:type="dxa"/>
            <w:left w:w="0" w:type="dxa"/>
            <w:bottom w:w="0" w:type="dxa"/>
            <w:right w:w="0" w:type="dxa"/>
          </w:tblCellMar>
          <w:tblLook w:val="01E0"/>
        </w:tblPrEx>
        <w:trPr>
          <w:trHeight w:val="478"/>
          <w:jc w:val="left"/>
        </w:trPr>
        <w:tc>
          <w:tcPr>
            <w:tcW w:w="2027" w:type="dxa"/>
            <w:tcBorders>
              <w:top w:val="single" w:sz="4" w:space="0" w:color="000000"/>
              <w:bottom w:val="single" w:sz="4" w:space="0" w:color="000000"/>
              <w:right w:val="single" w:sz="4" w:space="0" w:color="000000"/>
            </w:tcBorders>
          </w:tcPr>
          <w:p>
            <w:pPr>
              <w:pStyle w:val="TableParagraph"/>
              <w:spacing w:before="87"/>
              <w:ind w:left="108"/>
              <w:rPr>
                <w:sz w:val="24"/>
              </w:rPr>
            </w:pPr>
            <w:r>
              <w:rPr>
                <w:spacing w:val="26"/>
                <w:sz w:val="24"/>
              </w:rPr>
              <w:t>现场围挡</w:t>
            </w:r>
          </w:p>
        </w:tc>
        <w:tc>
          <w:tcPr>
            <w:tcW w:w="7262" w:type="dxa"/>
            <w:tcBorders>
              <w:top w:val="single" w:sz="4" w:space="0" w:color="000000"/>
              <w:left w:val="single" w:sz="4" w:space="0" w:color="000000"/>
              <w:bottom w:val="single" w:sz="4" w:space="0" w:color="000000"/>
            </w:tcBorders>
          </w:tcPr>
          <w:p>
            <w:pPr>
              <w:pStyle w:val="TableParagraph"/>
              <w:spacing w:before="87"/>
              <w:ind w:left="107"/>
              <w:rPr>
                <w:sz w:val="24"/>
              </w:rPr>
            </w:pPr>
            <w:r>
              <w:rPr>
                <w:spacing w:val="27"/>
                <w:sz w:val="24"/>
              </w:rPr>
              <w:t xml:space="preserve">围挡高度应高于 </w:t>
            </w:r>
            <w:r>
              <w:rPr>
                <w:spacing w:val="13"/>
                <w:sz w:val="24"/>
              </w:rPr>
              <w:t>1.8</w:t>
            </w:r>
            <w:r>
              <w:rPr>
                <w:spacing w:val="6"/>
                <w:sz w:val="24"/>
              </w:rPr>
              <w:t xml:space="preserve"> 米， 整齐、安全， 无残缺。</w:t>
            </w:r>
          </w:p>
        </w:tc>
      </w:tr>
      <w:tr>
        <w:tblPrEx>
          <w:tblW w:w="0" w:type="auto"/>
          <w:jc w:val="left"/>
          <w:tblInd w:w="482" w:type="dxa"/>
          <w:tblLayout w:type="fixed"/>
          <w:tblCellMar>
            <w:top w:w="0" w:type="dxa"/>
            <w:left w:w="0" w:type="dxa"/>
            <w:bottom w:w="0" w:type="dxa"/>
            <w:right w:w="0" w:type="dxa"/>
          </w:tblCellMar>
          <w:tblLook w:val="01E0"/>
        </w:tblPrEx>
        <w:trPr>
          <w:trHeight w:val="936"/>
          <w:jc w:val="left"/>
        </w:trPr>
        <w:tc>
          <w:tcPr>
            <w:tcW w:w="2027" w:type="dxa"/>
            <w:tcBorders>
              <w:top w:val="single" w:sz="4" w:space="0" w:color="000000"/>
              <w:bottom w:val="single" w:sz="4" w:space="0" w:color="000000"/>
              <w:right w:val="single" w:sz="4" w:space="0" w:color="000000"/>
            </w:tcBorders>
          </w:tcPr>
          <w:p>
            <w:pPr>
              <w:pStyle w:val="TableParagraph"/>
              <w:spacing w:before="3"/>
              <w:rPr>
                <w:rFonts w:ascii="Microsoft JhengHei"/>
                <w:b/>
                <w:sz w:val="17"/>
              </w:rPr>
            </w:pPr>
          </w:p>
          <w:p>
            <w:pPr>
              <w:pStyle w:val="TableParagraph"/>
              <w:ind w:left="108"/>
              <w:rPr>
                <w:sz w:val="24"/>
              </w:rPr>
            </w:pPr>
            <w:r>
              <w:rPr>
                <w:spacing w:val="29"/>
                <w:sz w:val="24"/>
              </w:rPr>
              <w:t>总平面布置</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30"/>
                <w:sz w:val="24"/>
              </w:rPr>
              <w:t>构件、料具及设施布置严格按经审定的总平面实施， 道路</w:t>
            </w:r>
          </w:p>
          <w:p>
            <w:pPr>
              <w:pStyle w:val="TableParagraph"/>
              <w:spacing w:before="160"/>
              <w:ind w:left="107"/>
              <w:rPr>
                <w:sz w:val="24"/>
              </w:rPr>
            </w:pPr>
            <w:r>
              <w:rPr>
                <w:spacing w:val="19"/>
                <w:sz w:val="24"/>
              </w:rPr>
              <w:t>畅通， 无大面积积水。</w:t>
            </w:r>
          </w:p>
        </w:tc>
      </w:tr>
      <w:tr>
        <w:tblPrEx>
          <w:tblW w:w="0" w:type="auto"/>
          <w:jc w:val="left"/>
          <w:tblInd w:w="482" w:type="dxa"/>
          <w:tblLayout w:type="fixed"/>
          <w:tblCellMar>
            <w:top w:w="0" w:type="dxa"/>
            <w:left w:w="0" w:type="dxa"/>
            <w:bottom w:w="0" w:type="dxa"/>
            <w:right w:w="0" w:type="dxa"/>
          </w:tblCellMar>
          <w:tblLook w:val="01E0"/>
        </w:tblPrEx>
        <w:trPr>
          <w:trHeight w:val="467"/>
          <w:jc w:val="left"/>
        </w:trPr>
        <w:tc>
          <w:tcPr>
            <w:tcW w:w="2027" w:type="dxa"/>
            <w:tcBorders>
              <w:top w:val="single" w:sz="4" w:space="0" w:color="000000"/>
              <w:bottom w:val="single" w:sz="4" w:space="0" w:color="000000"/>
              <w:right w:val="single" w:sz="4" w:space="0" w:color="000000"/>
            </w:tcBorders>
          </w:tcPr>
          <w:p>
            <w:pPr>
              <w:pStyle w:val="TableParagraph"/>
              <w:spacing w:before="82"/>
              <w:ind w:left="108"/>
              <w:rPr>
                <w:sz w:val="24"/>
              </w:rPr>
            </w:pPr>
            <w:r>
              <w:rPr>
                <w:spacing w:val="26"/>
                <w:sz w:val="24"/>
              </w:rPr>
              <w:t>现场住宿</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26"/>
                <w:sz w:val="24"/>
              </w:rPr>
              <w:t>施工作业区与住宿区必须隔离， 住宿环境安全、卫生。</w:t>
            </w:r>
          </w:p>
        </w:tc>
      </w:tr>
      <w:tr>
        <w:tblPrEx>
          <w:tblW w:w="0" w:type="auto"/>
          <w:jc w:val="left"/>
          <w:tblInd w:w="482" w:type="dxa"/>
          <w:tblLayout w:type="fixed"/>
          <w:tblCellMar>
            <w:top w:w="0" w:type="dxa"/>
            <w:left w:w="0" w:type="dxa"/>
            <w:bottom w:w="0" w:type="dxa"/>
            <w:right w:w="0" w:type="dxa"/>
          </w:tblCellMar>
          <w:tblLook w:val="01E0"/>
        </w:tblPrEx>
        <w:trPr>
          <w:trHeight w:val="936"/>
          <w:jc w:val="left"/>
        </w:trPr>
        <w:tc>
          <w:tcPr>
            <w:tcW w:w="2027" w:type="dxa"/>
            <w:tcBorders>
              <w:top w:val="single" w:sz="4" w:space="0" w:color="000000"/>
              <w:bottom w:val="single" w:sz="4" w:space="0" w:color="000000"/>
              <w:right w:val="single" w:sz="4" w:space="0" w:color="000000"/>
            </w:tcBorders>
          </w:tcPr>
          <w:p>
            <w:pPr>
              <w:pStyle w:val="TableParagraph"/>
              <w:spacing w:before="3"/>
              <w:rPr>
                <w:rFonts w:ascii="Microsoft JhengHei"/>
                <w:b/>
                <w:sz w:val="17"/>
              </w:rPr>
            </w:pPr>
          </w:p>
          <w:p>
            <w:pPr>
              <w:pStyle w:val="TableParagraph"/>
              <w:ind w:left="108"/>
              <w:rPr>
                <w:sz w:val="24"/>
              </w:rPr>
            </w:pPr>
            <w:r>
              <w:rPr>
                <w:spacing w:val="26"/>
                <w:sz w:val="24"/>
              </w:rPr>
              <w:t>生活设施</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18"/>
                <w:sz w:val="24"/>
              </w:rPr>
              <w:t>厕所必须符合卫生要求， 卫生饮水保证供应， 食堂符合卫</w:t>
            </w:r>
          </w:p>
          <w:p>
            <w:pPr>
              <w:pStyle w:val="TableParagraph"/>
              <w:spacing w:before="160"/>
              <w:ind w:left="107"/>
              <w:rPr>
                <w:sz w:val="24"/>
              </w:rPr>
            </w:pPr>
            <w:r>
              <w:rPr>
                <w:spacing w:val="26"/>
                <w:sz w:val="24"/>
              </w:rPr>
              <w:t>生要求。</w:t>
            </w:r>
          </w:p>
        </w:tc>
      </w:tr>
      <w:tr>
        <w:tblPrEx>
          <w:tblW w:w="0" w:type="auto"/>
          <w:jc w:val="left"/>
          <w:tblInd w:w="482" w:type="dxa"/>
          <w:tblLayout w:type="fixed"/>
          <w:tblCellMar>
            <w:top w:w="0" w:type="dxa"/>
            <w:left w:w="0" w:type="dxa"/>
            <w:bottom w:w="0" w:type="dxa"/>
            <w:right w:w="0" w:type="dxa"/>
          </w:tblCellMar>
          <w:tblLook w:val="01E0"/>
        </w:tblPrEx>
        <w:trPr>
          <w:trHeight w:val="935"/>
          <w:jc w:val="left"/>
        </w:trPr>
        <w:tc>
          <w:tcPr>
            <w:tcW w:w="2027" w:type="dxa"/>
            <w:tcBorders>
              <w:top w:val="single" w:sz="4" w:space="0" w:color="000000"/>
              <w:bottom w:val="single" w:sz="4" w:space="0" w:color="000000"/>
              <w:right w:val="single" w:sz="4" w:space="0" w:color="000000"/>
            </w:tcBorders>
          </w:tcPr>
          <w:p>
            <w:pPr>
              <w:pStyle w:val="TableParagraph"/>
              <w:spacing w:before="3"/>
              <w:rPr>
                <w:rFonts w:ascii="Microsoft JhengHei"/>
                <w:b/>
                <w:sz w:val="17"/>
              </w:rPr>
            </w:pPr>
          </w:p>
          <w:p>
            <w:pPr>
              <w:pStyle w:val="TableParagraph"/>
              <w:ind w:left="108"/>
              <w:rPr>
                <w:sz w:val="24"/>
              </w:rPr>
            </w:pPr>
            <w:r>
              <w:rPr>
                <w:spacing w:val="26"/>
                <w:sz w:val="24"/>
              </w:rPr>
              <w:t>保健急救</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27"/>
                <w:sz w:val="24"/>
              </w:rPr>
              <w:t>现场应配备医疗室及经培训的急救人员， 具备急救措施和</w:t>
            </w:r>
          </w:p>
          <w:p>
            <w:pPr>
              <w:pStyle w:val="TableParagraph"/>
              <w:spacing w:before="160"/>
              <w:ind w:left="107"/>
              <w:rPr>
                <w:sz w:val="24"/>
              </w:rPr>
            </w:pPr>
            <w:r>
              <w:rPr>
                <w:spacing w:val="22"/>
                <w:sz w:val="24"/>
              </w:rPr>
              <w:t>器材。</w:t>
            </w:r>
          </w:p>
        </w:tc>
      </w:tr>
      <w:tr>
        <w:tblPrEx>
          <w:tblW w:w="0" w:type="auto"/>
          <w:jc w:val="left"/>
          <w:tblInd w:w="482" w:type="dxa"/>
          <w:tblLayout w:type="fixed"/>
          <w:tblCellMar>
            <w:top w:w="0" w:type="dxa"/>
            <w:left w:w="0" w:type="dxa"/>
            <w:bottom w:w="0" w:type="dxa"/>
            <w:right w:w="0" w:type="dxa"/>
          </w:tblCellMar>
          <w:tblLook w:val="01E0"/>
        </w:tblPrEx>
        <w:trPr>
          <w:trHeight w:val="467"/>
          <w:jc w:val="left"/>
        </w:trPr>
        <w:tc>
          <w:tcPr>
            <w:tcW w:w="2027" w:type="dxa"/>
            <w:tcBorders>
              <w:top w:val="single" w:sz="4" w:space="0" w:color="000000"/>
              <w:bottom w:val="single" w:sz="4" w:space="0" w:color="000000"/>
              <w:right w:val="single" w:sz="4" w:space="0" w:color="000000"/>
            </w:tcBorders>
          </w:tcPr>
          <w:p>
            <w:pPr>
              <w:pStyle w:val="TableParagraph"/>
              <w:spacing w:before="82"/>
              <w:ind w:left="108"/>
              <w:rPr>
                <w:sz w:val="24"/>
              </w:rPr>
            </w:pPr>
            <w:r>
              <w:rPr>
                <w:spacing w:val="29"/>
                <w:sz w:val="24"/>
              </w:rPr>
              <w:t>垃圾、污水</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18"/>
                <w:sz w:val="24"/>
              </w:rPr>
              <w:t>垃圾集中堆放， 及时清运， 排污符合环卫要求。</w:t>
            </w:r>
          </w:p>
        </w:tc>
      </w:tr>
      <w:tr>
        <w:tblPrEx>
          <w:tblW w:w="0" w:type="auto"/>
          <w:jc w:val="left"/>
          <w:tblInd w:w="482" w:type="dxa"/>
          <w:tblLayout w:type="fixed"/>
          <w:tblCellMar>
            <w:top w:w="0" w:type="dxa"/>
            <w:left w:w="0" w:type="dxa"/>
            <w:bottom w:w="0" w:type="dxa"/>
            <w:right w:w="0" w:type="dxa"/>
          </w:tblCellMar>
          <w:tblLook w:val="01E0"/>
        </w:tblPrEx>
        <w:trPr>
          <w:trHeight w:val="935"/>
          <w:jc w:val="left"/>
        </w:trPr>
        <w:tc>
          <w:tcPr>
            <w:tcW w:w="2027" w:type="dxa"/>
            <w:tcBorders>
              <w:top w:val="single" w:sz="4" w:space="0" w:color="000000"/>
              <w:bottom w:val="single" w:sz="4" w:space="0" w:color="000000"/>
              <w:right w:val="single" w:sz="4" w:space="0" w:color="000000"/>
            </w:tcBorders>
          </w:tcPr>
          <w:p>
            <w:pPr>
              <w:pStyle w:val="TableParagraph"/>
              <w:spacing w:before="3"/>
              <w:rPr>
                <w:rFonts w:ascii="Microsoft JhengHei"/>
                <w:b/>
                <w:sz w:val="17"/>
              </w:rPr>
            </w:pPr>
          </w:p>
          <w:p>
            <w:pPr>
              <w:pStyle w:val="TableParagraph"/>
              <w:ind w:left="108"/>
              <w:rPr>
                <w:sz w:val="24"/>
              </w:rPr>
            </w:pPr>
            <w:r>
              <w:rPr>
                <w:spacing w:val="15"/>
                <w:sz w:val="24"/>
              </w:rPr>
              <w:t>防火</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25"/>
                <w:sz w:val="24"/>
              </w:rPr>
              <w:t>必须配备经培训的消防人员， 配置充足的消防器材、消防</w:t>
            </w:r>
          </w:p>
          <w:p>
            <w:pPr>
              <w:pStyle w:val="TableParagraph"/>
              <w:spacing w:before="160"/>
              <w:ind w:left="107"/>
              <w:rPr>
                <w:sz w:val="24"/>
              </w:rPr>
            </w:pPr>
            <w:r>
              <w:rPr>
                <w:spacing w:val="21"/>
                <w:sz w:val="24"/>
              </w:rPr>
              <w:t>水源， 有严格的消防措施。</w:t>
            </w:r>
          </w:p>
        </w:tc>
      </w:tr>
      <w:tr>
        <w:tblPrEx>
          <w:tblW w:w="0" w:type="auto"/>
          <w:jc w:val="left"/>
          <w:tblInd w:w="482" w:type="dxa"/>
          <w:tblLayout w:type="fixed"/>
          <w:tblCellMar>
            <w:top w:w="0" w:type="dxa"/>
            <w:left w:w="0" w:type="dxa"/>
            <w:bottom w:w="0" w:type="dxa"/>
            <w:right w:w="0" w:type="dxa"/>
          </w:tblCellMar>
          <w:tblLook w:val="01E0"/>
        </w:tblPrEx>
        <w:trPr>
          <w:trHeight w:val="467"/>
          <w:jc w:val="left"/>
        </w:trPr>
        <w:tc>
          <w:tcPr>
            <w:tcW w:w="2027" w:type="dxa"/>
            <w:tcBorders>
              <w:top w:val="single" w:sz="4" w:space="0" w:color="000000"/>
              <w:bottom w:val="single" w:sz="4" w:space="0" w:color="000000"/>
              <w:right w:val="single" w:sz="4" w:space="0" w:color="000000"/>
            </w:tcBorders>
          </w:tcPr>
          <w:p>
            <w:pPr>
              <w:pStyle w:val="TableParagraph"/>
              <w:spacing w:before="82"/>
              <w:ind w:left="108"/>
              <w:rPr>
                <w:sz w:val="24"/>
              </w:rPr>
            </w:pPr>
            <w:r>
              <w:rPr>
                <w:spacing w:val="15"/>
                <w:sz w:val="24"/>
              </w:rPr>
              <w:t>宣传</w:t>
            </w:r>
          </w:p>
        </w:tc>
        <w:tc>
          <w:tcPr>
            <w:tcW w:w="7262" w:type="dxa"/>
            <w:tcBorders>
              <w:top w:val="single" w:sz="4" w:space="0" w:color="000000"/>
              <w:left w:val="single" w:sz="4" w:space="0" w:color="000000"/>
              <w:bottom w:val="single" w:sz="4" w:space="0" w:color="000000"/>
            </w:tcBorders>
          </w:tcPr>
          <w:p>
            <w:pPr>
              <w:pStyle w:val="TableParagraph"/>
              <w:spacing w:before="82"/>
              <w:ind w:left="107"/>
              <w:rPr>
                <w:sz w:val="24"/>
              </w:rPr>
            </w:pPr>
            <w:r>
              <w:rPr>
                <w:spacing w:val="35"/>
                <w:sz w:val="24"/>
              </w:rPr>
              <w:t>现场有安全标语、安全标志。</w:t>
            </w:r>
          </w:p>
        </w:tc>
      </w:tr>
      <w:tr>
        <w:tblPrEx>
          <w:tblW w:w="0" w:type="auto"/>
          <w:jc w:val="left"/>
          <w:tblInd w:w="482" w:type="dxa"/>
          <w:tblLayout w:type="fixed"/>
          <w:tblCellMar>
            <w:top w:w="0" w:type="dxa"/>
            <w:left w:w="0" w:type="dxa"/>
            <w:bottom w:w="0" w:type="dxa"/>
            <w:right w:w="0" w:type="dxa"/>
          </w:tblCellMar>
          <w:tblLook w:val="01E0"/>
        </w:tblPrEx>
        <w:trPr>
          <w:trHeight w:val="467"/>
          <w:jc w:val="left"/>
        </w:trPr>
        <w:tc>
          <w:tcPr>
            <w:tcW w:w="2027" w:type="dxa"/>
            <w:tcBorders>
              <w:top w:val="single" w:sz="4" w:space="0" w:color="000000"/>
              <w:right w:val="single" w:sz="4" w:space="0" w:color="000000"/>
            </w:tcBorders>
          </w:tcPr>
          <w:p>
            <w:pPr>
              <w:pStyle w:val="TableParagraph"/>
              <w:spacing w:before="82"/>
              <w:ind w:left="108"/>
              <w:rPr>
                <w:sz w:val="24"/>
              </w:rPr>
            </w:pPr>
            <w:r>
              <w:rPr>
                <w:spacing w:val="26"/>
                <w:sz w:val="24"/>
              </w:rPr>
              <w:t>施工人员</w:t>
            </w:r>
          </w:p>
        </w:tc>
        <w:tc>
          <w:tcPr>
            <w:tcW w:w="7262" w:type="dxa"/>
            <w:tcBorders>
              <w:top w:val="single" w:sz="4" w:space="0" w:color="000000"/>
              <w:left w:val="single" w:sz="4" w:space="0" w:color="000000"/>
            </w:tcBorders>
          </w:tcPr>
          <w:p>
            <w:pPr>
              <w:pStyle w:val="TableParagraph"/>
              <w:spacing w:before="82"/>
              <w:ind w:left="107"/>
              <w:rPr>
                <w:sz w:val="24"/>
              </w:rPr>
            </w:pPr>
            <w:r>
              <w:rPr>
                <w:spacing w:val="36"/>
                <w:sz w:val="24"/>
              </w:rPr>
              <w:t>外来施工人员必须办理暂住证及计划生育证。</w:t>
            </w:r>
          </w:p>
        </w:tc>
      </w:tr>
    </w:tbl>
    <w:p>
      <w:pPr>
        <w:spacing w:before="11"/>
        <w:ind w:left="580" w:right="0" w:firstLine="0"/>
        <w:jc w:val="left"/>
        <w:rPr>
          <w:rFonts w:ascii="Microsoft JhengHei" w:eastAsia="Microsoft JhengHei"/>
          <w:b/>
          <w:sz w:val="24"/>
        </w:rPr>
      </w:pPr>
      <w:r>
        <w:rPr>
          <w:rFonts w:ascii="Microsoft JhengHei" w:eastAsia="Microsoft JhengHei"/>
          <w:b/>
          <w:spacing w:val="35"/>
          <w:sz w:val="24"/>
        </w:rPr>
        <w:t>九、施工现场常见安全问题</w:t>
      </w:r>
    </w:p>
    <w:p>
      <w:pPr>
        <w:pStyle w:val="BodyText"/>
        <w:spacing w:before="3"/>
        <w:rPr>
          <w:rFonts w:ascii="Microsoft JhengHei"/>
          <w:b/>
          <w:sz w:val="31"/>
        </w:rPr>
      </w:pPr>
    </w:p>
    <w:p>
      <w:pPr>
        <w:pStyle w:val="BodyText"/>
        <w:spacing w:line="364" w:lineRule="auto"/>
        <w:ind w:left="580" w:right="1204" w:firstLine="240"/>
      </w:pPr>
      <w:r>
        <w:rPr>
          <w:color w:val="333333"/>
          <w:spacing w:val="31"/>
        </w:rPr>
        <w:t>施工单位未建立安全保证体系及安全生产责任制，或体系及责任制只是用来</w:t>
      </w:r>
      <w:r>
        <w:rPr>
          <w:color w:val="333333"/>
          <w:spacing w:val="24"/>
        </w:rPr>
        <w:t>应付检查， 人员配备等根本未落实到实处。</w:t>
      </w:r>
    </w:p>
    <w:p>
      <w:pPr>
        <w:pStyle w:val="BodyText"/>
        <w:spacing w:before="2"/>
        <w:ind w:left="820"/>
      </w:pPr>
      <w:r>
        <w:rPr>
          <w:color w:val="333333"/>
          <w:spacing w:val="23"/>
        </w:rPr>
        <w:t>施工组织设计或专项方案中存在以下问题： 安全措施不详尽， 天下一大抄，</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https://d.book118.com/318022043065006042</w:t>
        </w:r>
      </w:hyperlink>
    </w:p>
    <w:p>
      <w:pPr>
        <w:spacing w:after="0"/>
      </w:pPr>
    </w:p>
    <w:sectPr>
      <w:headerReference w:type="default" r:id="rId44"/>
      <w:footerReference w:type="default" r:id="rId45"/>
      <w:type w:val="continuous"/>
      <w:pgSz w:w="11910" w:h="16840"/>
      <w:pgMar w:top="1420" w:right="120" w:bottom="1180" w:left="680" w:header="884" w:footer="991"/>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2.5pt;height:13.75pt;margin-top:778.11pt;margin-left:186.4pt;mso-position-horizontal-relative:page;mso-position-vertical-relative:page;position:absolute;z-index:-251658240"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1</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2.5pt;height:13.75pt;margin-top:778.11pt;margin-left:186.4pt;mso-position-horizontal-relative:page;mso-position-vertical-relative:page;position:absolute;z-index:-251657216"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2</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2.5pt;height:13.75pt;margin-top:778.11pt;margin-left:186.4pt;mso-position-horizontal-relative:page;mso-position-vertical-relative:page;position:absolute;z-index:-251656192"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3</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2.5pt;height:13.75pt;margin-top:778.11pt;margin-left:186.4pt;mso-position-horizontal-relative:page;mso-position-vertical-relative:page;position:absolute;z-index:-251655168"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4</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2.5pt;height:13.75pt;margin-top:778.11pt;margin-left:186.4pt;mso-position-horizontal-relative:page;mso-position-vertical-relative:page;position:absolute;z-index:-251654144"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5</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2.5pt;height:13.75pt;margin-top:778.11pt;margin-left:186.4pt;mso-position-horizontal-relative:page;mso-position-vertical-relative:page;position:absolute;z-index:-251653120"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6</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2.5pt;height:13.75pt;margin-top:778.11pt;margin-left:186.4pt;mso-position-horizontal-relative:page;mso-position-vertical-relative:page;position:absolute;z-index:-251652096"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7</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2.5pt;height:13.75pt;margin-top:778.11pt;margin-left:186.4pt;mso-position-horizontal-relative:page;mso-position-vertical-relative:page;position:absolute;z-index:-251651072" filled="f" stroked="f">
          <v:textbox inset="0,0,0,0">
            <w:txbxContent>
              <w:p>
                <w:pPr>
                  <w:spacing w:before="14" w:line="260" w:lineRule="exact"/>
                  <w:ind w:left="20" w:right="0" w:firstLine="0"/>
                  <w:jc w:val="left"/>
                  <w:rPr>
                    <w:sz w:val="21"/>
                  </w:rPr>
                </w:pPr>
                <w:r>
                  <w:rPr>
                    <w:sz w:val="21"/>
                  </w:rPr>
                  <w:t>成都交大工程建设监理</w:t>
                </w:r>
                <w:r>
                  <w:rPr>
                    <w:spacing w:val="-150"/>
                    <w:sz w:val="21"/>
                  </w:rPr>
                  <w:t>有</w:t>
                </w:r>
                <w:r>
                  <w:rPr>
                    <w:rFonts w:ascii="Times New Roman" w:eastAsia="Times New Roman"/>
                    <w:position w:val="4"/>
                    <w:sz w:val="18"/>
                  </w:rPr>
                  <w:fldChar w:fldCharType="begin"/>
                </w:r>
                <w:r>
                  <w:rPr>
                    <w:rFonts w:ascii="Times New Roman" w:eastAsia="Times New Roman"/>
                    <w:position w:val="4"/>
                    <w:sz w:val="18"/>
                  </w:rPr>
                  <w:instrText xml:space="preserve"> PAGE </w:instrText>
                </w:r>
                <w:r>
                  <w:rPr>
                    <w:rFonts w:ascii="Times New Roman" w:eastAsia="Times New Roman"/>
                    <w:position w:val="4"/>
                    <w:sz w:val="18"/>
                  </w:rPr>
                  <w:fldChar w:fldCharType="separate"/>
                </w:r>
                <w:r>
                  <w:rPr>
                    <w:rFonts w:ascii="Times New Roman" w:eastAsia="Times New Roman"/>
                    <w:position w:val="4"/>
                    <w:sz w:val="18"/>
                  </w:rPr>
                  <w:t>8</w:t>
                </w:r>
                <w:r>
                  <w:rPr>
                    <w:rFonts w:ascii="Times New Roman" w:eastAsia="Times New Roman"/>
                    <w:position w:val="4"/>
                    <w:sz w:val="18"/>
                  </w:rPr>
                  <w:fldChar w:fldCharType="end"/>
                </w:r>
                <w:r>
                  <w:rPr>
                    <w:rFonts w:ascii="Times New Roman" w:eastAsia="Times New Roman"/>
                    <w:spacing w:val="15"/>
                    <w:position w:val="4"/>
                    <w:sz w:val="18"/>
                  </w:rPr>
                  <w:t xml:space="preserve"> </w:t>
                </w:r>
                <w:r>
                  <w:rPr>
                    <w:spacing w:val="-1"/>
                    <w:sz w:val="21"/>
                  </w:rPr>
                  <w:t>限公司铁中监理项目部</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81.33pt;margin-left:289.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pt;height:12pt;margin-top:781.33pt;margin-left:289.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pt;height:12pt;margin-top:781.33pt;margin-left:289.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pt;height:12pt;margin-top:781.33pt;margin-left:289.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pt;height:12pt;margin-top:781.33pt;margin-left:289.5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pt;height:12pt;margin-top:781.33pt;margin-left:289.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pt;height:12pt;margin-top:781.33pt;margin-left:289.5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pt;height:12pt;margin-top:781.33pt;margin-left:289.5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pt;height:12pt;margin-top:781.33pt;margin-left:289.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pt;height:12pt;margin-top:781.33pt;margin-left:289.5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pt;height:12pt;margin-top:781.33pt;margin-left:289.5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pt;height:12pt;margin-top:781.33pt;margin-left:289.5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2.5pt;height:12.5pt;margin-top:43.19pt;margin-left:183.5pt;mso-position-horizontal-relative:page;mso-position-vertical-relative:page;position:absolute;z-index:-251658240"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2.5pt;height:12.5pt;margin-top:43.19pt;margin-left:183.5pt;mso-position-horizontal-relative:page;mso-position-vertical-relative:page;position:absolute;z-index:-251657216"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2.5pt;height:12.5pt;margin-top:43.19pt;margin-left:183.5pt;mso-position-horizontal-relative:page;mso-position-vertical-relative:page;position:absolute;z-index:-251656192"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2.5pt;height:12.5pt;margin-top:43.19pt;margin-left:183.5pt;mso-position-horizontal-relative:page;mso-position-vertical-relative:page;position:absolute;z-index:-251655168"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2.5pt;height:12.5pt;margin-top:43.19pt;margin-left:183.5pt;mso-position-horizontal-relative:page;mso-position-vertical-relative:page;position:absolute;z-index:-251654144"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2.5pt;height:12.5pt;margin-top:43.19pt;margin-left:183.5pt;mso-position-horizontal-relative:page;mso-position-vertical-relative:page;position:absolute;z-index:-251653120"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2.5pt;height:12.5pt;margin-top:43.19pt;margin-left:183.5pt;mso-position-horizontal-relative:page;mso-position-vertical-relative:page;position:absolute;z-index:-251652096"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2.5pt;height:12.5pt;margin-top:43.19pt;margin-left:183.5pt;mso-position-horizontal-relative:page;mso-position-vertical-relative:page;position:absolute;z-index:-251651072"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2.5pt;height:12.5pt;margin-top:43.19pt;margin-left:156.5pt;mso-position-horizontal-relative:page;mso-position-vertical-relative:page;position:absolute;z-index:-251650048"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22.5pt;height:12.5pt;margin-top:43.19pt;margin-left:156.5pt;mso-position-horizontal-relative:page;mso-position-vertical-relative:page;position:absolute;z-index:-251649024"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22.5pt;height:12.5pt;margin-top:43.19pt;margin-left:156.5pt;mso-position-horizontal-relative:page;mso-position-vertical-relative:page;position:absolute;z-index:-251648000"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22.5pt;height:12.5pt;margin-top:43.19pt;margin-left:156.5pt;mso-position-horizontal-relative:page;mso-position-vertical-relative:page;position:absolute;z-index:-251646976"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22.5pt;height:12.5pt;margin-top:43.19pt;margin-left:156.5pt;mso-position-horizontal-relative:page;mso-position-vertical-relative:page;position:absolute;z-index:-251645952"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22.5pt;height:12.5pt;margin-top:43.19pt;margin-left:156.5pt;mso-position-horizontal-relative:page;mso-position-vertical-relative:page;position:absolute;z-index:-251644928"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22.5pt;height:12.5pt;margin-top:43.19pt;margin-left:156.5pt;mso-position-horizontal-relative:page;mso-position-vertical-relative:page;position:absolute;z-index:-251643904"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22.5pt;height:12.5pt;margin-top:43.19pt;margin-left:156.5pt;mso-position-horizontal-relative:page;mso-position-vertical-relative:page;position:absolute;z-index:-251642880"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22.5pt;height:12.5pt;margin-top:43.19pt;margin-left:156.5pt;mso-position-horizontal-relative:page;mso-position-vertical-relative:page;position:absolute;z-index:-251641856"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22.5pt;height:12.5pt;margin-top:43.19pt;margin-left:156.5pt;mso-position-horizontal-relative:page;mso-position-vertical-relative:page;position:absolute;z-index:-251640832"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22.5pt;height:12.5pt;margin-top:43.19pt;margin-left:156.5pt;mso-position-horizontal-relative:page;mso-position-vertical-relative:page;position:absolute;z-index:-251639808"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22.5pt;height:12.5pt;margin-top:43.19pt;margin-left:156.5pt;mso-position-horizontal-relative:page;mso-position-vertical-relative:page;position:absolute;z-index:-251638784" filled="f" stroked="f">
          <v:textbox inset="0,0,0,0">
            <w:txbxContent>
              <w:p>
                <w:pPr>
                  <w:spacing w:before="0" w:line="250" w:lineRule="exact"/>
                  <w:ind w:left="20" w:right="0" w:firstLine="0"/>
                  <w:jc w:val="left"/>
                  <w:rPr>
                    <w:sz w:val="21"/>
                  </w:rPr>
                </w:pPr>
                <w:r>
                  <w:rPr>
                    <w:spacing w:val="-1"/>
                    <w:sz w:val="21"/>
                  </w:rPr>
                  <w:t>成都交大工程建设监理有限公司铁中监理项目部</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77BBB3"/>
    <w:multiLevelType w:val="hybridMultilevel"/>
    <w:tmpl w:val="00000000"/>
    <w:lvl w:ilvl="0">
      <w:start w:val="2"/>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abstractNum w:abstractNumId="1">
    <w:nsid w:val="0DA9012D"/>
    <w:multiLevelType w:val="hybridMultilevel"/>
    <w:tmpl w:val="00000000"/>
    <w:lvl w:ilvl="0">
      <w:start w:val="5"/>
      <w:numFmt w:val="decimal"/>
      <w:lvlText w:val="%1."/>
      <w:lvlJc w:val="left"/>
      <w:pPr>
        <w:ind w:left="1120" w:hanging="420"/>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2118" w:hanging="420"/>
      </w:pPr>
      <w:rPr>
        <w:rFonts w:hint="default"/>
        <w:lang w:val="en-US" w:eastAsia="zh-CN" w:bidi="ar-SA"/>
      </w:rPr>
    </w:lvl>
    <w:lvl w:ilvl="2">
      <w:start w:val="0"/>
      <w:numFmt w:val="bullet"/>
      <w:lvlText w:val="•"/>
      <w:lvlJc w:val="left"/>
      <w:pPr>
        <w:ind w:left="3117" w:hanging="420"/>
      </w:pPr>
      <w:rPr>
        <w:rFonts w:hint="default"/>
        <w:lang w:val="en-US" w:eastAsia="zh-CN" w:bidi="ar-SA"/>
      </w:rPr>
    </w:lvl>
    <w:lvl w:ilvl="3">
      <w:start w:val="0"/>
      <w:numFmt w:val="bullet"/>
      <w:lvlText w:val="•"/>
      <w:lvlJc w:val="left"/>
      <w:pPr>
        <w:ind w:left="4115" w:hanging="420"/>
      </w:pPr>
      <w:rPr>
        <w:rFonts w:hint="default"/>
        <w:lang w:val="en-US" w:eastAsia="zh-CN" w:bidi="ar-SA"/>
      </w:rPr>
    </w:lvl>
    <w:lvl w:ilvl="4">
      <w:start w:val="0"/>
      <w:numFmt w:val="bullet"/>
      <w:lvlText w:val="•"/>
      <w:lvlJc w:val="left"/>
      <w:pPr>
        <w:ind w:left="5114" w:hanging="420"/>
      </w:pPr>
      <w:rPr>
        <w:rFonts w:hint="default"/>
        <w:lang w:val="en-US" w:eastAsia="zh-CN" w:bidi="ar-SA"/>
      </w:rPr>
    </w:lvl>
    <w:lvl w:ilvl="5">
      <w:start w:val="0"/>
      <w:numFmt w:val="bullet"/>
      <w:lvlText w:val="•"/>
      <w:lvlJc w:val="left"/>
      <w:pPr>
        <w:ind w:left="6113" w:hanging="420"/>
      </w:pPr>
      <w:rPr>
        <w:rFonts w:hint="default"/>
        <w:lang w:val="en-US" w:eastAsia="zh-CN" w:bidi="ar-SA"/>
      </w:rPr>
    </w:lvl>
    <w:lvl w:ilvl="6">
      <w:start w:val="0"/>
      <w:numFmt w:val="bullet"/>
      <w:lvlText w:val="•"/>
      <w:lvlJc w:val="left"/>
      <w:pPr>
        <w:ind w:left="7111" w:hanging="420"/>
      </w:pPr>
      <w:rPr>
        <w:rFonts w:hint="default"/>
        <w:lang w:val="en-US" w:eastAsia="zh-CN" w:bidi="ar-SA"/>
      </w:rPr>
    </w:lvl>
    <w:lvl w:ilvl="7">
      <w:start w:val="0"/>
      <w:numFmt w:val="bullet"/>
      <w:lvlText w:val="•"/>
      <w:lvlJc w:val="left"/>
      <w:pPr>
        <w:ind w:left="8110" w:hanging="420"/>
      </w:pPr>
      <w:rPr>
        <w:rFonts w:hint="default"/>
        <w:lang w:val="en-US" w:eastAsia="zh-CN" w:bidi="ar-SA"/>
      </w:rPr>
    </w:lvl>
    <w:lvl w:ilvl="8">
      <w:start w:val="0"/>
      <w:numFmt w:val="bullet"/>
      <w:lvlText w:val="•"/>
      <w:lvlJc w:val="left"/>
      <w:pPr>
        <w:ind w:left="9108" w:hanging="420"/>
      </w:pPr>
      <w:rPr>
        <w:rFonts w:hint="default"/>
        <w:lang w:val="en-US" w:eastAsia="zh-CN" w:bidi="ar-SA"/>
      </w:rPr>
    </w:lvl>
  </w:abstractNum>
  <w:abstractNum w:abstractNumId="2">
    <w:nsid w:val="142D21BB"/>
    <w:multiLevelType w:val="hybridMultilevel"/>
    <w:tmpl w:val="00000000"/>
    <w:lvl w:ilvl="0">
      <w:start w:val="1"/>
      <w:numFmt w:val="decimal"/>
      <w:lvlText w:val="%1)"/>
      <w:lvlJc w:val="left"/>
      <w:pPr>
        <w:ind w:left="580" w:hanging="281"/>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281"/>
      </w:pPr>
      <w:rPr>
        <w:rFonts w:hint="default"/>
        <w:lang w:val="en-US" w:eastAsia="zh-CN" w:bidi="ar-SA"/>
      </w:rPr>
    </w:lvl>
    <w:lvl w:ilvl="2">
      <w:start w:val="0"/>
      <w:numFmt w:val="bullet"/>
      <w:lvlText w:val="•"/>
      <w:lvlJc w:val="left"/>
      <w:pPr>
        <w:ind w:left="2685" w:hanging="281"/>
      </w:pPr>
      <w:rPr>
        <w:rFonts w:hint="default"/>
        <w:lang w:val="en-US" w:eastAsia="zh-CN" w:bidi="ar-SA"/>
      </w:rPr>
    </w:lvl>
    <w:lvl w:ilvl="3">
      <w:start w:val="0"/>
      <w:numFmt w:val="bullet"/>
      <w:lvlText w:val="•"/>
      <w:lvlJc w:val="left"/>
      <w:pPr>
        <w:ind w:left="3737" w:hanging="281"/>
      </w:pPr>
      <w:rPr>
        <w:rFonts w:hint="default"/>
        <w:lang w:val="en-US" w:eastAsia="zh-CN" w:bidi="ar-SA"/>
      </w:rPr>
    </w:lvl>
    <w:lvl w:ilvl="4">
      <w:start w:val="0"/>
      <w:numFmt w:val="bullet"/>
      <w:lvlText w:val="•"/>
      <w:lvlJc w:val="left"/>
      <w:pPr>
        <w:ind w:left="4790" w:hanging="281"/>
      </w:pPr>
      <w:rPr>
        <w:rFonts w:hint="default"/>
        <w:lang w:val="en-US" w:eastAsia="zh-CN" w:bidi="ar-SA"/>
      </w:rPr>
    </w:lvl>
    <w:lvl w:ilvl="5">
      <w:start w:val="0"/>
      <w:numFmt w:val="bullet"/>
      <w:lvlText w:val="•"/>
      <w:lvlJc w:val="left"/>
      <w:pPr>
        <w:ind w:left="5843" w:hanging="281"/>
      </w:pPr>
      <w:rPr>
        <w:rFonts w:hint="default"/>
        <w:lang w:val="en-US" w:eastAsia="zh-CN" w:bidi="ar-SA"/>
      </w:rPr>
    </w:lvl>
    <w:lvl w:ilvl="6">
      <w:start w:val="0"/>
      <w:numFmt w:val="bullet"/>
      <w:lvlText w:val="•"/>
      <w:lvlJc w:val="left"/>
      <w:pPr>
        <w:ind w:left="6895" w:hanging="281"/>
      </w:pPr>
      <w:rPr>
        <w:rFonts w:hint="default"/>
        <w:lang w:val="en-US" w:eastAsia="zh-CN" w:bidi="ar-SA"/>
      </w:rPr>
    </w:lvl>
    <w:lvl w:ilvl="7">
      <w:start w:val="0"/>
      <w:numFmt w:val="bullet"/>
      <w:lvlText w:val="•"/>
      <w:lvlJc w:val="left"/>
      <w:pPr>
        <w:ind w:left="7948" w:hanging="281"/>
      </w:pPr>
      <w:rPr>
        <w:rFonts w:hint="default"/>
        <w:lang w:val="en-US" w:eastAsia="zh-CN" w:bidi="ar-SA"/>
      </w:rPr>
    </w:lvl>
    <w:lvl w:ilvl="8">
      <w:start w:val="0"/>
      <w:numFmt w:val="bullet"/>
      <w:lvlText w:val="•"/>
      <w:lvlJc w:val="left"/>
      <w:pPr>
        <w:ind w:left="9000" w:hanging="281"/>
      </w:pPr>
      <w:rPr>
        <w:rFonts w:hint="default"/>
        <w:lang w:val="en-US" w:eastAsia="zh-CN" w:bidi="ar-SA"/>
      </w:rPr>
    </w:lvl>
  </w:abstractNum>
  <w:abstractNum w:abstractNumId="3">
    <w:nsid w:val="1FFA8FC2"/>
    <w:multiLevelType w:val="hybridMultilevel"/>
    <w:tmpl w:val="00000000"/>
    <w:lvl w:ilvl="0">
      <w:start w:val="1"/>
      <w:numFmt w:val="decimal"/>
      <w:lvlText w:val="%1"/>
      <w:lvlJc w:val="left"/>
      <w:pPr>
        <w:ind w:left="580" w:hanging="21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32" w:hanging="210"/>
      </w:pPr>
      <w:rPr>
        <w:rFonts w:hint="default"/>
        <w:lang w:val="en-US" w:eastAsia="zh-CN" w:bidi="ar-SA"/>
      </w:rPr>
    </w:lvl>
    <w:lvl w:ilvl="2">
      <w:start w:val="0"/>
      <w:numFmt w:val="bullet"/>
      <w:lvlText w:val="•"/>
      <w:lvlJc w:val="left"/>
      <w:pPr>
        <w:ind w:left="2685" w:hanging="210"/>
      </w:pPr>
      <w:rPr>
        <w:rFonts w:hint="default"/>
        <w:lang w:val="en-US" w:eastAsia="zh-CN" w:bidi="ar-SA"/>
      </w:rPr>
    </w:lvl>
    <w:lvl w:ilvl="3">
      <w:start w:val="0"/>
      <w:numFmt w:val="bullet"/>
      <w:lvlText w:val="•"/>
      <w:lvlJc w:val="left"/>
      <w:pPr>
        <w:ind w:left="3737" w:hanging="210"/>
      </w:pPr>
      <w:rPr>
        <w:rFonts w:hint="default"/>
        <w:lang w:val="en-US" w:eastAsia="zh-CN" w:bidi="ar-SA"/>
      </w:rPr>
    </w:lvl>
    <w:lvl w:ilvl="4">
      <w:start w:val="0"/>
      <w:numFmt w:val="bullet"/>
      <w:lvlText w:val="•"/>
      <w:lvlJc w:val="left"/>
      <w:pPr>
        <w:ind w:left="4790" w:hanging="210"/>
      </w:pPr>
      <w:rPr>
        <w:rFonts w:hint="default"/>
        <w:lang w:val="en-US" w:eastAsia="zh-CN" w:bidi="ar-SA"/>
      </w:rPr>
    </w:lvl>
    <w:lvl w:ilvl="5">
      <w:start w:val="0"/>
      <w:numFmt w:val="bullet"/>
      <w:lvlText w:val="•"/>
      <w:lvlJc w:val="left"/>
      <w:pPr>
        <w:ind w:left="5843" w:hanging="210"/>
      </w:pPr>
      <w:rPr>
        <w:rFonts w:hint="default"/>
        <w:lang w:val="en-US" w:eastAsia="zh-CN" w:bidi="ar-SA"/>
      </w:rPr>
    </w:lvl>
    <w:lvl w:ilvl="6">
      <w:start w:val="0"/>
      <w:numFmt w:val="bullet"/>
      <w:lvlText w:val="•"/>
      <w:lvlJc w:val="left"/>
      <w:pPr>
        <w:ind w:left="6895" w:hanging="210"/>
      </w:pPr>
      <w:rPr>
        <w:rFonts w:hint="default"/>
        <w:lang w:val="en-US" w:eastAsia="zh-CN" w:bidi="ar-SA"/>
      </w:rPr>
    </w:lvl>
    <w:lvl w:ilvl="7">
      <w:start w:val="0"/>
      <w:numFmt w:val="bullet"/>
      <w:lvlText w:val="•"/>
      <w:lvlJc w:val="left"/>
      <w:pPr>
        <w:ind w:left="7948" w:hanging="210"/>
      </w:pPr>
      <w:rPr>
        <w:rFonts w:hint="default"/>
        <w:lang w:val="en-US" w:eastAsia="zh-CN" w:bidi="ar-SA"/>
      </w:rPr>
    </w:lvl>
    <w:lvl w:ilvl="8">
      <w:start w:val="0"/>
      <w:numFmt w:val="bullet"/>
      <w:lvlText w:val="•"/>
      <w:lvlJc w:val="left"/>
      <w:pPr>
        <w:ind w:left="9000" w:hanging="210"/>
      </w:pPr>
      <w:rPr>
        <w:rFonts w:hint="default"/>
        <w:lang w:val="en-US" w:eastAsia="zh-CN" w:bidi="ar-SA"/>
      </w:rPr>
    </w:lvl>
  </w:abstractNum>
  <w:abstractNum w:abstractNumId="4">
    <w:nsid w:val="223AD64D"/>
    <w:multiLevelType w:val="hybridMultilevel"/>
    <w:tmpl w:val="00000000"/>
    <w:lvl w:ilvl="0">
      <w:start w:val="3"/>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abstractNum w:abstractNumId="5">
    <w:nsid w:val="23DD506C"/>
    <w:multiLevelType w:val="hybridMultilevel"/>
    <w:tmpl w:val="00000000"/>
    <w:lvl w:ilvl="0">
      <w:start w:val="1"/>
      <w:numFmt w:val="decimal"/>
      <w:lvlText w:val="%1."/>
      <w:lvlJc w:val="left"/>
      <w:pPr>
        <w:ind w:left="1000" w:hanging="420"/>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2010" w:hanging="420"/>
      </w:pPr>
      <w:rPr>
        <w:rFonts w:hint="default"/>
        <w:lang w:val="en-US" w:eastAsia="zh-CN" w:bidi="ar-SA"/>
      </w:rPr>
    </w:lvl>
    <w:lvl w:ilvl="2">
      <w:start w:val="0"/>
      <w:numFmt w:val="bullet"/>
      <w:lvlText w:val="•"/>
      <w:lvlJc w:val="left"/>
      <w:pPr>
        <w:ind w:left="3021" w:hanging="420"/>
      </w:pPr>
      <w:rPr>
        <w:rFonts w:hint="default"/>
        <w:lang w:val="en-US" w:eastAsia="zh-CN" w:bidi="ar-SA"/>
      </w:rPr>
    </w:lvl>
    <w:lvl w:ilvl="3">
      <w:start w:val="0"/>
      <w:numFmt w:val="bullet"/>
      <w:lvlText w:val="•"/>
      <w:lvlJc w:val="left"/>
      <w:pPr>
        <w:ind w:left="4031" w:hanging="420"/>
      </w:pPr>
      <w:rPr>
        <w:rFonts w:hint="default"/>
        <w:lang w:val="en-US" w:eastAsia="zh-CN" w:bidi="ar-SA"/>
      </w:rPr>
    </w:lvl>
    <w:lvl w:ilvl="4">
      <w:start w:val="0"/>
      <w:numFmt w:val="bullet"/>
      <w:lvlText w:val="•"/>
      <w:lvlJc w:val="left"/>
      <w:pPr>
        <w:ind w:left="5042" w:hanging="420"/>
      </w:pPr>
      <w:rPr>
        <w:rFonts w:hint="default"/>
        <w:lang w:val="en-US" w:eastAsia="zh-CN" w:bidi="ar-SA"/>
      </w:rPr>
    </w:lvl>
    <w:lvl w:ilvl="5">
      <w:start w:val="0"/>
      <w:numFmt w:val="bullet"/>
      <w:lvlText w:val="•"/>
      <w:lvlJc w:val="left"/>
      <w:pPr>
        <w:ind w:left="605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8074" w:hanging="420"/>
      </w:pPr>
      <w:rPr>
        <w:rFonts w:hint="default"/>
        <w:lang w:val="en-US" w:eastAsia="zh-CN" w:bidi="ar-SA"/>
      </w:rPr>
    </w:lvl>
    <w:lvl w:ilvl="8">
      <w:start w:val="0"/>
      <w:numFmt w:val="bullet"/>
      <w:lvlText w:val="•"/>
      <w:lvlJc w:val="left"/>
      <w:pPr>
        <w:ind w:left="9084" w:hanging="420"/>
      </w:pPr>
      <w:rPr>
        <w:rFonts w:hint="default"/>
        <w:lang w:val="en-US" w:eastAsia="zh-CN" w:bidi="ar-SA"/>
      </w:rPr>
    </w:lvl>
  </w:abstractNum>
  <w:abstractNum w:abstractNumId="6">
    <w:nsid w:val="352F3F6C"/>
    <w:multiLevelType w:val="hybridMultilevel"/>
    <w:tmpl w:val="00000000"/>
    <w:lvl w:ilvl="0">
      <w:start w:val="2"/>
      <w:numFmt w:val="decimal"/>
      <w:lvlText w:val="%1)"/>
      <w:lvlJc w:val="left"/>
      <w:pPr>
        <w:ind w:left="580" w:hanging="281"/>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281"/>
      </w:pPr>
      <w:rPr>
        <w:rFonts w:hint="default"/>
        <w:lang w:val="en-US" w:eastAsia="zh-CN" w:bidi="ar-SA"/>
      </w:rPr>
    </w:lvl>
    <w:lvl w:ilvl="2">
      <w:start w:val="0"/>
      <w:numFmt w:val="bullet"/>
      <w:lvlText w:val="•"/>
      <w:lvlJc w:val="left"/>
      <w:pPr>
        <w:ind w:left="2685" w:hanging="281"/>
      </w:pPr>
      <w:rPr>
        <w:rFonts w:hint="default"/>
        <w:lang w:val="en-US" w:eastAsia="zh-CN" w:bidi="ar-SA"/>
      </w:rPr>
    </w:lvl>
    <w:lvl w:ilvl="3">
      <w:start w:val="0"/>
      <w:numFmt w:val="bullet"/>
      <w:lvlText w:val="•"/>
      <w:lvlJc w:val="left"/>
      <w:pPr>
        <w:ind w:left="3737" w:hanging="281"/>
      </w:pPr>
      <w:rPr>
        <w:rFonts w:hint="default"/>
        <w:lang w:val="en-US" w:eastAsia="zh-CN" w:bidi="ar-SA"/>
      </w:rPr>
    </w:lvl>
    <w:lvl w:ilvl="4">
      <w:start w:val="0"/>
      <w:numFmt w:val="bullet"/>
      <w:lvlText w:val="•"/>
      <w:lvlJc w:val="left"/>
      <w:pPr>
        <w:ind w:left="4790" w:hanging="281"/>
      </w:pPr>
      <w:rPr>
        <w:rFonts w:hint="default"/>
        <w:lang w:val="en-US" w:eastAsia="zh-CN" w:bidi="ar-SA"/>
      </w:rPr>
    </w:lvl>
    <w:lvl w:ilvl="5">
      <w:start w:val="0"/>
      <w:numFmt w:val="bullet"/>
      <w:lvlText w:val="•"/>
      <w:lvlJc w:val="left"/>
      <w:pPr>
        <w:ind w:left="5843" w:hanging="281"/>
      </w:pPr>
      <w:rPr>
        <w:rFonts w:hint="default"/>
        <w:lang w:val="en-US" w:eastAsia="zh-CN" w:bidi="ar-SA"/>
      </w:rPr>
    </w:lvl>
    <w:lvl w:ilvl="6">
      <w:start w:val="0"/>
      <w:numFmt w:val="bullet"/>
      <w:lvlText w:val="•"/>
      <w:lvlJc w:val="left"/>
      <w:pPr>
        <w:ind w:left="6895" w:hanging="281"/>
      </w:pPr>
      <w:rPr>
        <w:rFonts w:hint="default"/>
        <w:lang w:val="en-US" w:eastAsia="zh-CN" w:bidi="ar-SA"/>
      </w:rPr>
    </w:lvl>
    <w:lvl w:ilvl="7">
      <w:start w:val="0"/>
      <w:numFmt w:val="bullet"/>
      <w:lvlText w:val="•"/>
      <w:lvlJc w:val="left"/>
      <w:pPr>
        <w:ind w:left="7948" w:hanging="281"/>
      </w:pPr>
      <w:rPr>
        <w:rFonts w:hint="default"/>
        <w:lang w:val="en-US" w:eastAsia="zh-CN" w:bidi="ar-SA"/>
      </w:rPr>
    </w:lvl>
    <w:lvl w:ilvl="8">
      <w:start w:val="0"/>
      <w:numFmt w:val="bullet"/>
      <w:lvlText w:val="•"/>
      <w:lvlJc w:val="left"/>
      <w:pPr>
        <w:ind w:left="9000" w:hanging="281"/>
      </w:pPr>
      <w:rPr>
        <w:rFonts w:hint="default"/>
        <w:lang w:val="en-US" w:eastAsia="zh-CN" w:bidi="ar-SA"/>
      </w:rPr>
    </w:lvl>
  </w:abstractNum>
  <w:abstractNum w:abstractNumId="7">
    <w:nsid w:val="398A7E40"/>
    <w:multiLevelType w:val="hybridMultilevel"/>
    <w:tmpl w:val="00000000"/>
    <w:lvl w:ilvl="0">
      <w:start w:val="1"/>
      <w:numFmt w:val="decimal"/>
      <w:lvlText w:val="%1）"/>
      <w:lvlJc w:val="left"/>
      <w:pPr>
        <w:ind w:left="580" w:hanging="415"/>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632" w:hanging="415"/>
      </w:pPr>
      <w:rPr>
        <w:rFonts w:hint="default"/>
        <w:lang w:val="en-US" w:eastAsia="zh-CN" w:bidi="ar-SA"/>
      </w:rPr>
    </w:lvl>
    <w:lvl w:ilvl="2">
      <w:start w:val="0"/>
      <w:numFmt w:val="bullet"/>
      <w:lvlText w:val="•"/>
      <w:lvlJc w:val="left"/>
      <w:pPr>
        <w:ind w:left="2685" w:hanging="415"/>
      </w:pPr>
      <w:rPr>
        <w:rFonts w:hint="default"/>
        <w:lang w:val="en-US" w:eastAsia="zh-CN" w:bidi="ar-SA"/>
      </w:rPr>
    </w:lvl>
    <w:lvl w:ilvl="3">
      <w:start w:val="0"/>
      <w:numFmt w:val="bullet"/>
      <w:lvlText w:val="•"/>
      <w:lvlJc w:val="left"/>
      <w:pPr>
        <w:ind w:left="3737" w:hanging="415"/>
      </w:pPr>
      <w:rPr>
        <w:rFonts w:hint="default"/>
        <w:lang w:val="en-US" w:eastAsia="zh-CN" w:bidi="ar-SA"/>
      </w:rPr>
    </w:lvl>
    <w:lvl w:ilvl="4">
      <w:start w:val="0"/>
      <w:numFmt w:val="bullet"/>
      <w:lvlText w:val="•"/>
      <w:lvlJc w:val="left"/>
      <w:pPr>
        <w:ind w:left="4790" w:hanging="415"/>
      </w:pPr>
      <w:rPr>
        <w:rFonts w:hint="default"/>
        <w:lang w:val="en-US" w:eastAsia="zh-CN" w:bidi="ar-SA"/>
      </w:rPr>
    </w:lvl>
    <w:lvl w:ilvl="5">
      <w:start w:val="0"/>
      <w:numFmt w:val="bullet"/>
      <w:lvlText w:val="•"/>
      <w:lvlJc w:val="left"/>
      <w:pPr>
        <w:ind w:left="5843" w:hanging="415"/>
      </w:pPr>
      <w:rPr>
        <w:rFonts w:hint="default"/>
        <w:lang w:val="en-US" w:eastAsia="zh-CN" w:bidi="ar-SA"/>
      </w:rPr>
    </w:lvl>
    <w:lvl w:ilvl="6">
      <w:start w:val="0"/>
      <w:numFmt w:val="bullet"/>
      <w:lvlText w:val="•"/>
      <w:lvlJc w:val="left"/>
      <w:pPr>
        <w:ind w:left="6895" w:hanging="415"/>
      </w:pPr>
      <w:rPr>
        <w:rFonts w:hint="default"/>
        <w:lang w:val="en-US" w:eastAsia="zh-CN" w:bidi="ar-SA"/>
      </w:rPr>
    </w:lvl>
    <w:lvl w:ilvl="7">
      <w:start w:val="0"/>
      <w:numFmt w:val="bullet"/>
      <w:lvlText w:val="•"/>
      <w:lvlJc w:val="left"/>
      <w:pPr>
        <w:ind w:left="7948" w:hanging="415"/>
      </w:pPr>
      <w:rPr>
        <w:rFonts w:hint="default"/>
        <w:lang w:val="en-US" w:eastAsia="zh-CN" w:bidi="ar-SA"/>
      </w:rPr>
    </w:lvl>
    <w:lvl w:ilvl="8">
      <w:start w:val="0"/>
      <w:numFmt w:val="bullet"/>
      <w:lvlText w:val="•"/>
      <w:lvlJc w:val="left"/>
      <w:pPr>
        <w:ind w:left="9000" w:hanging="415"/>
      </w:pPr>
      <w:rPr>
        <w:rFonts w:hint="default"/>
        <w:lang w:val="en-US" w:eastAsia="zh-CN" w:bidi="ar-SA"/>
      </w:rPr>
    </w:lvl>
  </w:abstractNum>
  <w:abstractNum w:abstractNumId="8">
    <w:nsid w:val="3E3A1FA2"/>
    <w:multiLevelType w:val="hybridMultilevel"/>
    <w:tmpl w:val="00000000"/>
    <w:lvl w:ilvl="0">
      <w:start w:val="1"/>
      <w:numFmt w:val="decimal"/>
      <w:lvlText w:val="（%1）"/>
      <w:lvlJc w:val="left"/>
      <w:pPr>
        <w:ind w:left="580" w:hanging="701"/>
        <w:jc w:val="right"/>
      </w:pPr>
      <w:rPr>
        <w:rFonts w:ascii="宋体" w:eastAsia="宋体" w:hAnsi="宋体" w:cs="宋体" w:hint="default"/>
        <w:b w:val="0"/>
        <w:bCs w:val="0"/>
        <w:i w:val="0"/>
        <w:iCs w:val="0"/>
        <w:spacing w:val="-7"/>
        <w:w w:val="100"/>
        <w:sz w:val="26"/>
        <w:szCs w:val="26"/>
        <w:lang w:val="en-US" w:eastAsia="zh-CN" w:bidi="ar-SA"/>
      </w:rPr>
    </w:lvl>
    <w:lvl w:ilvl="1">
      <w:start w:val="0"/>
      <w:numFmt w:val="bullet"/>
      <w:lvlText w:val="•"/>
      <w:lvlJc w:val="left"/>
      <w:pPr>
        <w:ind w:left="1632" w:hanging="701"/>
      </w:pPr>
      <w:rPr>
        <w:rFonts w:hint="default"/>
        <w:lang w:val="en-US" w:eastAsia="zh-CN" w:bidi="ar-SA"/>
      </w:rPr>
    </w:lvl>
    <w:lvl w:ilvl="2">
      <w:start w:val="0"/>
      <w:numFmt w:val="bullet"/>
      <w:lvlText w:val="•"/>
      <w:lvlJc w:val="left"/>
      <w:pPr>
        <w:ind w:left="2685" w:hanging="701"/>
      </w:pPr>
      <w:rPr>
        <w:rFonts w:hint="default"/>
        <w:lang w:val="en-US" w:eastAsia="zh-CN" w:bidi="ar-SA"/>
      </w:rPr>
    </w:lvl>
    <w:lvl w:ilvl="3">
      <w:start w:val="0"/>
      <w:numFmt w:val="bullet"/>
      <w:lvlText w:val="•"/>
      <w:lvlJc w:val="left"/>
      <w:pPr>
        <w:ind w:left="3737" w:hanging="701"/>
      </w:pPr>
      <w:rPr>
        <w:rFonts w:hint="default"/>
        <w:lang w:val="en-US" w:eastAsia="zh-CN" w:bidi="ar-SA"/>
      </w:rPr>
    </w:lvl>
    <w:lvl w:ilvl="4">
      <w:start w:val="0"/>
      <w:numFmt w:val="bullet"/>
      <w:lvlText w:val="•"/>
      <w:lvlJc w:val="left"/>
      <w:pPr>
        <w:ind w:left="4790" w:hanging="701"/>
      </w:pPr>
      <w:rPr>
        <w:rFonts w:hint="default"/>
        <w:lang w:val="en-US" w:eastAsia="zh-CN" w:bidi="ar-SA"/>
      </w:rPr>
    </w:lvl>
    <w:lvl w:ilvl="5">
      <w:start w:val="0"/>
      <w:numFmt w:val="bullet"/>
      <w:lvlText w:val="•"/>
      <w:lvlJc w:val="left"/>
      <w:pPr>
        <w:ind w:left="5843" w:hanging="701"/>
      </w:pPr>
      <w:rPr>
        <w:rFonts w:hint="default"/>
        <w:lang w:val="en-US" w:eastAsia="zh-CN" w:bidi="ar-SA"/>
      </w:rPr>
    </w:lvl>
    <w:lvl w:ilvl="6">
      <w:start w:val="0"/>
      <w:numFmt w:val="bullet"/>
      <w:lvlText w:val="•"/>
      <w:lvlJc w:val="left"/>
      <w:pPr>
        <w:ind w:left="6895" w:hanging="701"/>
      </w:pPr>
      <w:rPr>
        <w:rFonts w:hint="default"/>
        <w:lang w:val="en-US" w:eastAsia="zh-CN" w:bidi="ar-SA"/>
      </w:rPr>
    </w:lvl>
    <w:lvl w:ilvl="7">
      <w:start w:val="0"/>
      <w:numFmt w:val="bullet"/>
      <w:lvlText w:val="•"/>
      <w:lvlJc w:val="left"/>
      <w:pPr>
        <w:ind w:left="7948" w:hanging="701"/>
      </w:pPr>
      <w:rPr>
        <w:rFonts w:hint="default"/>
        <w:lang w:val="en-US" w:eastAsia="zh-CN" w:bidi="ar-SA"/>
      </w:rPr>
    </w:lvl>
    <w:lvl w:ilvl="8">
      <w:start w:val="0"/>
      <w:numFmt w:val="bullet"/>
      <w:lvlText w:val="•"/>
      <w:lvlJc w:val="left"/>
      <w:pPr>
        <w:ind w:left="9000" w:hanging="701"/>
      </w:pPr>
      <w:rPr>
        <w:rFonts w:hint="default"/>
        <w:lang w:val="en-US" w:eastAsia="zh-CN" w:bidi="ar-SA"/>
      </w:rPr>
    </w:lvl>
  </w:abstractNum>
  <w:abstractNum w:abstractNumId="9">
    <w:nsid w:val="4D9C8C94"/>
    <w:multiLevelType w:val="hybridMultilevel"/>
    <w:tmpl w:val="00000000"/>
    <w:lvl w:ilvl="0">
      <w:start w:val="2"/>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abstractNum w:abstractNumId="10">
    <w:nsid w:val="4FE4AFD0"/>
    <w:multiLevelType w:val="hybridMultilevel"/>
    <w:tmpl w:val="00000000"/>
    <w:lvl w:ilvl="0">
      <w:start w:val="1"/>
      <w:numFmt w:val="decimal"/>
      <w:lvlText w:val="%1."/>
      <w:lvlJc w:val="left"/>
      <w:pPr>
        <w:ind w:left="1540" w:hanging="420"/>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2496" w:hanging="420"/>
      </w:pPr>
      <w:rPr>
        <w:rFonts w:hint="default"/>
        <w:lang w:val="en-US" w:eastAsia="zh-CN" w:bidi="ar-SA"/>
      </w:rPr>
    </w:lvl>
    <w:lvl w:ilvl="2">
      <w:start w:val="0"/>
      <w:numFmt w:val="bullet"/>
      <w:lvlText w:val="•"/>
      <w:lvlJc w:val="left"/>
      <w:pPr>
        <w:ind w:left="3453" w:hanging="420"/>
      </w:pPr>
      <w:rPr>
        <w:rFonts w:hint="default"/>
        <w:lang w:val="en-US" w:eastAsia="zh-CN" w:bidi="ar-SA"/>
      </w:rPr>
    </w:lvl>
    <w:lvl w:ilvl="3">
      <w:start w:val="0"/>
      <w:numFmt w:val="bullet"/>
      <w:lvlText w:val="•"/>
      <w:lvlJc w:val="left"/>
      <w:pPr>
        <w:ind w:left="4409" w:hanging="420"/>
      </w:pPr>
      <w:rPr>
        <w:rFonts w:hint="default"/>
        <w:lang w:val="en-US" w:eastAsia="zh-CN" w:bidi="ar-SA"/>
      </w:rPr>
    </w:lvl>
    <w:lvl w:ilvl="4">
      <w:start w:val="0"/>
      <w:numFmt w:val="bullet"/>
      <w:lvlText w:val="•"/>
      <w:lvlJc w:val="left"/>
      <w:pPr>
        <w:ind w:left="5366" w:hanging="420"/>
      </w:pPr>
      <w:rPr>
        <w:rFonts w:hint="default"/>
        <w:lang w:val="en-US" w:eastAsia="zh-CN" w:bidi="ar-SA"/>
      </w:rPr>
    </w:lvl>
    <w:lvl w:ilvl="5">
      <w:start w:val="0"/>
      <w:numFmt w:val="bullet"/>
      <w:lvlText w:val="•"/>
      <w:lvlJc w:val="left"/>
      <w:pPr>
        <w:ind w:left="6323" w:hanging="420"/>
      </w:pPr>
      <w:rPr>
        <w:rFonts w:hint="default"/>
        <w:lang w:val="en-US" w:eastAsia="zh-CN" w:bidi="ar-SA"/>
      </w:rPr>
    </w:lvl>
    <w:lvl w:ilvl="6">
      <w:start w:val="0"/>
      <w:numFmt w:val="bullet"/>
      <w:lvlText w:val="•"/>
      <w:lvlJc w:val="left"/>
      <w:pPr>
        <w:ind w:left="7279" w:hanging="420"/>
      </w:pPr>
      <w:rPr>
        <w:rFonts w:hint="default"/>
        <w:lang w:val="en-US" w:eastAsia="zh-CN" w:bidi="ar-SA"/>
      </w:rPr>
    </w:lvl>
    <w:lvl w:ilvl="7">
      <w:start w:val="0"/>
      <w:numFmt w:val="bullet"/>
      <w:lvlText w:val="•"/>
      <w:lvlJc w:val="left"/>
      <w:pPr>
        <w:ind w:left="8236" w:hanging="420"/>
      </w:pPr>
      <w:rPr>
        <w:rFonts w:hint="default"/>
        <w:lang w:val="en-US" w:eastAsia="zh-CN" w:bidi="ar-SA"/>
      </w:rPr>
    </w:lvl>
    <w:lvl w:ilvl="8">
      <w:start w:val="0"/>
      <w:numFmt w:val="bullet"/>
      <w:lvlText w:val="•"/>
      <w:lvlJc w:val="left"/>
      <w:pPr>
        <w:ind w:left="9192" w:hanging="420"/>
      </w:pPr>
      <w:rPr>
        <w:rFonts w:hint="default"/>
        <w:lang w:val="en-US" w:eastAsia="zh-CN" w:bidi="ar-SA"/>
      </w:rPr>
    </w:lvl>
  </w:abstractNum>
  <w:abstractNum w:abstractNumId="11">
    <w:nsid w:val="560675EB"/>
    <w:multiLevelType w:val="hybridMultilevel"/>
    <w:tmpl w:val="00000000"/>
    <w:lvl w:ilvl="0">
      <w:start w:val="2"/>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abstractNum w:abstractNumId="12">
    <w:nsid w:val="62BF3AC0"/>
    <w:multiLevelType w:val="hybridMultilevel"/>
    <w:tmpl w:val="00000000"/>
    <w:lvl w:ilvl="0">
      <w:start w:val="2"/>
      <w:numFmt w:val="decimal"/>
      <w:lvlText w:val="%1）"/>
      <w:lvlJc w:val="left"/>
      <w:pPr>
        <w:ind w:left="580" w:hanging="41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632" w:hanging="414"/>
      </w:pPr>
      <w:rPr>
        <w:rFonts w:hint="default"/>
        <w:lang w:val="en-US" w:eastAsia="zh-CN" w:bidi="ar-SA"/>
      </w:rPr>
    </w:lvl>
    <w:lvl w:ilvl="2">
      <w:start w:val="0"/>
      <w:numFmt w:val="bullet"/>
      <w:lvlText w:val="•"/>
      <w:lvlJc w:val="left"/>
      <w:pPr>
        <w:ind w:left="2685" w:hanging="414"/>
      </w:pPr>
      <w:rPr>
        <w:rFonts w:hint="default"/>
        <w:lang w:val="en-US" w:eastAsia="zh-CN" w:bidi="ar-SA"/>
      </w:rPr>
    </w:lvl>
    <w:lvl w:ilvl="3">
      <w:start w:val="0"/>
      <w:numFmt w:val="bullet"/>
      <w:lvlText w:val="•"/>
      <w:lvlJc w:val="left"/>
      <w:pPr>
        <w:ind w:left="3737" w:hanging="414"/>
      </w:pPr>
      <w:rPr>
        <w:rFonts w:hint="default"/>
        <w:lang w:val="en-US" w:eastAsia="zh-CN" w:bidi="ar-SA"/>
      </w:rPr>
    </w:lvl>
    <w:lvl w:ilvl="4">
      <w:start w:val="0"/>
      <w:numFmt w:val="bullet"/>
      <w:lvlText w:val="•"/>
      <w:lvlJc w:val="left"/>
      <w:pPr>
        <w:ind w:left="4790" w:hanging="414"/>
      </w:pPr>
      <w:rPr>
        <w:rFonts w:hint="default"/>
        <w:lang w:val="en-US" w:eastAsia="zh-CN" w:bidi="ar-SA"/>
      </w:rPr>
    </w:lvl>
    <w:lvl w:ilvl="5">
      <w:start w:val="0"/>
      <w:numFmt w:val="bullet"/>
      <w:lvlText w:val="•"/>
      <w:lvlJc w:val="left"/>
      <w:pPr>
        <w:ind w:left="5843" w:hanging="414"/>
      </w:pPr>
      <w:rPr>
        <w:rFonts w:hint="default"/>
        <w:lang w:val="en-US" w:eastAsia="zh-CN" w:bidi="ar-SA"/>
      </w:rPr>
    </w:lvl>
    <w:lvl w:ilvl="6">
      <w:start w:val="0"/>
      <w:numFmt w:val="bullet"/>
      <w:lvlText w:val="•"/>
      <w:lvlJc w:val="left"/>
      <w:pPr>
        <w:ind w:left="6895" w:hanging="414"/>
      </w:pPr>
      <w:rPr>
        <w:rFonts w:hint="default"/>
        <w:lang w:val="en-US" w:eastAsia="zh-CN" w:bidi="ar-SA"/>
      </w:rPr>
    </w:lvl>
    <w:lvl w:ilvl="7">
      <w:start w:val="0"/>
      <w:numFmt w:val="bullet"/>
      <w:lvlText w:val="•"/>
      <w:lvlJc w:val="left"/>
      <w:pPr>
        <w:ind w:left="7948" w:hanging="414"/>
      </w:pPr>
      <w:rPr>
        <w:rFonts w:hint="default"/>
        <w:lang w:val="en-US" w:eastAsia="zh-CN" w:bidi="ar-SA"/>
      </w:rPr>
    </w:lvl>
    <w:lvl w:ilvl="8">
      <w:start w:val="0"/>
      <w:numFmt w:val="bullet"/>
      <w:lvlText w:val="•"/>
      <w:lvlJc w:val="left"/>
      <w:pPr>
        <w:ind w:left="9000" w:hanging="414"/>
      </w:pPr>
      <w:rPr>
        <w:rFonts w:hint="default"/>
        <w:lang w:val="en-US" w:eastAsia="zh-CN" w:bidi="ar-SA"/>
      </w:rPr>
    </w:lvl>
  </w:abstractNum>
  <w:abstractNum w:abstractNumId="13">
    <w:nsid w:val="6B7880ED"/>
    <w:multiLevelType w:val="hybridMultilevel"/>
    <w:tmpl w:val="00000000"/>
    <w:lvl w:ilvl="0">
      <w:start w:val="3"/>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abstractNum w:abstractNumId="14">
    <w:nsid w:val="70BB1491"/>
    <w:multiLevelType w:val="hybridMultilevel"/>
    <w:tmpl w:val="00000000"/>
    <w:lvl w:ilvl="0">
      <w:start w:val="1"/>
      <w:numFmt w:val="decimal"/>
      <w:lvlText w:val="%1"/>
      <w:lvlJc w:val="left"/>
      <w:pPr>
        <w:ind w:left="1120" w:hanging="28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118" w:hanging="281"/>
      </w:pPr>
      <w:rPr>
        <w:rFonts w:hint="default"/>
        <w:lang w:val="en-US" w:eastAsia="zh-CN" w:bidi="ar-SA"/>
      </w:rPr>
    </w:lvl>
    <w:lvl w:ilvl="2">
      <w:start w:val="0"/>
      <w:numFmt w:val="bullet"/>
      <w:lvlText w:val="•"/>
      <w:lvlJc w:val="left"/>
      <w:pPr>
        <w:ind w:left="3117" w:hanging="281"/>
      </w:pPr>
      <w:rPr>
        <w:rFonts w:hint="default"/>
        <w:lang w:val="en-US" w:eastAsia="zh-CN" w:bidi="ar-SA"/>
      </w:rPr>
    </w:lvl>
    <w:lvl w:ilvl="3">
      <w:start w:val="0"/>
      <w:numFmt w:val="bullet"/>
      <w:lvlText w:val="•"/>
      <w:lvlJc w:val="left"/>
      <w:pPr>
        <w:ind w:left="4115" w:hanging="281"/>
      </w:pPr>
      <w:rPr>
        <w:rFonts w:hint="default"/>
        <w:lang w:val="en-US" w:eastAsia="zh-CN" w:bidi="ar-SA"/>
      </w:rPr>
    </w:lvl>
    <w:lvl w:ilvl="4">
      <w:start w:val="0"/>
      <w:numFmt w:val="bullet"/>
      <w:lvlText w:val="•"/>
      <w:lvlJc w:val="left"/>
      <w:pPr>
        <w:ind w:left="5114" w:hanging="281"/>
      </w:pPr>
      <w:rPr>
        <w:rFonts w:hint="default"/>
        <w:lang w:val="en-US" w:eastAsia="zh-CN" w:bidi="ar-SA"/>
      </w:rPr>
    </w:lvl>
    <w:lvl w:ilvl="5">
      <w:start w:val="0"/>
      <w:numFmt w:val="bullet"/>
      <w:lvlText w:val="•"/>
      <w:lvlJc w:val="left"/>
      <w:pPr>
        <w:ind w:left="6113" w:hanging="281"/>
      </w:pPr>
      <w:rPr>
        <w:rFonts w:hint="default"/>
        <w:lang w:val="en-US" w:eastAsia="zh-CN" w:bidi="ar-SA"/>
      </w:rPr>
    </w:lvl>
    <w:lvl w:ilvl="6">
      <w:start w:val="0"/>
      <w:numFmt w:val="bullet"/>
      <w:lvlText w:val="•"/>
      <w:lvlJc w:val="left"/>
      <w:pPr>
        <w:ind w:left="7111" w:hanging="281"/>
      </w:pPr>
      <w:rPr>
        <w:rFonts w:hint="default"/>
        <w:lang w:val="en-US" w:eastAsia="zh-CN" w:bidi="ar-SA"/>
      </w:rPr>
    </w:lvl>
    <w:lvl w:ilvl="7">
      <w:start w:val="0"/>
      <w:numFmt w:val="bullet"/>
      <w:lvlText w:val="•"/>
      <w:lvlJc w:val="left"/>
      <w:pPr>
        <w:ind w:left="8110" w:hanging="281"/>
      </w:pPr>
      <w:rPr>
        <w:rFonts w:hint="default"/>
        <w:lang w:val="en-US" w:eastAsia="zh-CN" w:bidi="ar-SA"/>
      </w:rPr>
    </w:lvl>
    <w:lvl w:ilvl="8">
      <w:start w:val="0"/>
      <w:numFmt w:val="bullet"/>
      <w:lvlText w:val="•"/>
      <w:lvlJc w:val="left"/>
      <w:pPr>
        <w:ind w:left="9108" w:hanging="281"/>
      </w:pPr>
      <w:rPr>
        <w:rFonts w:hint="default"/>
        <w:lang w:val="en-US" w:eastAsia="zh-CN" w:bidi="ar-SA"/>
      </w:rPr>
    </w:lvl>
  </w:abstractNum>
  <w:abstractNum w:abstractNumId="15">
    <w:nsid w:val="7618AFF1"/>
    <w:multiLevelType w:val="hybridMultilevel"/>
    <w:tmpl w:val="00000000"/>
    <w:lvl w:ilvl="0">
      <w:start w:val="2"/>
      <w:numFmt w:val="decimal"/>
      <w:lvlText w:val="(%1)"/>
      <w:lvlJc w:val="left"/>
      <w:pPr>
        <w:ind w:left="580" w:hanging="420"/>
        <w:jc w:val="left"/>
      </w:pPr>
      <w:rPr>
        <w:rFonts w:ascii="宋体" w:eastAsia="宋体" w:hAnsi="宋体" w:cs="宋体" w:hint="default"/>
        <w:b w:val="0"/>
        <w:bCs w:val="0"/>
        <w:i w:val="0"/>
        <w:iCs w:val="0"/>
        <w:spacing w:val="19"/>
        <w:w w:val="100"/>
        <w:sz w:val="24"/>
        <w:szCs w:val="24"/>
        <w:lang w:val="en-US" w:eastAsia="zh-CN" w:bidi="ar-SA"/>
      </w:rPr>
    </w:lvl>
    <w:lvl w:ilvl="1">
      <w:start w:val="0"/>
      <w:numFmt w:val="bullet"/>
      <w:lvlText w:val="•"/>
      <w:lvlJc w:val="left"/>
      <w:pPr>
        <w:ind w:left="1632" w:hanging="420"/>
      </w:pPr>
      <w:rPr>
        <w:rFonts w:hint="default"/>
        <w:lang w:val="en-US" w:eastAsia="zh-CN" w:bidi="ar-SA"/>
      </w:rPr>
    </w:lvl>
    <w:lvl w:ilvl="2">
      <w:start w:val="0"/>
      <w:numFmt w:val="bullet"/>
      <w:lvlText w:val="•"/>
      <w:lvlJc w:val="left"/>
      <w:pPr>
        <w:ind w:left="2685" w:hanging="420"/>
      </w:pPr>
      <w:rPr>
        <w:rFonts w:hint="default"/>
        <w:lang w:val="en-US" w:eastAsia="zh-CN" w:bidi="ar-SA"/>
      </w:rPr>
    </w:lvl>
    <w:lvl w:ilvl="3">
      <w:start w:val="0"/>
      <w:numFmt w:val="bullet"/>
      <w:lvlText w:val="•"/>
      <w:lvlJc w:val="left"/>
      <w:pPr>
        <w:ind w:left="3737" w:hanging="420"/>
      </w:pPr>
      <w:rPr>
        <w:rFonts w:hint="default"/>
        <w:lang w:val="en-US" w:eastAsia="zh-CN" w:bidi="ar-SA"/>
      </w:rPr>
    </w:lvl>
    <w:lvl w:ilvl="4">
      <w:start w:val="0"/>
      <w:numFmt w:val="bullet"/>
      <w:lvlText w:val="•"/>
      <w:lvlJc w:val="left"/>
      <w:pPr>
        <w:ind w:left="4790" w:hanging="420"/>
      </w:pPr>
      <w:rPr>
        <w:rFonts w:hint="default"/>
        <w:lang w:val="en-US" w:eastAsia="zh-CN" w:bidi="ar-SA"/>
      </w:rPr>
    </w:lvl>
    <w:lvl w:ilvl="5">
      <w:start w:val="0"/>
      <w:numFmt w:val="bullet"/>
      <w:lvlText w:val="•"/>
      <w:lvlJc w:val="left"/>
      <w:pPr>
        <w:ind w:left="5843" w:hanging="420"/>
      </w:pPr>
      <w:rPr>
        <w:rFonts w:hint="default"/>
        <w:lang w:val="en-US" w:eastAsia="zh-CN" w:bidi="ar-SA"/>
      </w:rPr>
    </w:lvl>
    <w:lvl w:ilvl="6">
      <w:start w:val="0"/>
      <w:numFmt w:val="bullet"/>
      <w:lvlText w:val="•"/>
      <w:lvlJc w:val="left"/>
      <w:pPr>
        <w:ind w:left="6895" w:hanging="420"/>
      </w:pPr>
      <w:rPr>
        <w:rFonts w:hint="default"/>
        <w:lang w:val="en-US" w:eastAsia="zh-CN" w:bidi="ar-SA"/>
      </w:rPr>
    </w:lvl>
    <w:lvl w:ilvl="7">
      <w:start w:val="0"/>
      <w:numFmt w:val="bullet"/>
      <w:lvlText w:val="•"/>
      <w:lvlJc w:val="left"/>
      <w:pPr>
        <w:ind w:left="7948" w:hanging="420"/>
      </w:pPr>
      <w:rPr>
        <w:rFonts w:hint="default"/>
        <w:lang w:val="en-US" w:eastAsia="zh-CN" w:bidi="ar-SA"/>
      </w:rPr>
    </w:lvl>
    <w:lvl w:ilvl="8">
      <w:start w:val="0"/>
      <w:numFmt w:val="bullet"/>
      <w:lvlText w:val="•"/>
      <w:lvlJc w:val="left"/>
      <w:pPr>
        <w:ind w:left="9000" w:hanging="420"/>
      </w:pPr>
      <w:rPr>
        <w:rFonts w:hint="default"/>
        <w:lang w:val="en-US" w:eastAsia="zh-CN" w:bidi="ar-SA"/>
      </w:rPr>
    </w:lvl>
  </w:abstractNum>
  <w:num w:numId="1">
    <w:abstractNumId w:val="8"/>
  </w:num>
  <w:num w:numId="2">
    <w:abstractNumId w:val="2"/>
  </w:num>
  <w:num w:numId="3">
    <w:abstractNumId w:val="4"/>
  </w:num>
  <w:num w:numId="4">
    <w:abstractNumId w:val="7"/>
  </w:num>
  <w:num w:numId="5">
    <w:abstractNumId w:val="12"/>
  </w:num>
  <w:num w:numId="6">
    <w:abstractNumId w:val="3"/>
  </w:num>
  <w:num w:numId="7">
    <w:abstractNumId w:val="6"/>
  </w:num>
  <w:num w:numId="8">
    <w:abstractNumId w:val="11"/>
  </w:num>
  <w:num w:numId="9">
    <w:abstractNumId w:val="13"/>
  </w:num>
  <w:num w:numId="10">
    <w:abstractNumId w:val="15"/>
  </w:num>
  <w:num w:numId="11">
    <w:abstractNumId w:val="0"/>
  </w:num>
  <w:num w:numId="12">
    <w:abstractNumId w:val="9"/>
  </w:num>
  <w:num w:numId="13">
    <w:abstractNumId w:val="5"/>
  </w:num>
  <w:num w:numId="14">
    <w:abstractNumId w:val="10"/>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jc w:val="center"/>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spacing w:before="5"/>
      <w:ind w:right="585"/>
      <w:jc w:val="center"/>
      <w:outlineLvl w:val="1"/>
    </w:pPr>
    <w:rPr>
      <w:rFonts w:ascii="Microsoft JhengHei" w:eastAsia="Microsoft JhengHei" w:hAnsi="Microsoft JhengHei" w:cs="Microsoft JhengHei"/>
      <w:b/>
      <w:bCs/>
      <w:sz w:val="30"/>
      <w:szCs w:val="30"/>
      <w:lang w:val="en-US" w:eastAsia="zh-CN" w:bidi="ar-SA"/>
    </w:rPr>
  </w:style>
  <w:style w:type="paragraph" w:styleId="Heading3">
    <w:name w:val="heading 3"/>
    <w:basedOn w:val="Normal"/>
    <w:uiPriority w:val="1"/>
    <w:qFormat/>
    <w:pPr>
      <w:jc w:val="center"/>
      <w:outlineLvl w:val="2"/>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spacing w:before="1"/>
      <w:ind w:left="58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yperlink" Target="https://d.book118.com/318022043065006042" TargetMode="Externa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2024-03-01T16:00:05Z</dcterms:created>
  <dcterms:modified xsi:type="dcterms:W3CDTF">2024-03-01T16:00:05Z</dcterms:modified>
</cp:coreProperties>
</file>