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colors1.xml" ContentType="application/vnd.ms-office.chartcolorstyle+xml"/>
  <Override PartName="/word/charts/chart/style1.xml" ContentType="application/vnd.ms-office.chartstyle+xml"/>
  <Override PartName="/word/charts/chart1.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widowControl/>
        <w:tabs>
          <w:tab w:val="left" w:pos="8568"/>
          <w:tab w:val="right" w:pos="8640"/>
        </w:tabs>
        <w:spacing w:after="120" w:line="288" w:lineRule="auto"/>
        <w:jc w:val="center"/>
        <w:rPr>
          <w:rFonts w:ascii="幼圆" w:eastAsia="幼圆" w:hAnsi="幼圆" w:cs="幼圆" w:hint="eastAsia"/>
          <w:b/>
          <w:bCs/>
          <w:spacing w:val="-2"/>
          <w:kern w:val="0"/>
          <w:sz w:val="52"/>
          <w:szCs w:val="52"/>
        </w:rPr>
      </w:pPr>
      <w:bookmarkStart w:id="0" w:name="_GoBack"/>
      <w:r>
        <w:rPr>
          <w:rFonts w:ascii="幼圆" w:eastAsia="幼圆" w:hAnsi="幼圆" w:cs="幼圆" w:hint="eastAsia"/>
          <w:b/>
          <w:bCs/>
          <w:spacing w:val="-2"/>
          <w:kern w:val="0"/>
          <w:sz w:val="52"/>
          <w:szCs w:val="52"/>
        </w:rPr>
        <w:t>企业债务违约成因</w:t>
      </w:r>
      <w:r>
        <w:rPr>
          <w:rFonts w:ascii="幼圆" w:eastAsia="幼圆" w:hAnsi="幼圆" w:cs="幼圆" w:hint="eastAsia"/>
          <w:b/>
          <w:bCs/>
          <w:spacing w:val="-2"/>
          <w:kern w:val="0"/>
          <w:sz w:val="52"/>
          <w:szCs w:val="52"/>
          <w:lang w:val="en-US" w:eastAsia="zh-CN"/>
        </w:rPr>
        <w:t>分析案例</w:t>
      </w:r>
    </w:p>
    <w:bookmarkEnd w:id="0"/>
    <w:p>
      <w:pPr>
        <w:widowControl/>
        <w:tabs>
          <w:tab w:val="left" w:pos="8568"/>
          <w:tab w:val="right" w:pos="8640"/>
        </w:tabs>
        <w:spacing w:after="120" w:line="288" w:lineRule="auto"/>
        <w:jc w:val="center"/>
        <w:rPr>
          <w:rFonts w:ascii="幼圆" w:eastAsia="幼圆" w:hAnsi="幼圆" w:cs="幼圆" w:hint="eastAsia"/>
          <w:spacing w:val="-2"/>
          <w:kern w:val="0"/>
          <w:sz w:val="52"/>
          <w:szCs w:val="52"/>
        </w:rPr>
      </w:pPr>
      <w:r>
        <w:rPr>
          <w:rFonts w:ascii="幼圆" w:eastAsia="幼圆" w:hAnsi="幼圆" w:cs="幼圆" w:hint="eastAsia"/>
          <w:spacing w:val="-2"/>
          <w:kern w:val="0"/>
          <w:sz w:val="52"/>
          <w:szCs w:val="52"/>
        </w:rPr>
        <w:t>—以贵人鸟为例</w:t>
      </w:r>
    </w:p>
    <w:sdt>
      <w:sdtPr>
        <w:rPr>
          <w:rFonts w:ascii="幼圆" w:eastAsia="幼圆" w:hAnsi="幼圆" w:cs="幼圆" w:hint="eastAsia"/>
          <w:color w:val="auto"/>
          <w:kern w:val="2"/>
          <w:sz w:val="21"/>
          <w:szCs w:val="21"/>
          <w:lang w:val="zh-CN"/>
        </w:rPr>
        <w:id w:val="394475925"/>
        <w:docPartObj>
          <w:docPartGallery w:val="Table of Contents"/>
          <w:docPartUnique/>
        </w:docPartObj>
      </w:sdtPr>
      <w:sdtEndPr>
        <w:rPr>
          <w:rFonts w:ascii="幼圆" w:eastAsia="幼圆" w:hAnsi="幼圆" w:cs="幼圆" w:hint="eastAsia"/>
          <w:b/>
          <w:bCs/>
          <w:color w:val="auto"/>
          <w:kern w:val="2"/>
          <w:sz w:val="21"/>
          <w:szCs w:val="21"/>
          <w:lang w:val="zh-CN"/>
        </w:rPr>
      </w:sdtEndPr>
      <w:sdtContent>
        <w:p>
          <w:pPr>
            <w:pStyle w:val="TOCHeading"/>
            <w:spacing w:before="312" w:after="312"/>
            <w:jc w:val="center"/>
            <w:rPr>
              <w:rFonts w:ascii="幼圆" w:eastAsia="幼圆" w:hAnsi="幼圆" w:cs="幼圆" w:hint="eastAsia"/>
              <w:b/>
              <w:bCs/>
              <w:color w:val="auto"/>
              <w:kern w:val="2"/>
            </w:rPr>
          </w:pPr>
          <w:r>
            <w:rPr>
              <w:rFonts w:ascii="幼圆" w:eastAsia="幼圆" w:hAnsi="幼圆" w:cs="幼圆" w:hint="eastAsia"/>
              <w:b/>
              <w:bCs/>
              <w:color w:val="auto"/>
              <w:kern w:val="2"/>
            </w:rPr>
            <w:t>目</w:t>
          </w:r>
          <w:r>
            <w:rPr>
              <w:rFonts w:ascii="幼圆" w:eastAsia="幼圆" w:hAnsi="幼圆" w:cs="幼圆" w:hint="eastAsia"/>
              <w:b/>
              <w:bCs/>
              <w:color w:val="auto"/>
              <w:kern w:val="2"/>
            </w:rPr>
            <w:t xml:space="preserve"> </w:t>
          </w:r>
          <w:r>
            <w:rPr>
              <w:rFonts w:ascii="幼圆" w:eastAsia="幼圆" w:hAnsi="幼圆" w:cs="幼圆" w:hint="eastAsia"/>
              <w:b/>
              <w:bCs/>
              <w:color w:val="auto"/>
              <w:kern w:val="2"/>
            </w:rPr>
            <w:t xml:space="preserve"> 录</w:t>
          </w:r>
        </w:p>
        <w:p>
          <w:pPr>
            <w:pStyle w:val="TOC1"/>
            <w:tabs>
              <w:tab w:val="right" w:leader="dot" w:pos="9060"/>
            </w:tabs>
            <w:rPr>
              <w:rFonts w:ascii="幼圆" w:eastAsia="幼圆" w:hAnsi="幼圆" w:cs="幼圆" w:hint="eastAsia"/>
              <w:kern w:val="2"/>
              <w:sz w:val="21"/>
              <w:szCs w:val="22"/>
            </w:rPr>
          </w:pPr>
          <w:r>
            <w:rPr>
              <w:rFonts w:ascii="幼圆" w:eastAsia="幼圆" w:hAnsi="幼圆" w:cs="幼圆" w:hint="eastAsia"/>
            </w:rPr>
            <w:fldChar w:fldCharType="begin"/>
          </w:r>
          <w:r>
            <w:rPr>
              <w:rFonts w:ascii="幼圆" w:eastAsia="幼圆" w:hAnsi="幼圆" w:cs="幼圆" w:hint="eastAsia"/>
            </w:rPr>
            <w:instrText xml:space="preserve"> TOC \o "1-3" \h \z \u </w:instrText>
          </w:r>
          <w:r>
            <w:rPr>
              <w:rFonts w:ascii="幼圆" w:eastAsia="幼圆" w:hAnsi="幼圆" w:cs="幼圆" w:hint="eastAsia"/>
            </w:rPr>
            <w:fldChar w:fldCharType="separate"/>
          </w:r>
          <w:hyperlink w:anchor="_Toc69375018" w:history="1">
            <w:r>
              <w:rPr>
                <w:rStyle w:val="Hyperlink"/>
                <w:rFonts w:ascii="幼圆" w:eastAsia="幼圆" w:hAnsi="幼圆" w:cs="幼圆" w:hint="eastAsia"/>
              </w:rPr>
              <w:t>1引  言</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_Toc69375018 \h </w:instrText>
            </w:r>
            <w:r>
              <w:rPr>
                <w:rFonts w:ascii="幼圆" w:eastAsia="幼圆" w:hAnsi="幼圆" w:cs="幼圆" w:hint="eastAsia"/>
              </w:rPr>
              <w:fldChar w:fldCharType="separate"/>
            </w:r>
            <w:r>
              <w:rPr>
                <w:rFonts w:ascii="幼圆" w:eastAsia="幼圆" w:hAnsi="幼圆" w:cs="幼圆" w:hint="eastAsia"/>
              </w:rPr>
              <w:t>1</w:t>
            </w:r>
            <w:r>
              <w:rPr>
                <w:rFonts w:ascii="幼圆" w:eastAsia="幼圆" w:hAnsi="幼圆" w:cs="幼圆" w:hint="eastAsia"/>
              </w:rPr>
              <w:fldChar w:fldCharType="end"/>
            </w:r>
          </w:hyperlink>
        </w:p>
        <w:p>
          <w:pPr>
            <w:pStyle w:val="TOC1"/>
            <w:tabs>
              <w:tab w:val="right" w:leader="dot" w:pos="9060"/>
            </w:tabs>
            <w:rPr>
              <w:rFonts w:ascii="幼圆" w:eastAsia="幼圆" w:hAnsi="幼圆" w:cs="幼圆" w:hint="eastAsia"/>
              <w:kern w:val="2"/>
              <w:sz w:val="21"/>
              <w:szCs w:val="22"/>
            </w:rPr>
          </w:pPr>
          <w:hyperlink w:anchor="_Toc69375019" w:history="1">
            <w:r>
              <w:rPr>
                <w:rStyle w:val="Hyperlink"/>
                <w:rFonts w:ascii="幼圆" w:eastAsia="幼圆" w:hAnsi="幼圆" w:cs="幼圆" w:hint="eastAsia"/>
              </w:rPr>
              <w:t>2债务违约相关概念和理论基础</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_Toc69375019 \h </w:instrText>
            </w:r>
            <w:r>
              <w:rPr>
                <w:rFonts w:ascii="幼圆" w:eastAsia="幼圆" w:hAnsi="幼圆" w:cs="幼圆" w:hint="eastAsia"/>
              </w:rPr>
              <w:fldChar w:fldCharType="separate"/>
            </w:r>
            <w:r>
              <w:rPr>
                <w:rFonts w:ascii="幼圆" w:eastAsia="幼圆" w:hAnsi="幼圆" w:cs="幼圆" w:hint="eastAsia"/>
              </w:rPr>
              <w:t>1</w:t>
            </w:r>
            <w:r>
              <w:rPr>
                <w:rFonts w:ascii="幼圆" w:eastAsia="幼圆" w:hAnsi="幼圆" w:cs="幼圆" w:hint="eastAsia"/>
              </w:rPr>
              <w:fldChar w:fldCharType="end"/>
            </w:r>
          </w:hyperlink>
        </w:p>
        <w:p>
          <w:pPr>
            <w:pStyle w:val="TOC2"/>
            <w:rPr>
              <w:rFonts w:ascii="幼圆" w:eastAsia="幼圆" w:hAnsi="幼圆" w:cs="幼圆" w:hint="eastAsia"/>
              <w:b w:val="0"/>
              <w:bCs w:val="0"/>
              <w:kern w:val="2"/>
              <w:sz w:val="21"/>
              <w:szCs w:val="22"/>
            </w:rPr>
          </w:pPr>
          <w:hyperlink w:anchor="_Toc69375020" w:history="1">
            <w:r>
              <w:rPr>
                <w:rStyle w:val="Hyperlink"/>
                <w:rFonts w:ascii="幼圆" w:eastAsia="幼圆" w:hAnsi="幼圆" w:cs="幼圆" w:hint="eastAsia"/>
                <w:b w:val="0"/>
                <w:bCs w:val="0"/>
              </w:rPr>
              <w:t>2.1债务违约相关概念界定</w:t>
            </w:r>
            <w:r>
              <w:rPr>
                <w:rFonts w:ascii="幼圆" w:eastAsia="幼圆" w:hAnsi="幼圆" w:cs="幼圆" w:hint="eastAsia"/>
                <w:b w:val="0"/>
                <w:bCs w:val="0"/>
              </w:rPr>
              <w:tab/>
            </w:r>
            <w:r>
              <w:rPr>
                <w:rFonts w:ascii="幼圆" w:eastAsia="幼圆" w:hAnsi="幼圆" w:cs="幼圆" w:hint="eastAsia"/>
                <w:b w:val="0"/>
                <w:bCs w:val="0"/>
              </w:rPr>
              <w:fldChar w:fldCharType="begin"/>
            </w:r>
            <w:r>
              <w:rPr>
                <w:rFonts w:ascii="幼圆" w:eastAsia="幼圆" w:hAnsi="幼圆" w:cs="幼圆" w:hint="eastAsia"/>
                <w:b w:val="0"/>
                <w:bCs w:val="0"/>
              </w:rPr>
              <w:instrText xml:space="preserve"> PAGEREF _Toc69375020 \h </w:instrText>
            </w:r>
            <w:r>
              <w:rPr>
                <w:rFonts w:ascii="幼圆" w:eastAsia="幼圆" w:hAnsi="幼圆" w:cs="幼圆" w:hint="eastAsia"/>
                <w:b w:val="0"/>
                <w:bCs w:val="0"/>
              </w:rPr>
              <w:fldChar w:fldCharType="separate"/>
            </w:r>
            <w:r>
              <w:rPr>
                <w:rFonts w:ascii="幼圆" w:eastAsia="幼圆" w:hAnsi="幼圆" w:cs="幼圆" w:hint="eastAsia"/>
                <w:b w:val="0"/>
                <w:bCs w:val="0"/>
              </w:rPr>
              <w:t>1</w:t>
            </w:r>
            <w:r>
              <w:rPr>
                <w:rFonts w:ascii="幼圆" w:eastAsia="幼圆" w:hAnsi="幼圆" w:cs="幼圆" w:hint="eastAsia"/>
                <w:b w:val="0"/>
                <w:bCs w:val="0"/>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21" w:history="1">
            <w:r>
              <w:rPr>
                <w:rStyle w:val="Hyperlink"/>
                <w:rFonts w:ascii="幼圆" w:eastAsia="幼圆" w:hAnsi="幼圆" w:cs="幼圆" w:hint="eastAsia"/>
              </w:rPr>
              <w:t>2.1.1 债务违约</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_Toc69375021 \h </w:instrText>
            </w:r>
            <w:r>
              <w:rPr>
                <w:rFonts w:ascii="幼圆" w:eastAsia="幼圆" w:hAnsi="幼圆" w:cs="幼圆" w:hint="eastAsia"/>
              </w:rPr>
              <w:fldChar w:fldCharType="separate"/>
            </w:r>
            <w:r>
              <w:rPr>
                <w:rFonts w:ascii="幼圆" w:eastAsia="幼圆" w:hAnsi="幼圆" w:cs="幼圆" w:hint="eastAsia"/>
              </w:rPr>
              <w:t>1</w:t>
            </w:r>
            <w:r>
              <w:rPr>
                <w:rFonts w:ascii="幼圆" w:eastAsia="幼圆" w:hAnsi="幼圆" w:cs="幼圆" w:hint="eastAsia"/>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22" w:history="1">
            <w:r>
              <w:rPr>
                <w:rStyle w:val="Hyperlink"/>
                <w:rFonts w:ascii="幼圆" w:eastAsia="幼圆" w:hAnsi="幼圆" w:cs="幼圆" w:hint="eastAsia"/>
              </w:rPr>
              <w:t>2.1.2 信用风险</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_Toc69375022 \h </w:instrText>
            </w:r>
            <w:r>
              <w:rPr>
                <w:rFonts w:ascii="幼圆" w:eastAsia="幼圆" w:hAnsi="幼圆" w:cs="幼圆" w:hint="eastAsia"/>
              </w:rPr>
              <w:fldChar w:fldCharType="separate"/>
            </w:r>
            <w:r>
              <w:rPr>
                <w:rFonts w:ascii="幼圆" w:eastAsia="幼圆" w:hAnsi="幼圆" w:cs="幼圆" w:hint="eastAsia"/>
              </w:rPr>
              <w:t>2</w:t>
            </w:r>
            <w:r>
              <w:rPr>
                <w:rFonts w:ascii="幼圆" w:eastAsia="幼圆" w:hAnsi="幼圆" w:cs="幼圆" w:hint="eastAsia"/>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23" w:history="1">
            <w:r>
              <w:rPr>
                <w:rStyle w:val="Hyperlink"/>
                <w:rFonts w:ascii="幼圆" w:eastAsia="幼圆" w:hAnsi="幼圆" w:cs="幼圆" w:hint="eastAsia"/>
              </w:rPr>
              <w:t>2.1.3</w:t>
            </w:r>
            <w:r>
              <w:rPr>
                <w:rStyle w:val="Hyperlink"/>
                <w:rFonts w:ascii="幼圆" w:eastAsia="幼圆" w:hAnsi="幼圆" w:cs="幼圆" w:hint="eastAsia"/>
              </w:rPr>
              <w:t>财务风险</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_Toc69375023 \h </w:instrText>
            </w:r>
            <w:r>
              <w:rPr>
                <w:rFonts w:ascii="幼圆" w:eastAsia="幼圆" w:hAnsi="幼圆" w:cs="幼圆" w:hint="eastAsia"/>
              </w:rPr>
              <w:fldChar w:fldCharType="separate"/>
            </w:r>
            <w:r>
              <w:rPr>
                <w:rFonts w:ascii="幼圆" w:eastAsia="幼圆" w:hAnsi="幼圆" w:cs="幼圆" w:hint="eastAsia"/>
              </w:rPr>
              <w:t>2</w:t>
            </w:r>
            <w:r>
              <w:rPr>
                <w:rFonts w:ascii="幼圆" w:eastAsia="幼圆" w:hAnsi="幼圆" w:cs="幼圆" w:hint="eastAsia"/>
              </w:rPr>
              <w:fldChar w:fldCharType="end"/>
            </w:r>
          </w:hyperlink>
        </w:p>
        <w:p>
          <w:pPr>
            <w:pStyle w:val="TOC2"/>
            <w:rPr>
              <w:rFonts w:ascii="幼圆" w:eastAsia="幼圆" w:hAnsi="幼圆" w:cs="幼圆" w:hint="eastAsia"/>
              <w:b w:val="0"/>
              <w:bCs w:val="0"/>
              <w:kern w:val="2"/>
              <w:sz w:val="21"/>
              <w:szCs w:val="22"/>
            </w:rPr>
          </w:pPr>
          <w:hyperlink w:anchor="_Toc69375024" w:history="1">
            <w:r>
              <w:rPr>
                <w:rStyle w:val="Hyperlink"/>
                <w:rFonts w:ascii="幼圆" w:eastAsia="幼圆" w:hAnsi="幼圆" w:cs="幼圆" w:hint="eastAsia"/>
                <w:b w:val="0"/>
                <w:bCs w:val="0"/>
              </w:rPr>
              <w:t>2.2理论基础</w:t>
            </w:r>
            <w:r>
              <w:rPr>
                <w:rFonts w:ascii="幼圆" w:eastAsia="幼圆" w:hAnsi="幼圆" w:cs="幼圆" w:hint="eastAsia"/>
                <w:b w:val="0"/>
                <w:bCs w:val="0"/>
              </w:rPr>
              <w:tab/>
            </w:r>
            <w:r>
              <w:rPr>
                <w:rFonts w:ascii="幼圆" w:eastAsia="幼圆" w:hAnsi="幼圆" w:cs="幼圆" w:hint="eastAsia"/>
                <w:b w:val="0"/>
                <w:bCs w:val="0"/>
              </w:rPr>
              <w:fldChar w:fldCharType="begin"/>
            </w:r>
            <w:r>
              <w:rPr>
                <w:rFonts w:ascii="幼圆" w:eastAsia="幼圆" w:hAnsi="幼圆" w:cs="幼圆" w:hint="eastAsia"/>
                <w:b w:val="0"/>
                <w:bCs w:val="0"/>
              </w:rPr>
              <w:instrText xml:space="preserve"> PAGEREF _Toc69375024 \h </w:instrText>
            </w:r>
            <w:r>
              <w:rPr>
                <w:rFonts w:ascii="幼圆" w:eastAsia="幼圆" w:hAnsi="幼圆" w:cs="幼圆" w:hint="eastAsia"/>
                <w:b w:val="0"/>
                <w:bCs w:val="0"/>
              </w:rPr>
              <w:fldChar w:fldCharType="separate"/>
            </w:r>
            <w:r>
              <w:rPr>
                <w:rFonts w:ascii="幼圆" w:eastAsia="幼圆" w:hAnsi="幼圆" w:cs="幼圆" w:hint="eastAsia"/>
                <w:b w:val="0"/>
                <w:bCs w:val="0"/>
              </w:rPr>
              <w:t>2</w:t>
            </w:r>
            <w:r>
              <w:rPr>
                <w:rFonts w:ascii="幼圆" w:eastAsia="幼圆" w:hAnsi="幼圆" w:cs="幼圆" w:hint="eastAsia"/>
                <w:b w:val="0"/>
                <w:bCs w:val="0"/>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25" w:history="1">
            <w:r>
              <w:rPr>
                <w:rStyle w:val="Hyperlink"/>
                <w:rFonts w:ascii="幼圆" w:eastAsia="幼圆" w:hAnsi="幼圆" w:cs="幼圆" w:hint="eastAsia"/>
              </w:rPr>
              <w:t>2.2.1委托代理理论</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_Toc69375025 \h </w:instrText>
            </w:r>
            <w:r>
              <w:rPr>
                <w:rFonts w:ascii="幼圆" w:eastAsia="幼圆" w:hAnsi="幼圆" w:cs="幼圆" w:hint="eastAsia"/>
              </w:rPr>
              <w:fldChar w:fldCharType="separate"/>
            </w:r>
            <w:r>
              <w:rPr>
                <w:rFonts w:ascii="幼圆" w:eastAsia="幼圆" w:hAnsi="幼圆" w:cs="幼圆" w:hint="eastAsia"/>
              </w:rPr>
              <w:t>2</w:t>
            </w:r>
            <w:r>
              <w:rPr>
                <w:rFonts w:ascii="幼圆" w:eastAsia="幼圆" w:hAnsi="幼圆" w:cs="幼圆" w:hint="eastAsia"/>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26" w:history="1">
            <w:r>
              <w:rPr>
                <w:rStyle w:val="Hyperlink"/>
                <w:rFonts w:ascii="幼圆" w:eastAsia="幼圆" w:hAnsi="幼圆" w:cs="幼圆" w:hint="eastAsia"/>
              </w:rPr>
              <w:t>2.2.2债务期限结构理论</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_Toc69375026 \h </w:instrText>
            </w:r>
            <w:r>
              <w:rPr>
                <w:rFonts w:ascii="幼圆" w:eastAsia="幼圆" w:hAnsi="幼圆" w:cs="幼圆" w:hint="eastAsia"/>
              </w:rPr>
              <w:fldChar w:fldCharType="separate"/>
            </w:r>
            <w:r>
              <w:rPr>
                <w:rFonts w:ascii="幼圆" w:eastAsia="幼圆" w:hAnsi="幼圆" w:cs="幼圆" w:hint="eastAsia"/>
              </w:rPr>
              <w:t>2</w:t>
            </w:r>
            <w:r>
              <w:rPr>
                <w:rFonts w:ascii="幼圆" w:eastAsia="幼圆" w:hAnsi="幼圆" w:cs="幼圆" w:hint="eastAsia"/>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27" w:history="1">
            <w:r>
              <w:rPr>
                <w:rStyle w:val="Hyperlink"/>
                <w:rFonts w:ascii="幼圆" w:eastAsia="幼圆" w:hAnsi="幼圆" w:cs="幼圆" w:hint="eastAsia"/>
              </w:rPr>
              <w:t>2.2.3 信息不对称理论</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_Toc69375027 \h </w:instrText>
            </w:r>
            <w:r>
              <w:rPr>
                <w:rFonts w:ascii="幼圆" w:eastAsia="幼圆" w:hAnsi="幼圆" w:cs="幼圆" w:hint="eastAsia"/>
              </w:rPr>
              <w:fldChar w:fldCharType="separate"/>
            </w:r>
            <w:r>
              <w:rPr>
                <w:rFonts w:ascii="幼圆" w:eastAsia="幼圆" w:hAnsi="幼圆" w:cs="幼圆" w:hint="eastAsia"/>
              </w:rPr>
              <w:t>3</w:t>
            </w:r>
            <w:r>
              <w:rPr>
                <w:rFonts w:ascii="幼圆" w:eastAsia="幼圆" w:hAnsi="幼圆" w:cs="幼圆" w:hint="eastAsia"/>
              </w:rPr>
              <w:fldChar w:fldCharType="end"/>
            </w:r>
          </w:hyperlink>
        </w:p>
        <w:p>
          <w:pPr>
            <w:pStyle w:val="TOC2"/>
            <w:rPr>
              <w:rFonts w:ascii="幼圆" w:eastAsia="幼圆" w:hAnsi="幼圆" w:cs="幼圆" w:hint="eastAsia"/>
              <w:b w:val="0"/>
              <w:bCs w:val="0"/>
              <w:kern w:val="2"/>
              <w:sz w:val="21"/>
              <w:szCs w:val="22"/>
            </w:rPr>
          </w:pPr>
          <w:hyperlink w:anchor="_Toc69375028" w:history="1">
            <w:r>
              <w:rPr>
                <w:rStyle w:val="Hyperlink"/>
                <w:rFonts w:ascii="幼圆" w:eastAsia="幼圆" w:hAnsi="幼圆" w:cs="幼圆" w:hint="eastAsia"/>
                <w:b w:val="0"/>
                <w:bCs w:val="0"/>
              </w:rPr>
              <w:t>2.3 债务违约的影响因素</w:t>
            </w:r>
            <w:r>
              <w:rPr>
                <w:rFonts w:ascii="幼圆" w:eastAsia="幼圆" w:hAnsi="幼圆" w:cs="幼圆" w:hint="eastAsia"/>
                <w:b w:val="0"/>
                <w:bCs w:val="0"/>
              </w:rPr>
              <w:tab/>
            </w:r>
            <w:r>
              <w:rPr>
                <w:rFonts w:ascii="幼圆" w:eastAsia="幼圆" w:hAnsi="幼圆" w:cs="幼圆" w:hint="eastAsia"/>
                <w:b w:val="0"/>
                <w:bCs w:val="0"/>
              </w:rPr>
              <w:fldChar w:fldCharType="begin"/>
            </w:r>
            <w:r>
              <w:rPr>
                <w:rFonts w:ascii="幼圆" w:eastAsia="幼圆" w:hAnsi="幼圆" w:cs="幼圆" w:hint="eastAsia"/>
                <w:b w:val="0"/>
                <w:bCs w:val="0"/>
              </w:rPr>
              <w:instrText xml:space="preserve"> PAGEREF _Toc69375028 \h </w:instrText>
            </w:r>
            <w:r>
              <w:rPr>
                <w:rFonts w:ascii="幼圆" w:eastAsia="幼圆" w:hAnsi="幼圆" w:cs="幼圆" w:hint="eastAsia"/>
                <w:b w:val="0"/>
                <w:bCs w:val="0"/>
              </w:rPr>
              <w:fldChar w:fldCharType="separate"/>
            </w:r>
            <w:r>
              <w:rPr>
                <w:rFonts w:ascii="幼圆" w:eastAsia="幼圆" w:hAnsi="幼圆" w:cs="幼圆" w:hint="eastAsia"/>
                <w:b w:val="0"/>
                <w:bCs w:val="0"/>
              </w:rPr>
              <w:t>3</w:t>
            </w:r>
            <w:r>
              <w:rPr>
                <w:rFonts w:ascii="幼圆" w:eastAsia="幼圆" w:hAnsi="幼圆" w:cs="幼圆" w:hint="eastAsia"/>
                <w:b w:val="0"/>
                <w:bCs w:val="0"/>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29" w:history="1">
            <w:r>
              <w:rPr>
                <w:rStyle w:val="Hyperlink"/>
                <w:rFonts w:ascii="幼圆" w:eastAsia="幼圆" w:hAnsi="幼圆" w:cs="幼圆" w:hint="eastAsia"/>
              </w:rPr>
              <w:t>2.3.1宏观环境因素</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_Toc69375029 \h </w:instrText>
            </w:r>
            <w:r>
              <w:rPr>
                <w:rFonts w:ascii="幼圆" w:eastAsia="幼圆" w:hAnsi="幼圆" w:cs="幼圆" w:hint="eastAsia"/>
              </w:rPr>
              <w:fldChar w:fldCharType="separate"/>
            </w:r>
            <w:r>
              <w:rPr>
                <w:rFonts w:ascii="幼圆" w:eastAsia="幼圆" w:hAnsi="幼圆" w:cs="幼圆" w:hint="eastAsia"/>
              </w:rPr>
              <w:t>3</w:t>
            </w:r>
            <w:r>
              <w:rPr>
                <w:rFonts w:ascii="幼圆" w:eastAsia="幼圆" w:hAnsi="幼圆" w:cs="幼圆" w:hint="eastAsia"/>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30" w:history="1">
            <w:r>
              <w:rPr>
                <w:rStyle w:val="Hyperlink"/>
                <w:rFonts w:ascii="幼圆" w:eastAsia="幼圆" w:hAnsi="幼圆" w:cs="幼圆" w:hint="eastAsia"/>
              </w:rPr>
              <w:t>2.3.2企业财务管理因素</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_Toc69375030 \h </w:instrText>
            </w:r>
            <w:r>
              <w:rPr>
                <w:rFonts w:ascii="幼圆" w:eastAsia="幼圆" w:hAnsi="幼圆" w:cs="幼圆" w:hint="eastAsia"/>
              </w:rPr>
              <w:fldChar w:fldCharType="separate"/>
            </w:r>
            <w:r>
              <w:rPr>
                <w:rFonts w:ascii="幼圆" w:eastAsia="幼圆" w:hAnsi="幼圆" w:cs="幼圆" w:hint="eastAsia"/>
              </w:rPr>
              <w:t>3</w:t>
            </w:r>
            <w:r>
              <w:rPr>
                <w:rFonts w:ascii="幼圆" w:eastAsia="幼圆" w:hAnsi="幼圆" w:cs="幼圆" w:hint="eastAsia"/>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31" w:history="1">
            <w:r>
              <w:rPr>
                <w:rStyle w:val="Hyperlink"/>
                <w:rFonts w:ascii="幼圆" w:eastAsia="幼圆" w:hAnsi="幼圆" w:cs="幼圆" w:hint="eastAsia"/>
              </w:rPr>
              <w:t>2.3.3企业经营管理因素</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_Toc69375031 \h </w:instrText>
            </w:r>
            <w:r>
              <w:rPr>
                <w:rFonts w:ascii="幼圆" w:eastAsia="幼圆" w:hAnsi="幼圆" w:cs="幼圆" w:hint="eastAsia"/>
              </w:rPr>
              <w:fldChar w:fldCharType="separate"/>
            </w:r>
            <w:r>
              <w:rPr>
                <w:rFonts w:ascii="幼圆" w:eastAsia="幼圆" w:hAnsi="幼圆" w:cs="幼圆" w:hint="eastAsia"/>
              </w:rPr>
              <w:t>3</w:t>
            </w:r>
            <w:r>
              <w:rPr>
                <w:rFonts w:ascii="幼圆" w:eastAsia="幼圆" w:hAnsi="幼圆" w:cs="幼圆" w:hint="eastAsia"/>
              </w:rPr>
              <w:fldChar w:fldCharType="end"/>
            </w:r>
          </w:hyperlink>
        </w:p>
        <w:p>
          <w:pPr>
            <w:pStyle w:val="TOC2"/>
            <w:rPr>
              <w:rFonts w:ascii="幼圆" w:eastAsia="幼圆" w:hAnsi="幼圆" w:cs="幼圆" w:hint="eastAsia"/>
              <w:b w:val="0"/>
              <w:bCs w:val="0"/>
              <w:kern w:val="2"/>
              <w:sz w:val="21"/>
              <w:szCs w:val="22"/>
            </w:rPr>
          </w:pPr>
          <w:hyperlink w:anchor="_Toc69375032" w:history="1">
            <w:r>
              <w:rPr>
                <w:rStyle w:val="Hyperlink"/>
                <w:rFonts w:ascii="幼圆" w:eastAsia="幼圆" w:hAnsi="幼圆" w:cs="幼圆" w:hint="eastAsia"/>
                <w:b w:val="0"/>
                <w:bCs w:val="0"/>
              </w:rPr>
              <w:t>2.4 文献综述</w:t>
            </w:r>
            <w:r>
              <w:rPr>
                <w:rFonts w:ascii="幼圆" w:eastAsia="幼圆" w:hAnsi="幼圆" w:cs="幼圆" w:hint="eastAsia"/>
                <w:b w:val="0"/>
                <w:bCs w:val="0"/>
              </w:rPr>
              <w:tab/>
            </w:r>
            <w:r>
              <w:rPr>
                <w:rFonts w:ascii="幼圆" w:eastAsia="幼圆" w:hAnsi="幼圆" w:cs="幼圆" w:hint="eastAsia"/>
                <w:b w:val="0"/>
                <w:bCs w:val="0"/>
              </w:rPr>
              <w:fldChar w:fldCharType="begin"/>
            </w:r>
            <w:r>
              <w:rPr>
                <w:rFonts w:ascii="幼圆" w:eastAsia="幼圆" w:hAnsi="幼圆" w:cs="幼圆" w:hint="eastAsia"/>
                <w:b w:val="0"/>
                <w:bCs w:val="0"/>
              </w:rPr>
              <w:instrText xml:space="preserve"> PAGEREF _Toc69375032 \h </w:instrText>
            </w:r>
            <w:r>
              <w:rPr>
                <w:rFonts w:ascii="幼圆" w:eastAsia="幼圆" w:hAnsi="幼圆" w:cs="幼圆" w:hint="eastAsia"/>
                <w:b w:val="0"/>
                <w:bCs w:val="0"/>
              </w:rPr>
              <w:fldChar w:fldCharType="separate"/>
            </w:r>
            <w:r>
              <w:rPr>
                <w:rFonts w:ascii="幼圆" w:eastAsia="幼圆" w:hAnsi="幼圆" w:cs="幼圆" w:hint="eastAsia"/>
                <w:b w:val="0"/>
                <w:bCs w:val="0"/>
              </w:rPr>
              <w:t>3</w:t>
            </w:r>
            <w:r>
              <w:rPr>
                <w:rFonts w:ascii="幼圆" w:eastAsia="幼圆" w:hAnsi="幼圆" w:cs="幼圆" w:hint="eastAsia"/>
                <w:b w:val="0"/>
                <w:bCs w:val="0"/>
              </w:rPr>
              <w:fldChar w:fldCharType="end"/>
            </w:r>
          </w:hyperlink>
        </w:p>
        <w:p>
          <w:pPr>
            <w:pStyle w:val="TOC1"/>
            <w:tabs>
              <w:tab w:val="right" w:leader="dot" w:pos="9060"/>
            </w:tabs>
            <w:rPr>
              <w:rFonts w:ascii="幼圆" w:eastAsia="幼圆" w:hAnsi="幼圆" w:cs="幼圆" w:hint="eastAsia"/>
              <w:kern w:val="2"/>
              <w:sz w:val="21"/>
              <w:szCs w:val="22"/>
            </w:rPr>
          </w:pPr>
          <w:hyperlink w:anchor="_Toc69375033" w:history="1">
            <w:r>
              <w:rPr>
                <w:rStyle w:val="Hyperlink"/>
                <w:rFonts w:ascii="幼圆" w:eastAsia="幼圆" w:hAnsi="幼圆" w:cs="幼圆" w:hint="eastAsia"/>
              </w:rPr>
              <w:t>3贵人鸟债务违约案例介绍</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_Toc69375033 \h </w:instrText>
            </w:r>
            <w:r>
              <w:rPr>
                <w:rFonts w:ascii="幼圆" w:eastAsia="幼圆" w:hAnsi="幼圆" w:cs="幼圆" w:hint="eastAsia"/>
              </w:rPr>
              <w:fldChar w:fldCharType="separate"/>
            </w:r>
            <w:r>
              <w:rPr>
                <w:rFonts w:ascii="幼圆" w:eastAsia="幼圆" w:hAnsi="幼圆" w:cs="幼圆" w:hint="eastAsia"/>
              </w:rPr>
              <w:t>4</w:t>
            </w:r>
            <w:r>
              <w:rPr>
                <w:rFonts w:ascii="幼圆" w:eastAsia="幼圆" w:hAnsi="幼圆" w:cs="幼圆" w:hint="eastAsia"/>
              </w:rPr>
              <w:fldChar w:fldCharType="end"/>
            </w:r>
          </w:hyperlink>
        </w:p>
        <w:p>
          <w:pPr>
            <w:pStyle w:val="TOC2"/>
            <w:rPr>
              <w:rFonts w:ascii="幼圆" w:eastAsia="幼圆" w:hAnsi="幼圆" w:cs="幼圆" w:hint="eastAsia"/>
              <w:b w:val="0"/>
              <w:bCs w:val="0"/>
              <w:kern w:val="2"/>
              <w:sz w:val="21"/>
              <w:szCs w:val="22"/>
            </w:rPr>
          </w:pPr>
          <w:hyperlink w:anchor="_Toc69375034" w:history="1">
            <w:r>
              <w:rPr>
                <w:rStyle w:val="Hyperlink"/>
                <w:rFonts w:ascii="幼圆" w:eastAsia="幼圆" w:hAnsi="幼圆" w:cs="幼圆" w:hint="eastAsia"/>
                <w:b w:val="0"/>
                <w:bCs w:val="0"/>
              </w:rPr>
              <w:t>3.1 贵人鸟基本情况</w:t>
            </w:r>
            <w:r>
              <w:rPr>
                <w:rFonts w:ascii="幼圆" w:eastAsia="幼圆" w:hAnsi="幼圆" w:cs="幼圆" w:hint="eastAsia"/>
                <w:b w:val="0"/>
                <w:bCs w:val="0"/>
              </w:rPr>
              <w:tab/>
            </w:r>
            <w:r>
              <w:rPr>
                <w:rFonts w:ascii="幼圆" w:eastAsia="幼圆" w:hAnsi="幼圆" w:cs="幼圆" w:hint="eastAsia"/>
                <w:b w:val="0"/>
                <w:bCs w:val="0"/>
              </w:rPr>
              <w:fldChar w:fldCharType="begin"/>
            </w:r>
            <w:r>
              <w:rPr>
                <w:rFonts w:ascii="幼圆" w:eastAsia="幼圆" w:hAnsi="幼圆" w:cs="幼圆" w:hint="eastAsia"/>
                <w:b w:val="0"/>
                <w:bCs w:val="0"/>
              </w:rPr>
              <w:instrText xml:space="preserve"> PAGEREF _Toc69375034 \h </w:instrText>
            </w:r>
            <w:r>
              <w:rPr>
                <w:rFonts w:ascii="幼圆" w:eastAsia="幼圆" w:hAnsi="幼圆" w:cs="幼圆" w:hint="eastAsia"/>
                <w:b w:val="0"/>
                <w:bCs w:val="0"/>
              </w:rPr>
              <w:fldChar w:fldCharType="separate"/>
            </w:r>
            <w:r>
              <w:rPr>
                <w:rFonts w:ascii="幼圆" w:eastAsia="幼圆" w:hAnsi="幼圆" w:cs="幼圆" w:hint="eastAsia"/>
                <w:b w:val="0"/>
                <w:bCs w:val="0"/>
              </w:rPr>
              <w:t>4</w:t>
            </w:r>
            <w:r>
              <w:rPr>
                <w:rFonts w:ascii="幼圆" w:eastAsia="幼圆" w:hAnsi="幼圆" w:cs="幼圆" w:hint="eastAsia"/>
                <w:b w:val="0"/>
                <w:bCs w:val="0"/>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35" w:history="1">
            <w:r>
              <w:rPr>
                <w:rStyle w:val="Hyperlink"/>
                <w:rFonts w:ascii="幼圆" w:eastAsia="幼圆" w:hAnsi="幼圆" w:cs="幼圆" w:hint="eastAsia"/>
              </w:rPr>
              <w:t xml:space="preserve">3.1.1 </w:t>
            </w:r>
            <w:r>
              <w:rPr>
                <w:rStyle w:val="Hyperlink"/>
                <w:rFonts w:ascii="幼圆" w:eastAsia="幼圆" w:hAnsi="幼圆" w:cs="幼圆" w:hint="eastAsia"/>
              </w:rPr>
              <w:t>历史沿革</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_Toc69375035 \h </w:instrText>
            </w:r>
            <w:r>
              <w:rPr>
                <w:rFonts w:ascii="幼圆" w:eastAsia="幼圆" w:hAnsi="幼圆" w:cs="幼圆" w:hint="eastAsia"/>
              </w:rPr>
              <w:fldChar w:fldCharType="separate"/>
            </w:r>
            <w:r>
              <w:rPr>
                <w:rFonts w:ascii="幼圆" w:eastAsia="幼圆" w:hAnsi="幼圆" w:cs="幼圆" w:hint="eastAsia"/>
              </w:rPr>
              <w:t>4</w:t>
            </w:r>
            <w:r>
              <w:rPr>
                <w:rFonts w:ascii="幼圆" w:eastAsia="幼圆" w:hAnsi="幼圆" w:cs="幼圆" w:hint="eastAsia"/>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36" w:history="1">
            <w:r>
              <w:rPr>
                <w:rStyle w:val="Hyperlink"/>
                <w:rFonts w:ascii="幼圆" w:eastAsia="幼圆" w:hAnsi="幼圆" w:cs="幼圆" w:hint="eastAsia"/>
              </w:rPr>
              <w:t xml:space="preserve">3.1.2 </w:t>
            </w:r>
            <w:r>
              <w:rPr>
                <w:rStyle w:val="Hyperlink"/>
                <w:rFonts w:ascii="幼圆" w:eastAsia="幼圆" w:hAnsi="幼圆" w:cs="幼圆" w:hint="eastAsia"/>
              </w:rPr>
              <w:t>经营概况</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_Toc69375036 \h </w:instrText>
            </w:r>
            <w:r>
              <w:rPr>
                <w:rFonts w:ascii="幼圆" w:eastAsia="幼圆" w:hAnsi="幼圆" w:cs="幼圆" w:hint="eastAsia"/>
              </w:rPr>
              <w:fldChar w:fldCharType="separate"/>
            </w:r>
            <w:r>
              <w:rPr>
                <w:rFonts w:ascii="幼圆" w:eastAsia="幼圆" w:hAnsi="幼圆" w:cs="幼圆" w:hint="eastAsia"/>
              </w:rPr>
              <w:t>4</w:t>
            </w:r>
            <w:r>
              <w:rPr>
                <w:rFonts w:ascii="幼圆" w:eastAsia="幼圆" w:hAnsi="幼圆" w:cs="幼圆" w:hint="eastAsia"/>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37" w:history="1">
            <w:r>
              <w:rPr>
                <w:rStyle w:val="Hyperlink"/>
                <w:rFonts w:ascii="幼圆" w:eastAsia="幼圆" w:hAnsi="幼圆" w:cs="幼圆" w:hint="eastAsia"/>
              </w:rPr>
              <w:t xml:space="preserve">3.1.3 </w:t>
            </w:r>
            <w:r>
              <w:rPr>
                <w:rStyle w:val="Hyperlink"/>
                <w:rFonts w:ascii="幼圆" w:eastAsia="幼圆" w:hAnsi="幼圆" w:cs="幼圆" w:hint="eastAsia"/>
              </w:rPr>
              <w:t>股权结构</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_Toc69375037 \h </w:instrText>
            </w:r>
            <w:r>
              <w:rPr>
                <w:rFonts w:ascii="幼圆" w:eastAsia="幼圆" w:hAnsi="幼圆" w:cs="幼圆" w:hint="eastAsia"/>
              </w:rPr>
              <w:fldChar w:fldCharType="separate"/>
            </w:r>
            <w:r>
              <w:rPr>
                <w:rFonts w:ascii="幼圆" w:eastAsia="幼圆" w:hAnsi="幼圆" w:cs="幼圆" w:hint="eastAsia"/>
              </w:rPr>
              <w:t>5</w:t>
            </w:r>
            <w:r>
              <w:rPr>
                <w:rFonts w:ascii="幼圆" w:eastAsia="幼圆" w:hAnsi="幼圆" w:cs="幼圆" w:hint="eastAsia"/>
              </w:rPr>
              <w:fldChar w:fldCharType="end"/>
            </w:r>
          </w:hyperlink>
        </w:p>
        <w:p>
          <w:pPr>
            <w:pStyle w:val="TOC2"/>
            <w:rPr>
              <w:rFonts w:ascii="幼圆" w:eastAsia="幼圆" w:hAnsi="幼圆" w:cs="幼圆" w:hint="eastAsia"/>
              <w:b w:val="0"/>
              <w:bCs w:val="0"/>
              <w:kern w:val="2"/>
              <w:sz w:val="21"/>
              <w:szCs w:val="22"/>
            </w:rPr>
          </w:pPr>
          <w:hyperlink w:anchor="_Toc69375038" w:history="1">
            <w:r>
              <w:rPr>
                <w:rStyle w:val="Hyperlink"/>
                <w:rFonts w:ascii="幼圆" w:eastAsia="幼圆" w:hAnsi="幼圆" w:cs="幼圆" w:hint="eastAsia"/>
                <w:b w:val="0"/>
                <w:bCs w:val="0"/>
              </w:rPr>
              <w:t>3.2 贵人鸟债务违约现况</w:t>
            </w:r>
            <w:r>
              <w:rPr>
                <w:rFonts w:ascii="幼圆" w:eastAsia="幼圆" w:hAnsi="幼圆" w:cs="幼圆" w:hint="eastAsia"/>
                <w:b w:val="0"/>
                <w:bCs w:val="0"/>
              </w:rPr>
              <w:tab/>
            </w:r>
            <w:r>
              <w:rPr>
                <w:rFonts w:ascii="幼圆" w:eastAsia="幼圆" w:hAnsi="幼圆" w:cs="幼圆" w:hint="eastAsia"/>
                <w:b w:val="0"/>
                <w:bCs w:val="0"/>
              </w:rPr>
              <w:fldChar w:fldCharType="begin"/>
            </w:r>
            <w:r>
              <w:rPr>
                <w:rFonts w:ascii="幼圆" w:eastAsia="幼圆" w:hAnsi="幼圆" w:cs="幼圆" w:hint="eastAsia"/>
                <w:b w:val="0"/>
                <w:bCs w:val="0"/>
              </w:rPr>
              <w:instrText xml:space="preserve"> PAGEREF _Toc69375038 \h </w:instrText>
            </w:r>
            <w:r>
              <w:rPr>
                <w:rFonts w:ascii="幼圆" w:eastAsia="幼圆" w:hAnsi="幼圆" w:cs="幼圆" w:hint="eastAsia"/>
                <w:b w:val="0"/>
                <w:bCs w:val="0"/>
              </w:rPr>
              <w:fldChar w:fldCharType="separate"/>
            </w:r>
            <w:r>
              <w:rPr>
                <w:rFonts w:ascii="幼圆" w:eastAsia="幼圆" w:hAnsi="幼圆" w:cs="幼圆" w:hint="eastAsia"/>
                <w:b w:val="0"/>
                <w:bCs w:val="0"/>
              </w:rPr>
              <w:t>6</w:t>
            </w:r>
            <w:r>
              <w:rPr>
                <w:rFonts w:ascii="幼圆" w:eastAsia="幼圆" w:hAnsi="幼圆" w:cs="幼圆" w:hint="eastAsia"/>
                <w:b w:val="0"/>
                <w:bCs w:val="0"/>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39" w:history="1">
            <w:r>
              <w:rPr>
                <w:rStyle w:val="Hyperlink"/>
                <w:rFonts w:ascii="幼圆" w:eastAsia="幼圆" w:hAnsi="幼圆" w:cs="幼圆" w:hint="eastAsia"/>
              </w:rPr>
              <w:t>3.2.1 整体负债水平</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_Toc69375039 \h </w:instrText>
            </w:r>
            <w:r>
              <w:rPr>
                <w:rFonts w:ascii="幼圆" w:eastAsia="幼圆" w:hAnsi="幼圆" w:cs="幼圆" w:hint="eastAsia"/>
              </w:rPr>
              <w:fldChar w:fldCharType="separate"/>
            </w:r>
            <w:r>
              <w:rPr>
                <w:rFonts w:ascii="幼圆" w:eastAsia="幼圆" w:hAnsi="幼圆" w:cs="幼圆" w:hint="eastAsia"/>
              </w:rPr>
              <w:t>6</w:t>
            </w:r>
            <w:r>
              <w:rPr>
                <w:rFonts w:ascii="幼圆" w:eastAsia="幼圆" w:hAnsi="幼圆" w:cs="幼圆" w:hint="eastAsia"/>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40" w:history="1">
            <w:r>
              <w:rPr>
                <w:rStyle w:val="Hyperlink"/>
                <w:rFonts w:ascii="幼圆" w:eastAsia="幼圆" w:hAnsi="幼圆" w:cs="幼圆" w:hint="eastAsia"/>
              </w:rPr>
              <w:t>3.2.2 违约事件回顾</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_Toc69375040 \h </w:instrText>
            </w:r>
            <w:r>
              <w:rPr>
                <w:rFonts w:ascii="幼圆" w:eastAsia="幼圆" w:hAnsi="幼圆" w:cs="幼圆" w:hint="eastAsia"/>
              </w:rPr>
              <w:fldChar w:fldCharType="separate"/>
            </w:r>
            <w:r>
              <w:rPr>
                <w:rFonts w:ascii="幼圆" w:eastAsia="幼圆" w:hAnsi="幼圆" w:cs="幼圆" w:hint="eastAsia"/>
              </w:rPr>
              <w:t>7</w:t>
            </w:r>
            <w:r>
              <w:rPr>
                <w:rFonts w:ascii="幼圆" w:eastAsia="幼圆" w:hAnsi="幼圆" w:cs="幼圆" w:hint="eastAsia"/>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41" w:history="1">
            <w:r>
              <w:rPr>
                <w:rStyle w:val="Hyperlink"/>
                <w:rFonts w:ascii="幼圆" w:eastAsia="幼圆" w:hAnsi="幼圆" w:cs="幼圆" w:hint="eastAsia"/>
              </w:rPr>
              <w:t>3.2.3 违约债务概述</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_Toc69375041 \h </w:instrText>
            </w:r>
            <w:r>
              <w:rPr>
                <w:rFonts w:ascii="幼圆" w:eastAsia="幼圆" w:hAnsi="幼圆" w:cs="幼圆" w:hint="eastAsia"/>
              </w:rPr>
              <w:fldChar w:fldCharType="separate"/>
            </w:r>
            <w:r>
              <w:rPr>
                <w:rFonts w:ascii="幼圆" w:eastAsia="幼圆" w:hAnsi="幼圆" w:cs="幼圆" w:hint="eastAsia"/>
              </w:rPr>
              <w:t>8</w:t>
            </w:r>
            <w:r>
              <w:rPr>
                <w:rFonts w:ascii="幼圆" w:eastAsia="幼圆" w:hAnsi="幼圆" w:cs="幼圆" w:hint="eastAsia"/>
              </w:rPr>
              <w:fldChar w:fldCharType="end"/>
            </w:r>
          </w:hyperlink>
        </w:p>
        <w:p>
          <w:pPr>
            <w:pStyle w:val="TOC2"/>
            <w:rPr>
              <w:rFonts w:ascii="幼圆" w:eastAsia="幼圆" w:hAnsi="幼圆" w:cs="幼圆" w:hint="eastAsia"/>
              <w:b w:val="0"/>
              <w:bCs w:val="0"/>
              <w:kern w:val="2"/>
              <w:sz w:val="21"/>
              <w:szCs w:val="22"/>
            </w:rPr>
          </w:pPr>
          <w:hyperlink w:anchor="_Toc69375042" w:history="1">
            <w:r>
              <w:rPr>
                <w:rStyle w:val="Hyperlink"/>
                <w:rFonts w:ascii="幼圆" w:eastAsia="幼圆" w:hAnsi="幼圆" w:cs="幼圆" w:hint="eastAsia"/>
                <w:b w:val="0"/>
                <w:bCs w:val="0"/>
              </w:rPr>
              <w:t>3.3 违约后续影响</w:t>
            </w:r>
            <w:r>
              <w:rPr>
                <w:rFonts w:ascii="幼圆" w:eastAsia="幼圆" w:hAnsi="幼圆" w:cs="幼圆" w:hint="eastAsia"/>
                <w:b w:val="0"/>
                <w:bCs w:val="0"/>
              </w:rPr>
              <w:tab/>
            </w:r>
            <w:r>
              <w:rPr>
                <w:rFonts w:ascii="幼圆" w:eastAsia="幼圆" w:hAnsi="幼圆" w:cs="幼圆" w:hint="eastAsia"/>
                <w:b w:val="0"/>
                <w:bCs w:val="0"/>
              </w:rPr>
              <w:fldChar w:fldCharType="begin"/>
            </w:r>
            <w:r>
              <w:rPr>
                <w:rFonts w:ascii="幼圆" w:eastAsia="幼圆" w:hAnsi="幼圆" w:cs="幼圆" w:hint="eastAsia"/>
                <w:b w:val="0"/>
                <w:bCs w:val="0"/>
              </w:rPr>
              <w:instrText xml:space="preserve"> PAGEREF _Toc69375042 \h </w:instrText>
            </w:r>
            <w:r>
              <w:rPr>
                <w:rFonts w:ascii="幼圆" w:eastAsia="幼圆" w:hAnsi="幼圆" w:cs="幼圆" w:hint="eastAsia"/>
                <w:b w:val="0"/>
                <w:bCs w:val="0"/>
              </w:rPr>
              <w:fldChar w:fldCharType="separate"/>
            </w:r>
            <w:r>
              <w:rPr>
                <w:rFonts w:ascii="幼圆" w:eastAsia="幼圆" w:hAnsi="幼圆" w:cs="幼圆" w:hint="eastAsia"/>
                <w:b w:val="0"/>
                <w:bCs w:val="0"/>
              </w:rPr>
              <w:t>9</w:t>
            </w:r>
            <w:r>
              <w:rPr>
                <w:rFonts w:ascii="幼圆" w:eastAsia="幼圆" w:hAnsi="幼圆" w:cs="幼圆" w:hint="eastAsia"/>
                <w:b w:val="0"/>
                <w:bCs w:val="0"/>
              </w:rPr>
              <w:fldChar w:fldCharType="end"/>
            </w:r>
          </w:hyperlink>
        </w:p>
        <w:p>
          <w:pPr>
            <w:pStyle w:val="TOC3"/>
            <w:tabs>
              <w:tab w:val="right" w:leader="dot" w:pos="9060"/>
            </w:tabs>
            <w:ind w:left="420"/>
            <w:rPr>
              <w:rFonts w:ascii="幼圆" w:eastAsia="幼圆" w:hAnsi="幼圆" w:cs="幼圆" w:hint="eastAsia"/>
              <w:kern w:val="2"/>
              <w:sz w:val="21"/>
              <w:szCs w:val="22"/>
            </w:rPr>
            <w:sectPr>
              <w:footerReference w:type="default" r:id="rId6"/>
              <w:pgSz w:w="11906" w:h="16838"/>
              <w:pgMar w:top="1701" w:right="1418" w:bottom="1701" w:left="1418" w:header="1247" w:footer="1247" w:gutter="0"/>
              <w:pgNumType w:start="1"/>
              <w:cols w:num="1" w:space="425"/>
              <w:docGrid w:type="linesAndChars" w:linePitch="312" w:charSpace="0"/>
            </w:sectPr>
          </w:pPr>
          <w:hyperlink w:anchor="_Toc69375043" w:history="1">
            <w:r>
              <w:rPr>
                <w:rStyle w:val="Hyperlink"/>
                <w:rFonts w:ascii="幼圆" w:eastAsia="幼圆" w:hAnsi="幼圆" w:cs="幼圆" w:hint="eastAsia"/>
              </w:rPr>
              <w:t>3.3.1 社会信用下降</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_Toc69375043 \h </w:instrText>
            </w:r>
            <w:r>
              <w:rPr>
                <w:rFonts w:ascii="幼圆" w:eastAsia="幼圆" w:hAnsi="幼圆" w:cs="幼圆" w:hint="eastAsia"/>
              </w:rPr>
              <w:fldChar w:fldCharType="separate"/>
            </w:r>
            <w:r>
              <w:rPr>
                <w:rFonts w:ascii="幼圆" w:eastAsia="幼圆" w:hAnsi="幼圆" w:cs="幼圆" w:hint="eastAsia"/>
              </w:rPr>
              <w:t>9</w:t>
            </w:r>
            <w:r>
              <w:rPr>
                <w:rFonts w:ascii="幼圆" w:eastAsia="幼圆" w:hAnsi="幼圆" w:cs="幼圆" w:hint="eastAsia"/>
              </w:rPr>
              <w:fldChar w:fldCharType="end"/>
            </w:r>
          </w:hyperlink>
        </w:p>
      </w:sdtContent>
    </w:sdt>
    <w:sdt>
      <w:sdtPr>
        <w:rPr>
          <w:rFonts w:ascii="幼圆" w:eastAsia="幼圆" w:hAnsi="幼圆" w:cs="幼圆" w:hint="eastAsia"/>
          <w:color w:val="auto"/>
          <w:kern w:val="2"/>
          <w:sz w:val="21"/>
          <w:szCs w:val="21"/>
          <w:lang w:val="zh-CN"/>
        </w:rPr>
        <w:id w:val="1671367656"/>
        <w:docPartObj>
          <w:docPartGallery w:val="Table of Contents"/>
          <w:docPartUnique/>
        </w:docPartObj>
      </w:sdtPr>
      <w:sdtEndPr>
        <w:rPr>
          <w:rFonts w:ascii="幼圆" w:eastAsia="幼圆" w:hAnsi="幼圆" w:cs="幼圆" w:hint="eastAsia"/>
          <w:b/>
          <w:bCs/>
          <w:color w:val="auto"/>
          <w:kern w:val="2"/>
          <w:sz w:val="21"/>
          <w:szCs w:val="21"/>
          <w:lang w:val="zh-CN"/>
        </w:rPr>
      </w:sdtEndPr>
      <w:sdtContent>
        <w:p>
          <w:pPr>
            <w:pStyle w:val="TOC3"/>
            <w:tabs>
              <w:tab w:val="right" w:leader="dot" w:pos="9060"/>
            </w:tabs>
            <w:ind w:left="420"/>
            <w:rPr>
              <w:rFonts w:ascii="幼圆" w:eastAsia="幼圆" w:hAnsi="幼圆" w:cs="幼圆" w:hint="eastAsia"/>
              <w:kern w:val="2"/>
              <w:sz w:val="21"/>
              <w:szCs w:val="22"/>
            </w:rPr>
          </w:pPr>
          <w:hyperlink w:anchor="_Toc69375044" w:history="1">
            <w:r>
              <w:rPr>
                <w:rStyle w:val="Hyperlink"/>
                <w:rFonts w:ascii="幼圆" w:eastAsia="幼圆" w:hAnsi="幼圆" w:cs="幼圆" w:hint="eastAsia"/>
              </w:rPr>
              <w:t>3.3.2 面临破产重整及退市</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_Toc69375044 \h </w:instrText>
            </w:r>
            <w:r>
              <w:rPr>
                <w:rFonts w:ascii="幼圆" w:eastAsia="幼圆" w:hAnsi="幼圆" w:cs="幼圆" w:hint="eastAsia"/>
              </w:rPr>
              <w:fldChar w:fldCharType="separate"/>
            </w:r>
            <w:r>
              <w:rPr>
                <w:rFonts w:ascii="幼圆" w:eastAsia="幼圆" w:hAnsi="幼圆" w:cs="幼圆" w:hint="eastAsia"/>
              </w:rPr>
              <w:t>9</w:t>
            </w:r>
            <w:r>
              <w:rPr>
                <w:rFonts w:ascii="幼圆" w:eastAsia="幼圆" w:hAnsi="幼圆" w:cs="幼圆" w:hint="eastAsia"/>
              </w:rPr>
              <w:fldChar w:fldCharType="end"/>
            </w:r>
          </w:hyperlink>
        </w:p>
        <w:p>
          <w:pPr>
            <w:pStyle w:val="TOC1"/>
            <w:tabs>
              <w:tab w:val="right" w:leader="dot" w:pos="9060"/>
            </w:tabs>
            <w:rPr>
              <w:rFonts w:ascii="幼圆" w:eastAsia="幼圆" w:hAnsi="幼圆" w:cs="幼圆" w:hint="eastAsia"/>
              <w:kern w:val="2"/>
              <w:sz w:val="21"/>
              <w:szCs w:val="22"/>
            </w:rPr>
          </w:pPr>
          <w:hyperlink w:anchor="_Toc69375045" w:history="1">
            <w:r>
              <w:rPr>
                <w:rStyle w:val="Hyperlink"/>
                <w:rFonts w:ascii="幼圆" w:eastAsia="幼圆" w:hAnsi="幼圆" w:cs="幼圆" w:hint="eastAsia"/>
              </w:rPr>
              <w:t>4贵人鸟债务违约原因分析</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_Toc69375045 \h </w:instrText>
            </w:r>
            <w:r>
              <w:rPr>
                <w:rFonts w:ascii="幼圆" w:eastAsia="幼圆" w:hAnsi="幼圆" w:cs="幼圆" w:hint="eastAsia"/>
              </w:rPr>
              <w:fldChar w:fldCharType="separate"/>
            </w:r>
            <w:r>
              <w:rPr>
                <w:rFonts w:ascii="幼圆" w:eastAsia="幼圆" w:hAnsi="幼圆" w:cs="幼圆" w:hint="eastAsia"/>
              </w:rPr>
              <w:t>11</w:t>
            </w:r>
            <w:r>
              <w:rPr>
                <w:rFonts w:ascii="幼圆" w:eastAsia="幼圆" w:hAnsi="幼圆" w:cs="幼圆" w:hint="eastAsia"/>
              </w:rPr>
              <w:fldChar w:fldCharType="end"/>
            </w:r>
          </w:hyperlink>
        </w:p>
        <w:p>
          <w:pPr>
            <w:pStyle w:val="TOC2"/>
            <w:rPr>
              <w:rFonts w:ascii="幼圆" w:eastAsia="幼圆" w:hAnsi="幼圆" w:cs="幼圆" w:hint="eastAsia"/>
              <w:b w:val="0"/>
              <w:bCs w:val="0"/>
              <w:kern w:val="2"/>
              <w:sz w:val="21"/>
              <w:szCs w:val="22"/>
            </w:rPr>
          </w:pPr>
          <w:hyperlink w:anchor="_Toc69375046" w:history="1">
            <w:r>
              <w:rPr>
                <w:rStyle w:val="Hyperlink"/>
                <w:rFonts w:ascii="幼圆" w:eastAsia="幼圆" w:hAnsi="幼圆" w:cs="幼圆" w:hint="eastAsia"/>
                <w:b w:val="0"/>
                <w:bCs w:val="0"/>
              </w:rPr>
              <w:t>4.1 外部原因分析</w:t>
            </w:r>
            <w:r>
              <w:rPr>
                <w:rFonts w:ascii="幼圆" w:eastAsia="幼圆" w:hAnsi="幼圆" w:cs="幼圆" w:hint="eastAsia"/>
                <w:b w:val="0"/>
                <w:bCs w:val="0"/>
              </w:rPr>
              <w:tab/>
            </w:r>
            <w:r>
              <w:rPr>
                <w:rFonts w:ascii="幼圆" w:eastAsia="幼圆" w:hAnsi="幼圆" w:cs="幼圆" w:hint="eastAsia"/>
                <w:b w:val="0"/>
                <w:bCs w:val="0"/>
              </w:rPr>
              <w:fldChar w:fldCharType="begin"/>
            </w:r>
            <w:r>
              <w:rPr>
                <w:rFonts w:ascii="幼圆" w:eastAsia="幼圆" w:hAnsi="幼圆" w:cs="幼圆" w:hint="eastAsia"/>
                <w:b w:val="0"/>
                <w:bCs w:val="0"/>
              </w:rPr>
              <w:instrText xml:space="preserve"> PAGEREF _Toc69375046 \h </w:instrText>
            </w:r>
            <w:r>
              <w:rPr>
                <w:rFonts w:ascii="幼圆" w:eastAsia="幼圆" w:hAnsi="幼圆" w:cs="幼圆" w:hint="eastAsia"/>
                <w:b w:val="0"/>
                <w:bCs w:val="0"/>
              </w:rPr>
              <w:fldChar w:fldCharType="separate"/>
            </w:r>
            <w:r>
              <w:rPr>
                <w:rFonts w:ascii="幼圆" w:eastAsia="幼圆" w:hAnsi="幼圆" w:cs="幼圆" w:hint="eastAsia"/>
                <w:b w:val="0"/>
                <w:bCs w:val="0"/>
              </w:rPr>
              <w:t>11</w:t>
            </w:r>
            <w:r>
              <w:rPr>
                <w:rFonts w:ascii="幼圆" w:eastAsia="幼圆" w:hAnsi="幼圆" w:cs="幼圆" w:hint="eastAsia"/>
                <w:b w:val="0"/>
                <w:bCs w:val="0"/>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47" w:history="1">
            <w:r>
              <w:rPr>
                <w:rStyle w:val="Hyperlink"/>
                <w:rFonts w:ascii="幼圆" w:eastAsia="幼圆" w:hAnsi="幼圆" w:cs="幼圆" w:hint="eastAsia"/>
              </w:rPr>
              <w:t>4.1.1融资政策全面收紧</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_Toc69375047 \h </w:instrText>
            </w:r>
            <w:r>
              <w:rPr>
                <w:rFonts w:ascii="幼圆" w:eastAsia="幼圆" w:hAnsi="幼圆" w:cs="幼圆" w:hint="eastAsia"/>
              </w:rPr>
              <w:fldChar w:fldCharType="separate"/>
            </w:r>
            <w:r>
              <w:rPr>
                <w:rFonts w:ascii="幼圆" w:eastAsia="幼圆" w:hAnsi="幼圆" w:cs="幼圆" w:hint="eastAsia"/>
              </w:rPr>
              <w:t>11</w:t>
            </w:r>
            <w:r>
              <w:rPr>
                <w:rFonts w:ascii="幼圆" w:eastAsia="幼圆" w:hAnsi="幼圆" w:cs="幼圆" w:hint="eastAsia"/>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48" w:history="1">
            <w:r>
              <w:rPr>
                <w:rStyle w:val="Hyperlink"/>
                <w:rFonts w:ascii="幼圆" w:eastAsia="幼圆" w:hAnsi="幼圆" w:cs="幼圆" w:hint="eastAsia"/>
              </w:rPr>
              <w:t>4.1.2 新冠肺炎疫情爆发</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_Toc69375048 \h </w:instrText>
            </w:r>
            <w:r>
              <w:rPr>
                <w:rFonts w:ascii="幼圆" w:eastAsia="幼圆" w:hAnsi="幼圆" w:cs="幼圆" w:hint="eastAsia"/>
              </w:rPr>
              <w:fldChar w:fldCharType="separate"/>
            </w:r>
            <w:r>
              <w:rPr>
                <w:rFonts w:ascii="幼圆" w:eastAsia="幼圆" w:hAnsi="幼圆" w:cs="幼圆" w:hint="eastAsia"/>
              </w:rPr>
              <w:t>11</w:t>
            </w:r>
            <w:r>
              <w:rPr>
                <w:rFonts w:ascii="幼圆" w:eastAsia="幼圆" w:hAnsi="幼圆" w:cs="幼圆" w:hint="eastAsia"/>
              </w:rPr>
              <w:fldChar w:fldCharType="end"/>
            </w:r>
          </w:hyperlink>
        </w:p>
        <w:p>
          <w:pPr>
            <w:pStyle w:val="TOC2"/>
            <w:rPr>
              <w:rFonts w:ascii="幼圆" w:eastAsia="幼圆" w:hAnsi="幼圆" w:cs="幼圆" w:hint="eastAsia"/>
              <w:b w:val="0"/>
              <w:bCs w:val="0"/>
              <w:kern w:val="2"/>
              <w:sz w:val="21"/>
              <w:szCs w:val="22"/>
            </w:rPr>
          </w:pPr>
          <w:hyperlink w:anchor="_Toc69375049" w:history="1">
            <w:r>
              <w:rPr>
                <w:rStyle w:val="Hyperlink"/>
                <w:rFonts w:ascii="幼圆" w:eastAsia="幼圆" w:hAnsi="幼圆" w:cs="幼圆" w:hint="eastAsia"/>
                <w:b w:val="0"/>
                <w:bCs w:val="0"/>
              </w:rPr>
              <w:t>4.2 贵人鸟债务违约内部财务原因分析</w:t>
            </w:r>
            <w:r>
              <w:rPr>
                <w:rFonts w:ascii="幼圆" w:eastAsia="幼圆" w:hAnsi="幼圆" w:cs="幼圆" w:hint="eastAsia"/>
                <w:b w:val="0"/>
                <w:bCs w:val="0"/>
              </w:rPr>
              <w:tab/>
            </w:r>
            <w:r>
              <w:rPr>
                <w:rFonts w:ascii="幼圆" w:eastAsia="幼圆" w:hAnsi="幼圆" w:cs="幼圆" w:hint="eastAsia"/>
                <w:b w:val="0"/>
                <w:bCs w:val="0"/>
              </w:rPr>
              <w:fldChar w:fldCharType="begin"/>
            </w:r>
            <w:r>
              <w:rPr>
                <w:rFonts w:ascii="幼圆" w:eastAsia="幼圆" w:hAnsi="幼圆" w:cs="幼圆" w:hint="eastAsia"/>
                <w:b w:val="0"/>
                <w:bCs w:val="0"/>
              </w:rPr>
              <w:instrText xml:space="preserve"> PAGEREF _Toc69375049 \h </w:instrText>
            </w:r>
            <w:r>
              <w:rPr>
                <w:rFonts w:ascii="幼圆" w:eastAsia="幼圆" w:hAnsi="幼圆" w:cs="幼圆" w:hint="eastAsia"/>
                <w:b w:val="0"/>
                <w:bCs w:val="0"/>
              </w:rPr>
              <w:fldChar w:fldCharType="separate"/>
            </w:r>
            <w:r>
              <w:rPr>
                <w:rFonts w:ascii="幼圆" w:eastAsia="幼圆" w:hAnsi="幼圆" w:cs="幼圆" w:hint="eastAsia"/>
                <w:b w:val="0"/>
                <w:bCs w:val="0"/>
              </w:rPr>
              <w:t>11</w:t>
            </w:r>
            <w:r>
              <w:rPr>
                <w:rFonts w:ascii="幼圆" w:eastAsia="幼圆" w:hAnsi="幼圆" w:cs="幼圆" w:hint="eastAsia"/>
                <w:b w:val="0"/>
                <w:bCs w:val="0"/>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50" w:history="1">
            <w:r>
              <w:rPr>
                <w:rStyle w:val="Hyperlink"/>
                <w:rFonts w:ascii="幼圆" w:eastAsia="幼圆" w:hAnsi="幼圆" w:cs="幼圆" w:hint="eastAsia"/>
              </w:rPr>
              <w:t>4.2.1 财务风险控制不力</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_Toc69375050 \h </w:instrText>
            </w:r>
            <w:r>
              <w:rPr>
                <w:rFonts w:ascii="幼圆" w:eastAsia="幼圆" w:hAnsi="幼圆" w:cs="幼圆" w:hint="eastAsia"/>
              </w:rPr>
              <w:fldChar w:fldCharType="separate"/>
            </w:r>
            <w:r>
              <w:rPr>
                <w:rFonts w:ascii="幼圆" w:eastAsia="幼圆" w:hAnsi="幼圆" w:cs="幼圆" w:hint="eastAsia"/>
              </w:rPr>
              <w:t>11</w:t>
            </w:r>
            <w:r>
              <w:rPr>
                <w:rFonts w:ascii="幼圆" w:eastAsia="幼圆" w:hAnsi="幼圆" w:cs="幼圆" w:hint="eastAsia"/>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51" w:history="1">
            <w:r>
              <w:rPr>
                <w:rStyle w:val="Hyperlink"/>
                <w:rFonts w:ascii="幼圆" w:eastAsia="幼圆" w:hAnsi="幼圆" w:cs="幼圆" w:hint="eastAsia"/>
              </w:rPr>
              <w:t>4.2.2 过度负债致使债务结构严重失衡</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_Toc69375051 \h </w:instrText>
            </w:r>
            <w:r>
              <w:rPr>
                <w:rFonts w:ascii="幼圆" w:eastAsia="幼圆" w:hAnsi="幼圆" w:cs="幼圆" w:hint="eastAsia"/>
              </w:rPr>
              <w:fldChar w:fldCharType="separate"/>
            </w:r>
            <w:r>
              <w:rPr>
                <w:rFonts w:ascii="幼圆" w:eastAsia="幼圆" w:hAnsi="幼圆" w:cs="幼圆" w:hint="eastAsia"/>
              </w:rPr>
              <w:t>12</w:t>
            </w:r>
            <w:r>
              <w:rPr>
                <w:rFonts w:ascii="幼圆" w:eastAsia="幼圆" w:hAnsi="幼圆" w:cs="幼圆" w:hint="eastAsia"/>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52" w:history="1">
            <w:r>
              <w:rPr>
                <w:rStyle w:val="Hyperlink"/>
                <w:rFonts w:ascii="幼圆" w:eastAsia="幼圆" w:hAnsi="幼圆" w:cs="幼圆" w:hint="eastAsia"/>
              </w:rPr>
              <w:t>4.2.3 投资战略激进加剧财务恶化</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_Toc69375052 \h </w:instrText>
            </w:r>
            <w:r>
              <w:rPr>
                <w:rFonts w:ascii="幼圆" w:eastAsia="幼圆" w:hAnsi="幼圆" w:cs="幼圆" w:hint="eastAsia"/>
              </w:rPr>
              <w:fldChar w:fldCharType="separate"/>
            </w:r>
            <w:r>
              <w:rPr>
                <w:rFonts w:ascii="幼圆" w:eastAsia="幼圆" w:hAnsi="幼圆" w:cs="幼圆" w:hint="eastAsia"/>
              </w:rPr>
              <w:t>14</w:t>
            </w:r>
            <w:r>
              <w:rPr>
                <w:rFonts w:ascii="幼圆" w:eastAsia="幼圆" w:hAnsi="幼圆" w:cs="幼圆" w:hint="eastAsia"/>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53" w:history="1">
            <w:r>
              <w:rPr>
                <w:rStyle w:val="Hyperlink"/>
                <w:rFonts w:ascii="幼圆" w:eastAsia="幼圆" w:hAnsi="幼圆" w:cs="幼圆" w:hint="eastAsia"/>
              </w:rPr>
              <w:t>4.2.4 应收票据及应收账款和存货周转不灵</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_Toc69375053 \h </w:instrText>
            </w:r>
            <w:r>
              <w:rPr>
                <w:rFonts w:ascii="幼圆" w:eastAsia="幼圆" w:hAnsi="幼圆" w:cs="幼圆" w:hint="eastAsia"/>
              </w:rPr>
              <w:fldChar w:fldCharType="separate"/>
            </w:r>
            <w:r>
              <w:rPr>
                <w:rFonts w:ascii="幼圆" w:eastAsia="幼圆" w:hAnsi="幼圆" w:cs="幼圆" w:hint="eastAsia"/>
              </w:rPr>
              <w:t>17</w:t>
            </w:r>
            <w:r>
              <w:rPr>
                <w:rFonts w:ascii="幼圆" w:eastAsia="幼圆" w:hAnsi="幼圆" w:cs="幼圆" w:hint="eastAsia"/>
              </w:rPr>
              <w:fldChar w:fldCharType="end"/>
            </w:r>
          </w:hyperlink>
        </w:p>
        <w:p>
          <w:pPr>
            <w:pStyle w:val="TOC2"/>
            <w:rPr>
              <w:rFonts w:ascii="幼圆" w:eastAsia="幼圆" w:hAnsi="幼圆" w:cs="幼圆" w:hint="eastAsia"/>
              <w:b w:val="0"/>
              <w:bCs w:val="0"/>
              <w:kern w:val="2"/>
              <w:sz w:val="21"/>
              <w:szCs w:val="22"/>
            </w:rPr>
          </w:pPr>
          <w:hyperlink w:anchor="_Toc69375054" w:history="1">
            <w:r>
              <w:rPr>
                <w:rStyle w:val="Hyperlink"/>
                <w:rFonts w:ascii="幼圆" w:eastAsia="幼圆" w:hAnsi="幼圆" w:cs="幼圆" w:hint="eastAsia"/>
                <w:b w:val="0"/>
                <w:bCs w:val="0"/>
              </w:rPr>
              <w:t>4.3 贵人鸟债务违约内部非财务原因分析</w:t>
            </w:r>
            <w:r>
              <w:rPr>
                <w:rFonts w:ascii="幼圆" w:eastAsia="幼圆" w:hAnsi="幼圆" w:cs="幼圆" w:hint="eastAsia"/>
                <w:b w:val="0"/>
                <w:bCs w:val="0"/>
              </w:rPr>
              <w:tab/>
            </w:r>
            <w:r>
              <w:rPr>
                <w:rFonts w:ascii="幼圆" w:eastAsia="幼圆" w:hAnsi="幼圆" w:cs="幼圆" w:hint="eastAsia"/>
                <w:b w:val="0"/>
                <w:bCs w:val="0"/>
              </w:rPr>
              <w:fldChar w:fldCharType="begin"/>
            </w:r>
            <w:r>
              <w:rPr>
                <w:rFonts w:ascii="幼圆" w:eastAsia="幼圆" w:hAnsi="幼圆" w:cs="幼圆" w:hint="eastAsia"/>
                <w:b w:val="0"/>
                <w:bCs w:val="0"/>
              </w:rPr>
              <w:instrText xml:space="preserve"> PAGEREF _Toc69375054 \h </w:instrText>
            </w:r>
            <w:r>
              <w:rPr>
                <w:rFonts w:ascii="幼圆" w:eastAsia="幼圆" w:hAnsi="幼圆" w:cs="幼圆" w:hint="eastAsia"/>
                <w:b w:val="0"/>
                <w:bCs w:val="0"/>
              </w:rPr>
              <w:fldChar w:fldCharType="separate"/>
            </w:r>
            <w:r>
              <w:rPr>
                <w:rFonts w:ascii="幼圆" w:eastAsia="幼圆" w:hAnsi="幼圆" w:cs="幼圆" w:hint="eastAsia"/>
                <w:b w:val="0"/>
                <w:bCs w:val="0"/>
              </w:rPr>
              <w:t>17</w:t>
            </w:r>
            <w:r>
              <w:rPr>
                <w:rFonts w:ascii="幼圆" w:eastAsia="幼圆" w:hAnsi="幼圆" w:cs="幼圆" w:hint="eastAsia"/>
                <w:b w:val="0"/>
                <w:bCs w:val="0"/>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55" w:history="1">
            <w:r>
              <w:rPr>
                <w:rStyle w:val="Hyperlink"/>
                <w:rFonts w:ascii="幼圆" w:eastAsia="幼圆" w:hAnsi="幼圆" w:cs="幼圆" w:hint="eastAsia"/>
              </w:rPr>
              <w:t>4.3.1 经销模式隐患重重</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_Toc69375055 \h </w:instrText>
            </w:r>
            <w:r>
              <w:rPr>
                <w:rFonts w:ascii="幼圆" w:eastAsia="幼圆" w:hAnsi="幼圆" w:cs="幼圆" w:hint="eastAsia"/>
              </w:rPr>
              <w:fldChar w:fldCharType="separate"/>
            </w:r>
            <w:r>
              <w:rPr>
                <w:rFonts w:ascii="幼圆" w:eastAsia="幼圆" w:hAnsi="幼圆" w:cs="幼圆" w:hint="eastAsia"/>
              </w:rPr>
              <w:t>17</w:t>
            </w:r>
            <w:r>
              <w:rPr>
                <w:rFonts w:ascii="幼圆" w:eastAsia="幼圆" w:hAnsi="幼圆" w:cs="幼圆" w:hint="eastAsia"/>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56" w:history="1">
            <w:r>
              <w:rPr>
                <w:rStyle w:val="Hyperlink"/>
                <w:rFonts w:ascii="幼圆" w:eastAsia="幼圆" w:hAnsi="幼圆" w:cs="幼圆" w:hint="eastAsia"/>
              </w:rPr>
              <w:t>4.3.2 电商和竞争对手冲击</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_Toc69375056 \h </w:instrText>
            </w:r>
            <w:r>
              <w:rPr>
                <w:rFonts w:ascii="幼圆" w:eastAsia="幼圆" w:hAnsi="幼圆" w:cs="幼圆" w:hint="eastAsia"/>
              </w:rPr>
              <w:fldChar w:fldCharType="separate"/>
            </w:r>
            <w:r>
              <w:rPr>
                <w:rFonts w:ascii="幼圆" w:eastAsia="幼圆" w:hAnsi="幼圆" w:cs="幼圆" w:hint="eastAsia"/>
              </w:rPr>
              <w:t>18</w:t>
            </w:r>
            <w:r>
              <w:rPr>
                <w:rFonts w:ascii="幼圆" w:eastAsia="幼圆" w:hAnsi="幼圆" w:cs="幼圆" w:hint="eastAsia"/>
              </w:rPr>
              <w:fldChar w:fldCharType="end"/>
            </w:r>
          </w:hyperlink>
        </w:p>
        <w:p>
          <w:pPr>
            <w:pStyle w:val="TOC3"/>
            <w:tabs>
              <w:tab w:val="right" w:leader="dot" w:pos="9060"/>
            </w:tabs>
            <w:ind w:left="420"/>
            <w:rPr>
              <w:rFonts w:ascii="幼圆" w:eastAsia="幼圆" w:hAnsi="幼圆" w:cs="幼圆" w:hint="eastAsia"/>
              <w:kern w:val="2"/>
              <w:sz w:val="21"/>
              <w:szCs w:val="22"/>
            </w:rPr>
          </w:pPr>
          <w:hyperlink w:anchor="_Toc69375057" w:history="1">
            <w:r>
              <w:rPr>
                <w:rStyle w:val="Hyperlink"/>
                <w:rFonts w:ascii="幼圆" w:eastAsia="幼圆" w:hAnsi="幼圆" w:cs="幼圆" w:hint="eastAsia"/>
              </w:rPr>
              <w:t>4.3.3 内部控制形同虚设</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_Toc69375057 \h </w:instrText>
            </w:r>
            <w:r>
              <w:rPr>
                <w:rFonts w:ascii="幼圆" w:eastAsia="幼圆" w:hAnsi="幼圆" w:cs="幼圆" w:hint="eastAsia"/>
              </w:rPr>
              <w:fldChar w:fldCharType="separate"/>
            </w:r>
            <w:r>
              <w:rPr>
                <w:rFonts w:ascii="幼圆" w:eastAsia="幼圆" w:hAnsi="幼圆" w:cs="幼圆" w:hint="eastAsia"/>
              </w:rPr>
              <w:t>18</w:t>
            </w:r>
            <w:r>
              <w:rPr>
                <w:rFonts w:ascii="幼圆" w:eastAsia="幼圆" w:hAnsi="幼圆" w:cs="幼圆" w:hint="eastAsia"/>
              </w:rPr>
              <w:fldChar w:fldCharType="end"/>
            </w:r>
          </w:hyperlink>
        </w:p>
        <w:p>
          <w:pPr>
            <w:pStyle w:val="TOC1"/>
            <w:tabs>
              <w:tab w:val="right" w:leader="dot" w:pos="9060"/>
            </w:tabs>
            <w:rPr>
              <w:rFonts w:ascii="幼圆" w:eastAsia="幼圆" w:hAnsi="幼圆" w:cs="幼圆" w:hint="eastAsia"/>
              <w:kern w:val="2"/>
              <w:sz w:val="21"/>
              <w:szCs w:val="22"/>
            </w:rPr>
          </w:pPr>
          <w:hyperlink w:anchor="_Toc69375058" w:history="1">
            <w:r>
              <w:rPr>
                <w:rStyle w:val="Hyperlink"/>
                <w:rFonts w:ascii="幼圆" w:eastAsia="幼圆" w:hAnsi="幼圆" w:cs="幼圆" w:hint="eastAsia"/>
              </w:rPr>
              <w:t>5贵人鸟债务违约的启示及建议</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_Toc69375058 \h </w:instrText>
            </w:r>
            <w:r>
              <w:rPr>
                <w:rFonts w:ascii="幼圆" w:eastAsia="幼圆" w:hAnsi="幼圆" w:cs="幼圆" w:hint="eastAsia"/>
              </w:rPr>
              <w:fldChar w:fldCharType="separate"/>
            </w:r>
            <w:r>
              <w:rPr>
                <w:rFonts w:ascii="幼圆" w:eastAsia="幼圆" w:hAnsi="幼圆" w:cs="幼圆" w:hint="eastAsia"/>
              </w:rPr>
              <w:t>19</w:t>
            </w:r>
            <w:r>
              <w:rPr>
                <w:rFonts w:ascii="幼圆" w:eastAsia="幼圆" w:hAnsi="幼圆" w:cs="幼圆" w:hint="eastAsia"/>
              </w:rPr>
              <w:fldChar w:fldCharType="end"/>
            </w:r>
          </w:hyperlink>
        </w:p>
        <w:p>
          <w:pPr>
            <w:pStyle w:val="TOC2"/>
            <w:rPr>
              <w:rFonts w:ascii="幼圆" w:eastAsia="幼圆" w:hAnsi="幼圆" w:cs="幼圆" w:hint="eastAsia"/>
              <w:b w:val="0"/>
              <w:bCs w:val="0"/>
              <w:kern w:val="2"/>
              <w:sz w:val="21"/>
              <w:szCs w:val="22"/>
            </w:rPr>
          </w:pPr>
          <w:hyperlink w:anchor="_Toc69375059" w:history="1">
            <w:r>
              <w:rPr>
                <w:rStyle w:val="Hyperlink"/>
                <w:rFonts w:ascii="幼圆" w:eastAsia="幼圆" w:hAnsi="幼圆" w:cs="幼圆" w:hint="eastAsia"/>
                <w:b w:val="0"/>
                <w:bCs w:val="0"/>
              </w:rPr>
              <w:t>5.1 建立风险预警机制</w:t>
            </w:r>
            <w:r>
              <w:rPr>
                <w:rFonts w:ascii="幼圆" w:eastAsia="幼圆" w:hAnsi="幼圆" w:cs="幼圆" w:hint="eastAsia"/>
                <w:b w:val="0"/>
                <w:bCs w:val="0"/>
              </w:rPr>
              <w:tab/>
            </w:r>
            <w:r>
              <w:rPr>
                <w:rFonts w:ascii="幼圆" w:eastAsia="幼圆" w:hAnsi="幼圆" w:cs="幼圆" w:hint="eastAsia"/>
                <w:b w:val="0"/>
                <w:bCs w:val="0"/>
              </w:rPr>
              <w:fldChar w:fldCharType="begin"/>
            </w:r>
            <w:r>
              <w:rPr>
                <w:rFonts w:ascii="幼圆" w:eastAsia="幼圆" w:hAnsi="幼圆" w:cs="幼圆" w:hint="eastAsia"/>
                <w:b w:val="0"/>
                <w:bCs w:val="0"/>
              </w:rPr>
              <w:instrText xml:space="preserve"> PAGEREF _Toc69375059 \h </w:instrText>
            </w:r>
            <w:r>
              <w:rPr>
                <w:rFonts w:ascii="幼圆" w:eastAsia="幼圆" w:hAnsi="幼圆" w:cs="幼圆" w:hint="eastAsia"/>
                <w:b w:val="0"/>
                <w:bCs w:val="0"/>
              </w:rPr>
              <w:fldChar w:fldCharType="separate"/>
            </w:r>
            <w:r>
              <w:rPr>
                <w:rFonts w:ascii="幼圆" w:eastAsia="幼圆" w:hAnsi="幼圆" w:cs="幼圆" w:hint="eastAsia"/>
                <w:b w:val="0"/>
                <w:bCs w:val="0"/>
              </w:rPr>
              <w:t>19</w:t>
            </w:r>
            <w:r>
              <w:rPr>
                <w:rFonts w:ascii="幼圆" w:eastAsia="幼圆" w:hAnsi="幼圆" w:cs="幼圆" w:hint="eastAsia"/>
                <w:b w:val="0"/>
                <w:bCs w:val="0"/>
              </w:rPr>
              <w:fldChar w:fldCharType="end"/>
            </w:r>
          </w:hyperlink>
        </w:p>
        <w:p>
          <w:pPr>
            <w:pStyle w:val="TOC2"/>
            <w:rPr>
              <w:rFonts w:ascii="幼圆" w:eastAsia="幼圆" w:hAnsi="幼圆" w:cs="幼圆" w:hint="eastAsia"/>
              <w:b w:val="0"/>
              <w:bCs w:val="0"/>
              <w:kern w:val="2"/>
              <w:sz w:val="21"/>
              <w:szCs w:val="22"/>
            </w:rPr>
          </w:pPr>
          <w:hyperlink w:anchor="_Toc69375060" w:history="1">
            <w:r>
              <w:rPr>
                <w:rStyle w:val="Hyperlink"/>
                <w:rFonts w:ascii="幼圆" w:eastAsia="幼圆" w:hAnsi="幼圆" w:cs="幼圆" w:hint="eastAsia"/>
                <w:b w:val="0"/>
                <w:bCs w:val="0"/>
              </w:rPr>
              <w:t>5.2 制定合理的公司战略</w:t>
            </w:r>
            <w:r>
              <w:rPr>
                <w:rFonts w:ascii="幼圆" w:eastAsia="幼圆" w:hAnsi="幼圆" w:cs="幼圆" w:hint="eastAsia"/>
                <w:b w:val="0"/>
                <w:bCs w:val="0"/>
              </w:rPr>
              <w:tab/>
            </w:r>
            <w:r>
              <w:rPr>
                <w:rFonts w:ascii="幼圆" w:eastAsia="幼圆" w:hAnsi="幼圆" w:cs="幼圆" w:hint="eastAsia"/>
                <w:b w:val="0"/>
                <w:bCs w:val="0"/>
              </w:rPr>
              <w:fldChar w:fldCharType="begin"/>
            </w:r>
            <w:r>
              <w:rPr>
                <w:rFonts w:ascii="幼圆" w:eastAsia="幼圆" w:hAnsi="幼圆" w:cs="幼圆" w:hint="eastAsia"/>
                <w:b w:val="0"/>
                <w:bCs w:val="0"/>
              </w:rPr>
              <w:instrText xml:space="preserve"> PAGEREF _Toc69375060 \h </w:instrText>
            </w:r>
            <w:r>
              <w:rPr>
                <w:rFonts w:ascii="幼圆" w:eastAsia="幼圆" w:hAnsi="幼圆" w:cs="幼圆" w:hint="eastAsia"/>
                <w:b w:val="0"/>
                <w:bCs w:val="0"/>
              </w:rPr>
              <w:fldChar w:fldCharType="separate"/>
            </w:r>
            <w:r>
              <w:rPr>
                <w:rFonts w:ascii="幼圆" w:eastAsia="幼圆" w:hAnsi="幼圆" w:cs="幼圆" w:hint="eastAsia"/>
                <w:b w:val="0"/>
                <w:bCs w:val="0"/>
              </w:rPr>
              <w:t>20</w:t>
            </w:r>
            <w:r>
              <w:rPr>
                <w:rFonts w:ascii="幼圆" w:eastAsia="幼圆" w:hAnsi="幼圆" w:cs="幼圆" w:hint="eastAsia"/>
                <w:b w:val="0"/>
                <w:bCs w:val="0"/>
              </w:rPr>
              <w:fldChar w:fldCharType="end"/>
            </w:r>
          </w:hyperlink>
        </w:p>
        <w:p>
          <w:pPr>
            <w:pStyle w:val="TOC2"/>
            <w:rPr>
              <w:rFonts w:ascii="幼圆" w:eastAsia="幼圆" w:hAnsi="幼圆" w:cs="幼圆" w:hint="eastAsia"/>
              <w:b w:val="0"/>
              <w:bCs w:val="0"/>
              <w:kern w:val="2"/>
              <w:sz w:val="21"/>
              <w:szCs w:val="22"/>
            </w:rPr>
          </w:pPr>
          <w:hyperlink w:anchor="_Toc69375061" w:history="1">
            <w:r>
              <w:rPr>
                <w:rStyle w:val="Hyperlink"/>
                <w:rFonts w:ascii="幼圆" w:eastAsia="幼圆" w:hAnsi="幼圆" w:cs="幼圆" w:hint="eastAsia"/>
                <w:b w:val="0"/>
                <w:bCs w:val="0"/>
              </w:rPr>
              <w:t>5.3 提高应收账款和存货的管理效率</w:t>
            </w:r>
            <w:r>
              <w:rPr>
                <w:rFonts w:ascii="幼圆" w:eastAsia="幼圆" w:hAnsi="幼圆" w:cs="幼圆" w:hint="eastAsia"/>
                <w:b w:val="0"/>
                <w:bCs w:val="0"/>
              </w:rPr>
              <w:tab/>
            </w:r>
            <w:r>
              <w:rPr>
                <w:rFonts w:ascii="幼圆" w:eastAsia="幼圆" w:hAnsi="幼圆" w:cs="幼圆" w:hint="eastAsia"/>
                <w:b w:val="0"/>
                <w:bCs w:val="0"/>
              </w:rPr>
              <w:fldChar w:fldCharType="begin"/>
            </w:r>
            <w:r>
              <w:rPr>
                <w:rFonts w:ascii="幼圆" w:eastAsia="幼圆" w:hAnsi="幼圆" w:cs="幼圆" w:hint="eastAsia"/>
                <w:b w:val="0"/>
                <w:bCs w:val="0"/>
              </w:rPr>
              <w:instrText xml:space="preserve"> PAGEREF _Toc69375061 \h </w:instrText>
            </w:r>
            <w:r>
              <w:rPr>
                <w:rFonts w:ascii="幼圆" w:eastAsia="幼圆" w:hAnsi="幼圆" w:cs="幼圆" w:hint="eastAsia"/>
                <w:b w:val="0"/>
                <w:bCs w:val="0"/>
              </w:rPr>
              <w:fldChar w:fldCharType="separate"/>
            </w:r>
            <w:r>
              <w:rPr>
                <w:rFonts w:ascii="幼圆" w:eastAsia="幼圆" w:hAnsi="幼圆" w:cs="幼圆" w:hint="eastAsia"/>
                <w:b w:val="0"/>
                <w:bCs w:val="0"/>
              </w:rPr>
              <w:t>20</w:t>
            </w:r>
            <w:r>
              <w:rPr>
                <w:rFonts w:ascii="幼圆" w:eastAsia="幼圆" w:hAnsi="幼圆" w:cs="幼圆" w:hint="eastAsia"/>
                <w:b w:val="0"/>
                <w:bCs w:val="0"/>
              </w:rPr>
              <w:fldChar w:fldCharType="end"/>
            </w:r>
          </w:hyperlink>
        </w:p>
        <w:p>
          <w:pPr>
            <w:pStyle w:val="TOC2"/>
            <w:rPr>
              <w:rFonts w:ascii="幼圆" w:eastAsia="幼圆" w:hAnsi="幼圆" w:cs="幼圆" w:hint="eastAsia"/>
              <w:b w:val="0"/>
              <w:bCs w:val="0"/>
              <w:kern w:val="2"/>
              <w:sz w:val="21"/>
              <w:szCs w:val="22"/>
            </w:rPr>
          </w:pPr>
          <w:hyperlink w:anchor="_Toc69375062" w:history="1">
            <w:r>
              <w:rPr>
                <w:rStyle w:val="Hyperlink"/>
                <w:rFonts w:ascii="幼圆" w:eastAsia="幼圆" w:hAnsi="幼圆" w:cs="幼圆" w:hint="eastAsia"/>
                <w:b w:val="0"/>
                <w:bCs w:val="0"/>
              </w:rPr>
              <w:t>5.4 改善经销模式</w:t>
            </w:r>
            <w:r>
              <w:rPr>
                <w:rFonts w:ascii="幼圆" w:eastAsia="幼圆" w:hAnsi="幼圆" w:cs="幼圆" w:hint="eastAsia"/>
                <w:b w:val="0"/>
                <w:bCs w:val="0"/>
              </w:rPr>
              <w:tab/>
            </w:r>
            <w:r>
              <w:rPr>
                <w:rFonts w:ascii="幼圆" w:eastAsia="幼圆" w:hAnsi="幼圆" w:cs="幼圆" w:hint="eastAsia"/>
                <w:b w:val="0"/>
                <w:bCs w:val="0"/>
              </w:rPr>
              <w:fldChar w:fldCharType="begin"/>
            </w:r>
            <w:r>
              <w:rPr>
                <w:rFonts w:ascii="幼圆" w:eastAsia="幼圆" w:hAnsi="幼圆" w:cs="幼圆" w:hint="eastAsia"/>
                <w:b w:val="0"/>
                <w:bCs w:val="0"/>
              </w:rPr>
              <w:instrText xml:space="preserve"> PAGEREF _Toc69375062 \h </w:instrText>
            </w:r>
            <w:r>
              <w:rPr>
                <w:rFonts w:ascii="幼圆" w:eastAsia="幼圆" w:hAnsi="幼圆" w:cs="幼圆" w:hint="eastAsia"/>
                <w:b w:val="0"/>
                <w:bCs w:val="0"/>
              </w:rPr>
              <w:fldChar w:fldCharType="separate"/>
            </w:r>
            <w:r>
              <w:rPr>
                <w:rFonts w:ascii="幼圆" w:eastAsia="幼圆" w:hAnsi="幼圆" w:cs="幼圆" w:hint="eastAsia"/>
                <w:b w:val="0"/>
                <w:bCs w:val="0"/>
              </w:rPr>
              <w:t>20</w:t>
            </w:r>
            <w:r>
              <w:rPr>
                <w:rFonts w:ascii="幼圆" w:eastAsia="幼圆" w:hAnsi="幼圆" w:cs="幼圆" w:hint="eastAsia"/>
                <w:b w:val="0"/>
                <w:bCs w:val="0"/>
              </w:rPr>
              <w:fldChar w:fldCharType="end"/>
            </w:r>
          </w:hyperlink>
        </w:p>
        <w:p>
          <w:pPr>
            <w:pStyle w:val="TOC2"/>
            <w:rPr>
              <w:rFonts w:ascii="幼圆" w:eastAsia="幼圆" w:hAnsi="幼圆" w:cs="幼圆" w:hint="eastAsia"/>
              <w:b w:val="0"/>
              <w:bCs w:val="0"/>
              <w:kern w:val="2"/>
              <w:sz w:val="21"/>
              <w:szCs w:val="22"/>
            </w:rPr>
          </w:pPr>
          <w:hyperlink w:anchor="_Toc69375063" w:history="1">
            <w:r>
              <w:rPr>
                <w:rStyle w:val="Hyperlink"/>
                <w:rFonts w:ascii="幼圆" w:eastAsia="幼圆" w:hAnsi="幼圆" w:cs="幼圆" w:hint="eastAsia"/>
                <w:b w:val="0"/>
                <w:bCs w:val="0"/>
              </w:rPr>
              <w:t>5.5 优化内部控制</w:t>
            </w:r>
            <w:r>
              <w:rPr>
                <w:rFonts w:ascii="幼圆" w:eastAsia="幼圆" w:hAnsi="幼圆" w:cs="幼圆" w:hint="eastAsia"/>
                <w:b w:val="0"/>
                <w:bCs w:val="0"/>
              </w:rPr>
              <w:tab/>
            </w:r>
            <w:r>
              <w:rPr>
                <w:rFonts w:ascii="幼圆" w:eastAsia="幼圆" w:hAnsi="幼圆" w:cs="幼圆" w:hint="eastAsia"/>
                <w:b w:val="0"/>
                <w:bCs w:val="0"/>
              </w:rPr>
              <w:fldChar w:fldCharType="begin"/>
            </w:r>
            <w:r>
              <w:rPr>
                <w:rFonts w:ascii="幼圆" w:eastAsia="幼圆" w:hAnsi="幼圆" w:cs="幼圆" w:hint="eastAsia"/>
                <w:b w:val="0"/>
                <w:bCs w:val="0"/>
              </w:rPr>
              <w:instrText xml:space="preserve"> PAGEREF _Toc69375063 \h </w:instrText>
            </w:r>
            <w:r>
              <w:rPr>
                <w:rFonts w:ascii="幼圆" w:eastAsia="幼圆" w:hAnsi="幼圆" w:cs="幼圆" w:hint="eastAsia"/>
                <w:b w:val="0"/>
                <w:bCs w:val="0"/>
              </w:rPr>
              <w:fldChar w:fldCharType="separate"/>
            </w:r>
            <w:r>
              <w:rPr>
                <w:rFonts w:ascii="幼圆" w:eastAsia="幼圆" w:hAnsi="幼圆" w:cs="幼圆" w:hint="eastAsia"/>
                <w:b w:val="0"/>
                <w:bCs w:val="0"/>
              </w:rPr>
              <w:t>20</w:t>
            </w:r>
            <w:r>
              <w:rPr>
                <w:rFonts w:ascii="幼圆" w:eastAsia="幼圆" w:hAnsi="幼圆" w:cs="幼圆" w:hint="eastAsia"/>
                <w:b w:val="0"/>
                <w:bCs w:val="0"/>
              </w:rPr>
              <w:fldChar w:fldCharType="end"/>
            </w:r>
          </w:hyperlink>
        </w:p>
        <w:p>
          <w:pPr>
            <w:pStyle w:val="TOC1"/>
            <w:tabs>
              <w:tab w:val="right" w:leader="dot" w:pos="9060"/>
            </w:tabs>
            <w:rPr>
              <w:rFonts w:ascii="幼圆" w:eastAsia="幼圆" w:hAnsi="幼圆" w:cs="幼圆" w:hint="eastAsia"/>
              <w:kern w:val="2"/>
              <w:sz w:val="21"/>
              <w:szCs w:val="22"/>
            </w:rPr>
          </w:pPr>
          <w:hyperlink w:anchor="_Toc69375064" w:history="1">
            <w:r>
              <w:rPr>
                <w:rStyle w:val="Hyperlink"/>
                <w:rFonts w:ascii="幼圆" w:eastAsia="幼圆" w:hAnsi="幼圆" w:cs="幼圆" w:hint="eastAsia"/>
              </w:rPr>
              <w:t>参考文献</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_Toc69375064 \h </w:instrText>
            </w:r>
            <w:r>
              <w:rPr>
                <w:rFonts w:ascii="幼圆" w:eastAsia="幼圆" w:hAnsi="幼圆" w:cs="幼圆" w:hint="eastAsia"/>
              </w:rPr>
              <w:fldChar w:fldCharType="separate"/>
            </w:r>
            <w:r>
              <w:rPr>
                <w:rFonts w:ascii="幼圆" w:eastAsia="幼圆" w:hAnsi="幼圆" w:cs="幼圆" w:hint="eastAsia"/>
              </w:rPr>
              <w:t>21</w:t>
            </w:r>
            <w:r>
              <w:rPr>
                <w:rFonts w:ascii="幼圆" w:eastAsia="幼圆" w:hAnsi="幼圆" w:cs="幼圆" w:hint="eastAsia"/>
              </w:rPr>
              <w:fldChar w:fldCharType="end"/>
            </w:r>
          </w:hyperlink>
        </w:p>
        <w:p>
          <w:pPr>
            <w:rPr>
              <w:rFonts w:ascii="幼圆" w:eastAsia="幼圆" w:hAnsi="幼圆" w:cs="幼圆" w:hint="eastAsia"/>
            </w:rPr>
          </w:pPr>
          <w:r>
            <w:rPr>
              <w:rFonts w:ascii="幼圆" w:eastAsia="幼圆" w:hAnsi="幼圆" w:cs="幼圆" w:hint="eastAsia"/>
            </w:rPr>
            <w:fldChar w:fldCharType="end"/>
          </w:r>
        </w:p>
      </w:sdtContent>
    </w:sdt>
    <w:p>
      <w:pPr>
        <w:spacing w:line="300" w:lineRule="auto"/>
        <w:rPr>
          <w:rFonts w:ascii="幼圆" w:eastAsia="幼圆" w:hAnsi="幼圆" w:cs="幼圆" w:hint="eastAsia"/>
          <w:sz w:val="24"/>
          <w:szCs w:val="24"/>
        </w:rPr>
      </w:pPr>
    </w:p>
    <w:p>
      <w:pPr>
        <w:pStyle w:val="Heading1"/>
        <w:spacing w:line="300" w:lineRule="auto"/>
        <w:rPr>
          <w:rFonts w:ascii="幼圆" w:eastAsia="幼圆" w:hAnsi="幼圆" w:cs="幼圆" w:hint="eastAsia"/>
        </w:rPr>
      </w:pPr>
      <w:bookmarkStart w:id="1" w:name="_Toc69375018"/>
      <w:r>
        <w:rPr>
          <w:rFonts w:ascii="幼圆" w:eastAsia="幼圆" w:hAnsi="幼圆" w:cs="幼圆" w:hint="eastAsia"/>
        </w:rPr>
        <w:t>1引</w:t>
      </w:r>
      <w:r>
        <w:rPr>
          <w:rFonts w:ascii="幼圆" w:eastAsia="幼圆" w:hAnsi="幼圆" w:cs="幼圆" w:hint="eastAsia"/>
        </w:rPr>
        <w:t xml:space="preserve"> </w:t>
      </w:r>
      <w:r>
        <w:rPr>
          <w:rFonts w:ascii="幼圆" w:eastAsia="幼圆" w:hAnsi="幼圆" w:cs="幼圆" w:hint="eastAsia"/>
        </w:rPr>
        <w:t xml:space="preserve"> 言</w:t>
      </w:r>
      <w:bookmarkEnd w:id="1"/>
    </w:p>
    <w:p>
      <w:pPr>
        <w:spacing w:line="300" w:lineRule="auto"/>
        <w:ind w:firstLine="480" w:firstLineChars="200"/>
        <w:rPr>
          <w:rFonts w:ascii="幼圆" w:eastAsia="幼圆" w:hAnsi="幼圆" w:cs="幼圆" w:hint="eastAsia"/>
          <w:sz w:val="24"/>
          <w:szCs w:val="24"/>
        </w:rPr>
        <w:sectPr>
          <w:footerReference w:type="default" r:id="rId7"/>
          <w:type w:val="nextPage"/>
          <w:pgSz w:w="11906" w:h="16838"/>
          <w:pgMar w:top="1701" w:right="1418" w:bottom="1701" w:left="1418" w:header="1247" w:footer="1247" w:gutter="0"/>
          <w:pgNumType w:start="2"/>
          <w:cols w:num="1" w:space="425"/>
          <w:titlePg w:val="0"/>
          <w:docGrid w:type="linesAndChars" w:linePitch="312" w:charSpace="0"/>
        </w:sectPr>
      </w:pPr>
      <w:r>
        <w:rPr>
          <w:rFonts w:ascii="幼圆" w:eastAsia="幼圆" w:hAnsi="幼圆" w:cs="幼圆" w:hint="eastAsia"/>
          <w:sz w:val="24"/>
          <w:szCs w:val="24"/>
        </w:rPr>
        <w:t>我国债券市场在2</w:t>
      </w:r>
      <w:r>
        <w:rPr>
          <w:rFonts w:ascii="幼圆" w:eastAsia="幼圆" w:hAnsi="幼圆" w:cs="幼圆" w:hint="eastAsia"/>
          <w:sz w:val="24"/>
          <w:szCs w:val="24"/>
        </w:rPr>
        <w:t>014</w:t>
      </w:r>
      <w:r>
        <w:rPr>
          <w:rFonts w:ascii="幼圆" w:eastAsia="幼圆" w:hAnsi="幼圆" w:cs="幼圆" w:hint="eastAsia"/>
          <w:sz w:val="24"/>
          <w:szCs w:val="24"/>
        </w:rPr>
        <w:t>年以前有刚性兑付的保障，从未有公司发生过实质性违约，政府在公司有违约趋势时就会出面替公司偿债。2</w:t>
      </w:r>
      <w:r>
        <w:rPr>
          <w:rFonts w:ascii="幼圆" w:eastAsia="幼圆" w:hAnsi="幼圆" w:cs="幼圆" w:hint="eastAsia"/>
          <w:sz w:val="24"/>
          <w:szCs w:val="24"/>
        </w:rPr>
        <w:t>014</w:t>
      </w:r>
      <w:r>
        <w:rPr>
          <w:rFonts w:ascii="幼圆" w:eastAsia="幼圆" w:hAnsi="幼圆" w:cs="幼圆" w:hint="eastAsia"/>
          <w:sz w:val="24"/>
          <w:szCs w:val="24"/>
        </w:rPr>
        <w:t>年后，我国刚性兑付的场面被“超日债”打破，同时国家出台去杠杆政策，我国债券市场违约步入常态化。债务违约近年来备受社会关注，而贵人鸟作为一家运动服饰类上市公司，在债务违约潮里具有典型性和特殊性，截止至</w:t>
      </w:r>
      <w:r>
        <w:rPr>
          <w:rFonts w:ascii="幼圆" w:eastAsia="幼圆" w:hAnsi="幼圆" w:cs="幼圆" w:hint="eastAsia"/>
          <w:sz w:val="24"/>
          <w:szCs w:val="24"/>
        </w:rPr>
        <w:t>2020年5月31日，公司的逾期贷款及债券本金合计 25.57 亿元</w:t>
      </w:r>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其债务违约背后的原因值得深入分析和研究。从理论方面来看，我国债务违约起步较晚，本文结合实际案例，分析违约原因，吸取经验教训，总结案例启示，为学术界的研究提供可借鉴的思路；从现实层面来看，通过选取运动服饰类为数不多的上市公司作为案例进行研究，分析导致债务违约的内外部原因，为一些可能面对债务违约的企业提供借鉴意义，对减少债务违约、建立健全金融机制、推动中国占全市场健康发展起到一定作用。</w:t>
      </w:r>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本文采用文献研究法、对比分析法和案例分析法。通过查询与债务违约相关的文献和书籍，对债务违约的原因和影响因素进行了解学习，为后续论文研究奠定了理论基础。以贵人鸟债务违约为例，首先介绍贵人鸟基本情况、违约现况及后续影响，其次剖析债务违约的原因，将理论与案例相结合，最后得出案例启示。论文利用了贵人鸟各项财务数据进行了纵向对比。同时选取了同行业李宁、安踏的相关财务数据进行横向对比，从而发现贵人鸟公司存在的问题。本论文分为六大部分，对贵人鸟债务违约成因及对策分析过程如下：第一部分，引言。介绍了债务违约的背景和论文的意义，本文运用的研究方法。第二部分，债务违约的相关概念和理论基础，介绍了债务违约的相关概念界定、理论基础和影响因素。第三部分，贵人鸟债务违约案例介绍，从历史沿革、经营概况、股权构成三方面对本公司基本状况进行了解，其次对违约现况进行详细说明，最后阐述了违约的后续影响。第四部分，案例分析，对产生债务违约的内外部原因逐一分析，结合年报等公开数据资料等，运用对比分析法，深究产生债务违约的原因。第五部分，案例启示及建议，通过前文对贵人鸟债务违约存在的问题分析的基础上，对企业提出有借鉴意义的建议。</w:t>
      </w:r>
    </w:p>
    <w:p>
      <w:pPr>
        <w:pStyle w:val="Heading1"/>
        <w:rPr>
          <w:rFonts w:ascii="幼圆" w:eastAsia="幼圆" w:hAnsi="幼圆" w:cs="幼圆" w:hint="eastAsia"/>
        </w:rPr>
      </w:pPr>
      <w:bookmarkStart w:id="2" w:name="_Toc69375019"/>
      <w:r>
        <w:rPr>
          <w:rFonts w:ascii="幼圆" w:eastAsia="幼圆" w:hAnsi="幼圆" w:cs="幼圆" w:hint="eastAsia"/>
        </w:rPr>
        <w:t>2债务违约</w:t>
      </w:r>
      <w:r>
        <w:rPr>
          <w:rFonts w:ascii="幼圆" w:eastAsia="幼圆" w:hAnsi="幼圆" w:cs="幼圆" w:hint="eastAsia"/>
        </w:rPr>
        <w:t>相关概念和理论基础</w:t>
      </w:r>
      <w:bookmarkEnd w:id="2"/>
    </w:p>
    <w:p>
      <w:pPr>
        <w:pStyle w:val="Heading2"/>
        <w:rPr>
          <w:rFonts w:ascii="幼圆" w:eastAsia="幼圆" w:hAnsi="幼圆" w:cs="幼圆" w:hint="eastAsia"/>
        </w:rPr>
      </w:pPr>
      <w:bookmarkStart w:id="3" w:name="_Toc69375020"/>
      <w:r>
        <w:rPr>
          <w:rFonts w:ascii="幼圆" w:eastAsia="幼圆" w:hAnsi="幼圆" w:cs="幼圆" w:hint="eastAsia"/>
        </w:rPr>
        <w:t>2.1债务违约相关概念界定</w:t>
      </w:r>
      <w:bookmarkEnd w:id="3"/>
    </w:p>
    <w:p>
      <w:pPr>
        <w:pStyle w:val="Heading3"/>
        <w:rPr>
          <w:rFonts w:ascii="幼圆" w:eastAsia="幼圆" w:hAnsi="幼圆" w:cs="幼圆" w:hint="eastAsia"/>
        </w:rPr>
      </w:pPr>
      <w:bookmarkStart w:id="4" w:name="_Toc69375021"/>
      <w:r>
        <w:rPr>
          <w:rFonts w:ascii="幼圆" w:eastAsia="幼圆" w:hAnsi="幼圆" w:cs="幼圆" w:hint="eastAsia"/>
        </w:rPr>
        <w:t>2.1.1 债务违约</w:t>
      </w:r>
      <w:bookmarkEnd w:id="4"/>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债务违约是指债务人无法按照合同条款履行债务契约约定的到期支付义务。公司在其发展过程中，随着其经营、财务状况的恶化，往往会有债务违约的风险，一旦到期债务无法偿还，公司便会发生实质性违约。</w:t>
      </w:r>
    </w:p>
    <w:p>
      <w:pPr>
        <w:pStyle w:val="Heading3"/>
        <w:rPr>
          <w:rFonts w:ascii="幼圆" w:eastAsia="幼圆" w:hAnsi="幼圆" w:cs="幼圆" w:hint="eastAsia"/>
        </w:rPr>
      </w:pPr>
      <w:bookmarkStart w:id="5" w:name="_Toc69375022"/>
      <w:r>
        <w:rPr>
          <w:rFonts w:ascii="幼圆" w:eastAsia="幼圆" w:hAnsi="幼圆" w:cs="幼圆" w:hint="eastAsia"/>
        </w:rPr>
        <w:t>2.1.2 信用风险</w:t>
      </w:r>
      <w:bookmarkEnd w:id="5"/>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信用风险又称为违约风险，是指债务人、证券发行人等，没有意愿或能力履行合约条件而造成违约进而导致债权人、证券投资者等遭受损失的可能性。信用风险有两个表现形式：其一为债务人还款意愿风险，其二为债务人的实际还款能力风险。其中，还款意愿风险指的是债务人具备实际还款能力却主观上不愿意主动归还债务的可能性，主要取决于债务人的素质和道德水平。实际还款能力风险主要分析内外部因素，例如宏观经济政策、公司内部经营能力等。</w:t>
      </w:r>
    </w:p>
    <w:p>
      <w:pPr>
        <w:pStyle w:val="Heading3"/>
        <w:rPr>
          <w:rFonts w:ascii="幼圆" w:eastAsia="幼圆" w:hAnsi="幼圆" w:cs="幼圆" w:hint="eastAsia"/>
        </w:rPr>
      </w:pPr>
      <w:bookmarkStart w:id="6" w:name="_Toc69375023"/>
      <w:r>
        <w:rPr>
          <w:rFonts w:ascii="幼圆" w:eastAsia="幼圆" w:hAnsi="幼圆" w:cs="幼圆" w:hint="eastAsia"/>
        </w:rPr>
        <w:t>2.1.3</w:t>
      </w:r>
      <w:r>
        <w:rPr>
          <w:rFonts w:ascii="幼圆" w:eastAsia="幼圆" w:hAnsi="幼圆" w:cs="幼圆" w:hint="eastAsia"/>
        </w:rPr>
        <w:t>财务风险</w:t>
      </w:r>
      <w:bookmarkEnd w:id="6"/>
    </w:p>
    <w:p>
      <w:pPr>
        <w:spacing w:line="300" w:lineRule="auto"/>
        <w:ind w:firstLine="480" w:firstLineChars="200"/>
        <w:rPr>
          <w:rFonts w:ascii="幼圆" w:eastAsia="幼圆" w:hAnsi="幼圆" w:cs="幼圆" w:hint="eastAsia"/>
          <w:sz w:val="24"/>
          <w:szCs w:val="24"/>
        </w:rPr>
        <w:sectPr>
          <w:footerReference w:type="default" r:id="rId8"/>
          <w:type w:val="nextPage"/>
          <w:pgSz w:w="11906" w:h="16838"/>
          <w:pgMar w:top="1701" w:right="1418" w:bottom="1701" w:left="1418" w:header="1247" w:footer="1247" w:gutter="0"/>
          <w:pgNumType w:start="3"/>
          <w:cols w:num="1" w:space="425"/>
          <w:titlePg w:val="0"/>
          <w:docGrid w:type="linesAndChars" w:linePitch="312" w:charSpace="0"/>
        </w:sectPr>
      </w:pPr>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财务风险是指企业在各项财务活动中由于各种难以预料和无法控制的因素，使企业在一定时期、一定范围内所获取的最终财务成果与预期的经营目标发生偏差，从而形成的使企业蒙受经济损失或更大收益的可能性。财务风险在财务管理过程中不可避免、客观存在，企业管理者只能采取有效措施来降低风险，而不可能完全消除风险。</w:t>
      </w:r>
    </w:p>
    <w:p>
      <w:pPr>
        <w:pStyle w:val="Heading2"/>
        <w:rPr>
          <w:rFonts w:ascii="幼圆" w:eastAsia="幼圆" w:hAnsi="幼圆" w:cs="幼圆" w:hint="eastAsia"/>
        </w:rPr>
      </w:pPr>
      <w:bookmarkStart w:id="7" w:name="_Toc69375024"/>
      <w:r>
        <w:rPr>
          <w:rFonts w:ascii="幼圆" w:eastAsia="幼圆" w:hAnsi="幼圆" w:cs="幼圆" w:hint="eastAsia"/>
        </w:rPr>
        <w:t>2</w:t>
      </w:r>
      <w:r>
        <w:rPr>
          <w:rFonts w:ascii="幼圆" w:eastAsia="幼圆" w:hAnsi="幼圆" w:cs="幼圆" w:hint="eastAsia"/>
        </w:rPr>
        <w:t>.2</w:t>
      </w:r>
      <w:r>
        <w:rPr>
          <w:rFonts w:ascii="幼圆" w:eastAsia="幼圆" w:hAnsi="幼圆" w:cs="幼圆" w:hint="eastAsia"/>
        </w:rPr>
        <w:t>理论基础</w:t>
      </w:r>
      <w:bookmarkEnd w:id="7"/>
    </w:p>
    <w:p>
      <w:pPr>
        <w:pStyle w:val="Heading3"/>
        <w:rPr>
          <w:rFonts w:ascii="幼圆" w:eastAsia="幼圆" w:hAnsi="幼圆" w:cs="幼圆" w:hint="eastAsia"/>
        </w:rPr>
      </w:pPr>
      <w:bookmarkStart w:id="8" w:name="_Toc69375025"/>
      <w:r>
        <w:rPr>
          <w:rFonts w:ascii="幼圆" w:eastAsia="幼圆" w:hAnsi="幼圆" w:cs="幼圆" w:hint="eastAsia"/>
        </w:rPr>
        <w:t>2</w:t>
      </w:r>
      <w:r>
        <w:rPr>
          <w:rFonts w:ascii="幼圆" w:eastAsia="幼圆" w:hAnsi="幼圆" w:cs="幼圆" w:hint="eastAsia"/>
        </w:rPr>
        <w:t>.2.1</w:t>
      </w:r>
      <w:r>
        <w:rPr>
          <w:rFonts w:ascii="幼圆" w:eastAsia="幼圆" w:hAnsi="幼圆" w:cs="幼圆" w:hint="eastAsia"/>
        </w:rPr>
        <w:t>委托代理理论</w:t>
      </w:r>
      <w:bookmarkEnd w:id="8"/>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伯利和米恩斯洞悉企业所有者兼具经营者的做法存在着极大的弊端，提出“委托代理理论”，倡导所有权和经营权分离，企业所有者保留剩余索取权，而将经营权利让渡。</w:t>
      </w:r>
      <w:r>
        <w:rPr>
          <w:rFonts w:ascii="幼圆" w:eastAsia="幼圆" w:hAnsi="幼圆" w:cs="幼圆" w:hint="eastAsia"/>
          <w:sz w:val="24"/>
          <w:szCs w:val="24"/>
        </w:rPr>
        <w:t>债务违约从某种程度上来说也是委托代理行为失效的一种表现，债权人通过购买企业债券或与企业发生借贷行为，就与债务人构成了委托代理关系。可能导致债务人不能如期偿还本息进而损害债权人利益的原因包括债务人没有提供公允完整的会计信息、利用债权人资金投资高风险项目等。</w:t>
      </w:r>
    </w:p>
    <w:p>
      <w:pPr>
        <w:pStyle w:val="Heading3"/>
        <w:rPr>
          <w:rFonts w:ascii="幼圆" w:eastAsia="幼圆" w:hAnsi="幼圆" w:cs="幼圆" w:hint="eastAsia"/>
        </w:rPr>
      </w:pPr>
      <w:bookmarkStart w:id="9" w:name="_Toc69375026"/>
      <w:r>
        <w:rPr>
          <w:rFonts w:ascii="幼圆" w:eastAsia="幼圆" w:hAnsi="幼圆" w:cs="幼圆" w:hint="eastAsia"/>
        </w:rPr>
        <w:t>2</w:t>
      </w:r>
      <w:r>
        <w:rPr>
          <w:rFonts w:ascii="幼圆" w:eastAsia="幼圆" w:hAnsi="幼圆" w:cs="幼圆" w:hint="eastAsia"/>
        </w:rPr>
        <w:t>.2.2</w:t>
      </w:r>
      <w:r>
        <w:rPr>
          <w:rFonts w:ascii="幼圆" w:eastAsia="幼圆" w:hAnsi="幼圆" w:cs="幼圆" w:hint="eastAsia"/>
        </w:rPr>
        <w:t>债务期限结构理论</w:t>
      </w:r>
      <w:bookmarkEnd w:id="9"/>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债务期限结构的选择是债务融资最重要的财务决策之一，不适当的债务期限结构会降低债务融资效益，危机企业财务安全。现有研究大多是从公司微观层面研究债务期限的选择，而实际上企业在寻求最优债务期限结构时不仅考虑自身特征因素，还需考虑国家的经济制度等外部环境因素。因此，综合研究企业债务期限结构的宏观和微观影响因素更有现实意义。</w:t>
      </w:r>
    </w:p>
    <w:p>
      <w:pPr>
        <w:pStyle w:val="Heading3"/>
        <w:rPr>
          <w:rFonts w:ascii="幼圆" w:eastAsia="幼圆" w:hAnsi="幼圆" w:cs="幼圆" w:hint="eastAsia"/>
        </w:rPr>
      </w:pPr>
      <w:bookmarkStart w:id="10" w:name="_Toc69375027"/>
      <w:r>
        <w:rPr>
          <w:rFonts w:ascii="幼圆" w:eastAsia="幼圆" w:hAnsi="幼圆" w:cs="幼圆" w:hint="eastAsia"/>
        </w:rPr>
        <w:t>2</w:t>
      </w:r>
      <w:r>
        <w:rPr>
          <w:rFonts w:ascii="幼圆" w:eastAsia="幼圆" w:hAnsi="幼圆" w:cs="幼圆" w:hint="eastAsia"/>
        </w:rPr>
        <w:t xml:space="preserve">.2.3 </w:t>
      </w:r>
      <w:r>
        <w:rPr>
          <w:rFonts w:ascii="幼圆" w:eastAsia="幼圆" w:hAnsi="幼圆" w:cs="幼圆" w:hint="eastAsia"/>
        </w:rPr>
        <w:t>信息不对称理论</w:t>
      </w:r>
      <w:bookmarkEnd w:id="10"/>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理论是指在市场经济活动中，各类人员对有关信息的了解是有差异的；掌握信息比较充分的人员，往往处于比较有利的地位，而信息贫乏的人员，则处于比较不利的地位。市场中卖方比买方更了解有关商品的各种信息，公司高管直接参与公司治理，掌握的信息多于股东，股东难以对其行为进行全面的监管，因此，容易致使高管做出不利于债权人权益的决策。</w:t>
      </w:r>
    </w:p>
    <w:p>
      <w:pPr>
        <w:spacing w:before="156" w:beforeLines="50" w:after="156" w:afterLines="50" w:line="300" w:lineRule="auto"/>
        <w:ind w:firstLine="480" w:firstLineChars="200"/>
        <w:outlineLvl w:val="1"/>
        <w:rPr>
          <w:rFonts w:ascii="幼圆" w:eastAsia="幼圆" w:hAnsi="幼圆" w:cs="幼圆" w:hint="eastAsia"/>
          <w:b/>
          <w:bCs/>
          <w:sz w:val="24"/>
          <w:szCs w:val="24"/>
        </w:rPr>
      </w:pPr>
      <w:bookmarkStart w:id="11" w:name="_Toc69375028"/>
      <w:r>
        <w:rPr>
          <w:rFonts w:ascii="幼圆" w:eastAsia="幼圆" w:hAnsi="幼圆" w:cs="幼圆" w:hint="eastAsia"/>
          <w:b/>
          <w:bCs/>
          <w:sz w:val="24"/>
          <w:szCs w:val="24"/>
        </w:rPr>
        <w:t>2</w:t>
      </w:r>
      <w:r>
        <w:rPr>
          <w:rFonts w:ascii="幼圆" w:eastAsia="幼圆" w:hAnsi="幼圆" w:cs="幼圆" w:hint="eastAsia"/>
          <w:b/>
          <w:bCs/>
          <w:sz w:val="24"/>
          <w:szCs w:val="24"/>
        </w:rPr>
        <w:t xml:space="preserve">.3 </w:t>
      </w:r>
      <w:r>
        <w:rPr>
          <w:rFonts w:ascii="幼圆" w:eastAsia="幼圆" w:hAnsi="幼圆" w:cs="幼圆" w:hint="eastAsia"/>
          <w:b/>
          <w:bCs/>
          <w:sz w:val="24"/>
          <w:szCs w:val="24"/>
        </w:rPr>
        <w:t>债务违约的影响因素</w:t>
      </w:r>
      <w:bookmarkEnd w:id="11"/>
    </w:p>
    <w:p>
      <w:pPr>
        <w:spacing w:before="62" w:beforeLines="20" w:after="62" w:afterLines="20" w:line="300" w:lineRule="auto"/>
        <w:ind w:firstLine="480" w:firstLineChars="200"/>
        <w:outlineLvl w:val="2"/>
        <w:rPr>
          <w:rFonts w:ascii="幼圆" w:eastAsia="幼圆" w:hAnsi="幼圆" w:cs="幼圆" w:hint="eastAsia"/>
          <w:sz w:val="24"/>
          <w:szCs w:val="24"/>
        </w:rPr>
      </w:pPr>
      <w:bookmarkStart w:id="12" w:name="_Toc69375029"/>
      <w:r>
        <w:rPr>
          <w:rFonts w:ascii="幼圆" w:eastAsia="幼圆" w:hAnsi="幼圆" w:cs="幼圆" w:hint="eastAsia"/>
          <w:sz w:val="24"/>
          <w:szCs w:val="24"/>
        </w:rPr>
        <w:t>2</w:t>
      </w:r>
      <w:r>
        <w:rPr>
          <w:rFonts w:ascii="幼圆" w:eastAsia="幼圆" w:hAnsi="幼圆" w:cs="幼圆" w:hint="eastAsia"/>
          <w:sz w:val="24"/>
          <w:szCs w:val="24"/>
        </w:rPr>
        <w:t>.3.1</w:t>
      </w:r>
      <w:r>
        <w:rPr>
          <w:rFonts w:ascii="幼圆" w:eastAsia="幼圆" w:hAnsi="幼圆" w:cs="幼圆" w:hint="eastAsia"/>
          <w:sz w:val="24"/>
          <w:szCs w:val="24"/>
        </w:rPr>
        <w:t>宏观环境因素</w:t>
      </w:r>
      <w:bookmarkEnd w:id="12"/>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外部宏观环境复杂多变，无法预测，前几年财政政策较为宽松，且有政府兜底，许多企业杠杆率较高大举并购扩张，负债较多。目前国家推行去杠杆政策，宏观经济压力大，市场需求下降，积压的债务风险逐步暴露。</w:t>
      </w:r>
    </w:p>
    <w:p>
      <w:pPr>
        <w:spacing w:before="62" w:beforeLines="20" w:after="62" w:afterLines="20" w:line="300" w:lineRule="auto"/>
        <w:ind w:firstLine="480" w:firstLineChars="200"/>
        <w:outlineLvl w:val="2"/>
        <w:rPr>
          <w:rFonts w:ascii="幼圆" w:eastAsia="幼圆" w:hAnsi="幼圆" w:cs="幼圆" w:hint="eastAsia"/>
          <w:sz w:val="24"/>
          <w:szCs w:val="24"/>
        </w:rPr>
      </w:pPr>
      <w:bookmarkStart w:id="13" w:name="_Toc69375030"/>
      <w:r>
        <w:rPr>
          <w:rFonts w:ascii="幼圆" w:eastAsia="幼圆" w:hAnsi="幼圆" w:cs="幼圆" w:hint="eastAsia"/>
          <w:sz w:val="24"/>
          <w:szCs w:val="24"/>
        </w:rPr>
        <w:t>2</w:t>
      </w:r>
      <w:r>
        <w:rPr>
          <w:rFonts w:ascii="幼圆" w:eastAsia="幼圆" w:hAnsi="幼圆" w:cs="幼圆" w:hint="eastAsia"/>
          <w:sz w:val="24"/>
          <w:szCs w:val="24"/>
        </w:rPr>
        <w:t>.3.2</w:t>
      </w:r>
      <w:r>
        <w:rPr>
          <w:rFonts w:ascii="幼圆" w:eastAsia="幼圆" w:hAnsi="幼圆" w:cs="幼圆" w:hint="eastAsia"/>
          <w:sz w:val="24"/>
          <w:szCs w:val="24"/>
        </w:rPr>
        <w:t>企业财务管理因素</w:t>
      </w:r>
      <w:bookmarkEnd w:id="13"/>
    </w:p>
    <w:p>
      <w:pPr>
        <w:spacing w:line="300" w:lineRule="auto"/>
        <w:ind w:firstLine="480" w:firstLineChars="200"/>
        <w:rPr>
          <w:rFonts w:ascii="幼圆" w:eastAsia="幼圆" w:hAnsi="幼圆" w:cs="幼圆" w:hint="eastAsia"/>
          <w:sz w:val="24"/>
          <w:szCs w:val="24"/>
        </w:rPr>
        <w:sectPr>
          <w:footerReference w:type="default" r:id="rId9"/>
          <w:type w:val="nextPage"/>
          <w:pgSz w:w="11906" w:h="16838"/>
          <w:pgMar w:top="1701" w:right="1418" w:bottom="1701" w:left="1418" w:header="1247" w:footer="1247" w:gutter="0"/>
          <w:pgNumType w:start="4"/>
          <w:cols w:num="1" w:space="425"/>
          <w:titlePg w:val="0"/>
          <w:docGrid w:type="linesAndChars" w:linePitch="312" w:charSpace="0"/>
        </w:sectPr>
      </w:pPr>
      <w:r>
        <w:rPr>
          <w:rFonts w:ascii="幼圆" w:eastAsia="幼圆" w:hAnsi="幼圆" w:cs="幼圆" w:hint="eastAsia"/>
          <w:sz w:val="24"/>
          <w:szCs w:val="24"/>
        </w:rPr>
        <w:t>我国部分企业财务管理制度不完善，资金组成、分配结构不合理，从而给企业带来不必要的资源浪费，从而导致一定的财务损失。应收账款无法及时回收，存货积压，</w:t>
      </w:r>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坏账损失不断增多</w:t>
      </w:r>
      <w:r>
        <w:rPr>
          <w:rFonts w:ascii="幼圆" w:eastAsia="幼圆" w:hAnsi="幼圆" w:cs="幼圆" w:hint="eastAsia"/>
          <w:sz w:val="24"/>
          <w:szCs w:val="24"/>
        </w:rPr>
        <w:t>等会</w:t>
      </w:r>
      <w:r>
        <w:rPr>
          <w:rFonts w:ascii="幼圆" w:eastAsia="幼圆" w:hAnsi="幼圆" w:cs="幼圆" w:hint="eastAsia"/>
          <w:sz w:val="24"/>
          <w:szCs w:val="24"/>
        </w:rPr>
        <w:t>给企业的经</w:t>
      </w:r>
      <w:r>
        <w:rPr>
          <w:rFonts w:ascii="幼圆" w:eastAsia="幼圆" w:hAnsi="幼圆" w:cs="幼圆" w:hint="eastAsia"/>
          <w:sz w:val="24"/>
          <w:szCs w:val="24"/>
        </w:rPr>
        <w:t>济效益与资产质量带来负面影响，从而</w:t>
      </w:r>
      <w:r>
        <w:rPr>
          <w:rFonts w:ascii="幼圆" w:eastAsia="幼圆" w:hAnsi="幼圆" w:cs="幼圆" w:hint="eastAsia"/>
          <w:sz w:val="24"/>
          <w:szCs w:val="24"/>
        </w:rPr>
        <w:t>阻碍企业的</w:t>
      </w:r>
      <w:r>
        <w:rPr>
          <w:rFonts w:ascii="幼圆" w:eastAsia="幼圆" w:hAnsi="幼圆" w:cs="幼圆" w:hint="eastAsia"/>
          <w:sz w:val="24"/>
          <w:szCs w:val="24"/>
        </w:rPr>
        <w:t>生存和</w:t>
      </w:r>
      <w:r>
        <w:rPr>
          <w:rFonts w:ascii="幼圆" w:eastAsia="幼圆" w:hAnsi="幼圆" w:cs="幼圆" w:hint="eastAsia"/>
          <w:sz w:val="24"/>
          <w:szCs w:val="24"/>
        </w:rPr>
        <w:t>发展。</w:t>
      </w:r>
    </w:p>
    <w:p>
      <w:pPr>
        <w:spacing w:before="62" w:beforeLines="20" w:after="62" w:afterLines="20" w:line="300" w:lineRule="auto"/>
        <w:ind w:firstLine="480" w:firstLineChars="200"/>
        <w:outlineLvl w:val="2"/>
        <w:rPr>
          <w:rFonts w:ascii="幼圆" w:eastAsia="幼圆" w:hAnsi="幼圆" w:cs="幼圆" w:hint="eastAsia"/>
          <w:sz w:val="24"/>
          <w:szCs w:val="24"/>
        </w:rPr>
      </w:pPr>
      <w:bookmarkStart w:id="14" w:name="_Toc69375031"/>
      <w:r>
        <w:rPr>
          <w:rFonts w:ascii="幼圆" w:eastAsia="幼圆" w:hAnsi="幼圆" w:cs="幼圆" w:hint="eastAsia"/>
          <w:sz w:val="24"/>
          <w:szCs w:val="24"/>
        </w:rPr>
        <w:t>2</w:t>
      </w:r>
      <w:r>
        <w:rPr>
          <w:rFonts w:ascii="幼圆" w:eastAsia="幼圆" w:hAnsi="幼圆" w:cs="幼圆" w:hint="eastAsia"/>
          <w:sz w:val="24"/>
          <w:szCs w:val="24"/>
        </w:rPr>
        <w:t>.3.3</w:t>
      </w:r>
      <w:r>
        <w:rPr>
          <w:rFonts w:ascii="幼圆" w:eastAsia="幼圆" w:hAnsi="幼圆" w:cs="幼圆" w:hint="eastAsia"/>
          <w:sz w:val="24"/>
          <w:szCs w:val="24"/>
        </w:rPr>
        <w:t>企业经营管理因素</w:t>
      </w:r>
      <w:bookmarkEnd w:id="14"/>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我国部分企业内部经营管理缺乏科学性，内部控制、监督管理形同虚设，公司往往会出现激进扩张、盲目并购、管理混乱。很多企业的内部经营管理制度只是形式，不注重管理实效致使企业运行效率低下。最终导致财务风险过高，影响企业生存。</w:t>
      </w:r>
    </w:p>
    <w:p>
      <w:pPr>
        <w:pStyle w:val="Heading2"/>
        <w:rPr>
          <w:rFonts w:ascii="幼圆" w:eastAsia="幼圆" w:hAnsi="幼圆" w:cs="幼圆" w:hint="eastAsia"/>
        </w:rPr>
      </w:pPr>
      <w:bookmarkStart w:id="15" w:name="_Toc69375032"/>
      <w:r>
        <w:rPr>
          <w:rFonts w:ascii="幼圆" w:eastAsia="幼圆" w:hAnsi="幼圆" w:cs="幼圆" w:hint="eastAsia"/>
        </w:rPr>
        <w:t>2.4 文献综述</w:t>
      </w:r>
      <w:bookmarkEnd w:id="15"/>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债务违约最早由</w:t>
      </w:r>
      <w:r>
        <w:rPr>
          <w:rFonts w:ascii="幼圆" w:eastAsia="幼圆" w:hAnsi="幼圆" w:cs="幼圆" w:hint="eastAsia"/>
          <w:sz w:val="24"/>
          <w:szCs w:val="24"/>
        </w:rPr>
        <w:t>Beaver（1966）</w:t>
      </w:r>
      <w:r>
        <w:rPr>
          <w:rFonts w:ascii="幼圆" w:eastAsia="幼圆" w:hAnsi="幼圆" w:cs="幼圆" w:hint="eastAsia"/>
          <w:sz w:val="24"/>
          <w:szCs w:val="24"/>
        </w:rPr>
        <w:t>提出，他认为债务人在约定期限内不具备能力按照契约约定进行全额偿付，即为发生债务违约，并且他认为债务违约也是财务危机的一个方面。</w:t>
      </w:r>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Altman(1968)</w:t>
      </w:r>
      <w:r>
        <w:rPr>
          <w:rFonts w:ascii="幼圆" w:eastAsia="幼圆" w:hAnsi="幼圆" w:cs="幼圆" w:hint="eastAsia"/>
          <w:sz w:val="24"/>
          <w:szCs w:val="24"/>
        </w:rPr>
        <w:t>提出，企业债务违约风险大小主要受企业销售能力、自身的财务结构、企业的生产能力、企业的留存收益及自身资产流动性五方面因素影响。</w:t>
      </w:r>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 xml:space="preserve">Egloff，Leippold </w:t>
      </w:r>
      <w:r>
        <w:rPr>
          <w:rFonts w:ascii="幼圆" w:eastAsia="幼圆" w:hAnsi="幼圆" w:cs="幼圆" w:hint="eastAsia"/>
          <w:sz w:val="24"/>
          <w:szCs w:val="24"/>
        </w:rPr>
        <w:t>和</w:t>
      </w:r>
      <w:r>
        <w:rPr>
          <w:rFonts w:ascii="幼圆" w:eastAsia="幼圆" w:hAnsi="幼圆" w:cs="幼圆" w:hint="eastAsia"/>
          <w:sz w:val="24"/>
          <w:szCs w:val="24"/>
        </w:rPr>
        <w:t xml:space="preserve"> Vanini（2007）</w:t>
      </w:r>
      <w:r>
        <w:rPr>
          <w:rFonts w:ascii="幼圆" w:eastAsia="幼圆" w:hAnsi="幼圆" w:cs="幼圆" w:hint="eastAsia"/>
          <w:sz w:val="24"/>
          <w:szCs w:val="24"/>
        </w:rPr>
        <w:t>通过建立模型，发现债务违约的发生受宏观和微观两个方面的影响，宏观方面为外部经济环境的影响，微观方面为债务人在商业或法律上的因素。</w:t>
      </w:r>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苗霞</w:t>
      </w:r>
      <w:r>
        <w:rPr>
          <w:rFonts w:ascii="幼圆" w:eastAsia="幼圆" w:hAnsi="幼圆" w:cs="幼圆" w:hint="eastAsia"/>
          <w:sz w:val="24"/>
          <w:szCs w:val="24"/>
        </w:rPr>
        <w:t>（2018）</w:t>
      </w:r>
      <w:r>
        <w:rPr>
          <w:rFonts w:ascii="幼圆" w:eastAsia="幼圆" w:hAnsi="幼圆" w:cs="幼圆" w:hint="eastAsia"/>
          <w:sz w:val="24"/>
          <w:szCs w:val="24"/>
        </w:rPr>
        <w:t>认为债务违约是指债务人无法按照约定支付利息和本金，可表现为银行借款违约、商业信用违约、和债券违约。因此，债务违约包含债券违约。</w:t>
      </w:r>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邢天怡（2</w:t>
      </w:r>
      <w:r>
        <w:rPr>
          <w:rFonts w:ascii="幼圆" w:eastAsia="幼圆" w:hAnsi="幼圆" w:cs="幼圆" w:hint="eastAsia"/>
          <w:sz w:val="24"/>
          <w:szCs w:val="24"/>
        </w:rPr>
        <w:t>016</w:t>
      </w:r>
      <w:r>
        <w:rPr>
          <w:rFonts w:ascii="幼圆" w:eastAsia="幼圆" w:hAnsi="幼圆" w:cs="幼圆" w:hint="eastAsia"/>
          <w:sz w:val="24"/>
          <w:szCs w:val="24"/>
        </w:rPr>
        <w:t>）认为不少企业在宽松的财政与货币政策背景下形成了较大的经济泡沫，累积的债务风险将随着经济下行压力逐渐暴露。王庆华</w:t>
      </w:r>
      <w:r>
        <w:rPr>
          <w:rFonts w:ascii="幼圆" w:eastAsia="幼圆" w:hAnsi="幼圆" w:cs="幼圆" w:hint="eastAsia"/>
          <w:sz w:val="24"/>
          <w:szCs w:val="24"/>
        </w:rPr>
        <w:t>（2018）</w:t>
      </w:r>
      <w:r>
        <w:rPr>
          <w:rFonts w:ascii="幼圆" w:eastAsia="幼圆" w:hAnsi="幼圆" w:cs="幼圆" w:hint="eastAsia"/>
          <w:sz w:val="24"/>
          <w:szCs w:val="24"/>
        </w:rPr>
        <w:t>认为公司的资产负债表、现金流收入将会因去杠杆融资环境的严峻面临更大的压力，在某种程度上造成违约。</w:t>
      </w:r>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刘斌红</w:t>
      </w:r>
      <w:r>
        <w:rPr>
          <w:rFonts w:ascii="幼圆" w:eastAsia="幼圆" w:hAnsi="幼圆" w:cs="幼圆" w:hint="eastAsia"/>
          <w:sz w:val="24"/>
          <w:szCs w:val="24"/>
        </w:rPr>
        <w:t>（2008）</w:t>
      </w:r>
      <w:r>
        <w:rPr>
          <w:rFonts w:ascii="幼圆" w:eastAsia="幼圆" w:hAnsi="幼圆" w:cs="幼圆" w:hint="eastAsia"/>
          <w:sz w:val="24"/>
          <w:szCs w:val="24"/>
        </w:rPr>
        <w:t>认为，公司的现金流量状况很大程度上决定了债务违约风险和破产风险。公司债务违约概率随着现金流量波动性的降低而降低。张靖，肖翔和李晓月</w:t>
      </w:r>
      <w:r>
        <w:rPr>
          <w:rFonts w:ascii="幼圆" w:eastAsia="幼圆" w:hAnsi="幼圆" w:cs="幼圆" w:hint="eastAsia"/>
          <w:sz w:val="24"/>
          <w:szCs w:val="24"/>
        </w:rPr>
        <w:t>（2018）</w:t>
      </w:r>
      <w:r>
        <w:rPr>
          <w:rFonts w:ascii="幼圆" w:eastAsia="幼圆" w:hAnsi="幼圆" w:cs="幼圆" w:hint="eastAsia"/>
          <w:sz w:val="24"/>
          <w:szCs w:val="24"/>
        </w:rPr>
        <w:t>认为环境不确定性会增加企业债务违约的概率。包刚（2</w:t>
      </w:r>
      <w:r>
        <w:rPr>
          <w:rFonts w:ascii="幼圆" w:eastAsia="幼圆" w:hAnsi="幼圆" w:cs="幼圆" w:hint="eastAsia"/>
          <w:sz w:val="24"/>
          <w:szCs w:val="24"/>
        </w:rPr>
        <w:t>018</w:t>
      </w:r>
      <w:r>
        <w:rPr>
          <w:rFonts w:ascii="幼圆" w:eastAsia="幼圆" w:hAnsi="幼圆" w:cs="幼圆" w:hint="eastAsia"/>
          <w:sz w:val="24"/>
          <w:szCs w:val="24"/>
        </w:rPr>
        <w:t>）认为企业保持竞争优势的主要手段是研发和创新，企业发生债务违约很大程度上是由于内控机制质量不高。常凯文和田晓林（2</w:t>
      </w:r>
      <w:r>
        <w:rPr>
          <w:rFonts w:ascii="幼圆" w:eastAsia="幼圆" w:hAnsi="幼圆" w:cs="幼圆" w:hint="eastAsia"/>
          <w:sz w:val="24"/>
          <w:szCs w:val="24"/>
        </w:rPr>
        <w:t>019</w:t>
      </w:r>
      <w:r>
        <w:rPr>
          <w:rFonts w:ascii="幼圆" w:eastAsia="幼圆" w:hAnsi="幼圆" w:cs="幼圆" w:hint="eastAsia"/>
          <w:sz w:val="24"/>
          <w:szCs w:val="24"/>
        </w:rPr>
        <w:t>）认为企业应该打破对国家政策的过度依赖，更多关注企业自身经营风险和负债水平。切勿在经济繁荣时期盲目扩张，应制定符合自身发展的战略规划。周德利（2</w:t>
      </w:r>
      <w:r>
        <w:rPr>
          <w:rFonts w:ascii="幼圆" w:eastAsia="幼圆" w:hAnsi="幼圆" w:cs="幼圆" w:hint="eastAsia"/>
          <w:sz w:val="24"/>
          <w:szCs w:val="24"/>
        </w:rPr>
        <w:t>015</w:t>
      </w:r>
      <w:r>
        <w:rPr>
          <w:rFonts w:ascii="幼圆" w:eastAsia="幼圆" w:hAnsi="幼圆" w:cs="幼圆" w:hint="eastAsia"/>
          <w:sz w:val="24"/>
          <w:szCs w:val="24"/>
        </w:rPr>
        <w:t>）发现违约企业大都财务状况差，亏损严重，且被出具非标审计报告。</w:t>
      </w:r>
    </w:p>
    <w:p>
      <w:pPr>
        <w:pStyle w:val="Heading1"/>
        <w:rPr>
          <w:rFonts w:ascii="幼圆" w:eastAsia="幼圆" w:hAnsi="幼圆" w:cs="幼圆" w:hint="eastAsia"/>
        </w:rPr>
      </w:pPr>
      <w:bookmarkStart w:id="16" w:name="_Toc69375033"/>
      <w:r>
        <w:rPr>
          <w:rFonts w:ascii="幼圆" w:eastAsia="幼圆" w:hAnsi="幼圆" w:cs="幼圆" w:hint="eastAsia"/>
        </w:rPr>
        <w:t>3</w:t>
      </w:r>
      <w:r>
        <w:rPr>
          <w:rFonts w:ascii="幼圆" w:eastAsia="幼圆" w:hAnsi="幼圆" w:cs="幼圆" w:hint="eastAsia"/>
        </w:rPr>
        <w:t>贵人鸟</w:t>
      </w:r>
      <w:r>
        <w:rPr>
          <w:rFonts w:ascii="幼圆" w:eastAsia="幼圆" w:hAnsi="幼圆" w:cs="幼圆" w:hint="eastAsia"/>
        </w:rPr>
        <w:t>债务违约案例介绍</w:t>
      </w:r>
      <w:bookmarkEnd w:id="16"/>
    </w:p>
    <w:p>
      <w:pPr>
        <w:pStyle w:val="Heading2"/>
        <w:rPr>
          <w:rFonts w:ascii="幼圆" w:eastAsia="幼圆" w:hAnsi="幼圆" w:cs="幼圆" w:hint="eastAsia"/>
        </w:rPr>
        <w:sectPr>
          <w:footerReference w:type="default" r:id="rId10"/>
          <w:type w:val="nextPage"/>
          <w:pgSz w:w="11906" w:h="16838"/>
          <w:pgMar w:top="1701" w:right="1418" w:bottom="1701" w:left="1418" w:header="1247" w:footer="1247" w:gutter="0"/>
          <w:pgNumType w:start="5"/>
          <w:cols w:num="1" w:space="425"/>
          <w:titlePg w:val="0"/>
          <w:docGrid w:type="linesAndChars" w:linePitch="312" w:charSpace="0"/>
        </w:sectPr>
      </w:pPr>
      <w:bookmarkStart w:id="17" w:name="_Toc69375034"/>
      <w:r>
        <w:rPr>
          <w:rFonts w:ascii="幼圆" w:eastAsia="幼圆" w:hAnsi="幼圆" w:cs="幼圆" w:hint="eastAsia"/>
        </w:rPr>
        <w:t xml:space="preserve">3.1 </w:t>
      </w:r>
      <w:r>
        <w:rPr>
          <w:rFonts w:ascii="幼圆" w:eastAsia="幼圆" w:hAnsi="幼圆" w:cs="幼圆" w:hint="eastAsia"/>
        </w:rPr>
        <w:t>贵人鸟</w:t>
      </w:r>
      <w:r>
        <w:rPr>
          <w:rFonts w:ascii="幼圆" w:eastAsia="幼圆" w:hAnsi="幼圆" w:cs="幼圆" w:hint="eastAsia"/>
        </w:rPr>
        <w:t>基本情况</w:t>
      </w:r>
      <w:bookmarkEnd w:id="17"/>
    </w:p>
    <w:p>
      <w:pPr>
        <w:pStyle w:val="Heading3"/>
        <w:rPr>
          <w:rFonts w:ascii="幼圆" w:eastAsia="幼圆" w:hAnsi="幼圆" w:cs="幼圆" w:hint="eastAsia"/>
          <w:b/>
          <w:bCs/>
        </w:rPr>
      </w:pPr>
      <w:bookmarkStart w:id="18" w:name="_Toc69375035"/>
      <w:r>
        <w:rPr>
          <w:rFonts w:ascii="幼圆" w:eastAsia="幼圆" w:hAnsi="幼圆" w:cs="幼圆" w:hint="eastAsia"/>
        </w:rPr>
        <w:t xml:space="preserve">3.1.1 </w:t>
      </w:r>
      <w:r>
        <w:rPr>
          <w:rFonts w:ascii="幼圆" w:eastAsia="幼圆" w:hAnsi="幼圆" w:cs="幼圆" w:hint="eastAsia"/>
        </w:rPr>
        <w:t>历史沿革</w:t>
      </w:r>
      <w:bookmarkEnd w:id="18"/>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2004年7月13日，</w:t>
      </w:r>
      <w:r>
        <w:rPr>
          <w:rFonts w:ascii="幼圆" w:eastAsia="幼圆" w:hAnsi="幼圆" w:cs="幼圆" w:hint="eastAsia"/>
          <w:sz w:val="24"/>
          <w:szCs w:val="24"/>
        </w:rPr>
        <w:t>成立了</w:t>
      </w:r>
      <w:r>
        <w:rPr>
          <w:rFonts w:ascii="幼圆" w:eastAsia="幼圆" w:hAnsi="幼圆" w:cs="幼圆" w:hint="eastAsia"/>
          <w:sz w:val="24"/>
          <w:szCs w:val="24"/>
        </w:rPr>
        <w:t>贵人鸟股份有限公司。</w:t>
      </w:r>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2014年，贵人鸟成为“A股体育品牌第一股”</w:t>
      </w:r>
      <w:r>
        <w:rPr>
          <w:rFonts w:ascii="幼圆" w:eastAsia="幼圆" w:hAnsi="幼圆" w:cs="幼圆" w:hint="eastAsia"/>
          <w:sz w:val="24"/>
          <w:szCs w:val="24"/>
        </w:rPr>
        <w:t>，成功登陆资本市场。</w:t>
      </w:r>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2015年，贵人鸟的总市值最高曾超过400亿元，董事长林天福也以190亿元的身家首次摘得“泉州首富”</w:t>
      </w:r>
      <w:r>
        <w:rPr>
          <w:rFonts w:ascii="幼圆" w:eastAsia="幼圆" w:hAnsi="幼圆" w:cs="幼圆" w:hint="eastAsia"/>
          <w:sz w:val="24"/>
          <w:szCs w:val="24"/>
        </w:rPr>
        <w:t>。</w:t>
      </w:r>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2</w:t>
      </w:r>
      <w:r>
        <w:rPr>
          <w:rFonts w:ascii="幼圆" w:eastAsia="幼圆" w:hAnsi="幼圆" w:cs="幼圆" w:hint="eastAsia"/>
          <w:sz w:val="24"/>
          <w:szCs w:val="24"/>
        </w:rPr>
        <w:t>018</w:t>
      </w:r>
      <w:r>
        <w:rPr>
          <w:rFonts w:ascii="幼圆" w:eastAsia="幼圆" w:hAnsi="幼圆" w:cs="幼圆" w:hint="eastAsia"/>
          <w:sz w:val="24"/>
          <w:szCs w:val="24"/>
        </w:rPr>
        <w:t>年经营业绩首次出现亏损。</w:t>
      </w:r>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2019年</w:t>
      </w:r>
      <w:r>
        <w:rPr>
          <w:rFonts w:ascii="幼圆" w:eastAsia="幼圆" w:hAnsi="幼圆" w:cs="幼圆" w:hint="eastAsia"/>
          <w:sz w:val="24"/>
          <w:szCs w:val="24"/>
        </w:rPr>
        <w:t>财务报表</w:t>
      </w:r>
      <w:r>
        <w:rPr>
          <w:rFonts w:ascii="幼圆" w:eastAsia="幼圆" w:hAnsi="幼圆" w:cs="幼圆" w:hint="eastAsia"/>
          <w:sz w:val="24"/>
          <w:szCs w:val="24"/>
        </w:rPr>
        <w:t>显示，贵人鸟营业收入同比下滑43.77%</w:t>
      </w:r>
      <w:r>
        <w:rPr>
          <w:rFonts w:ascii="幼圆" w:eastAsia="幼圆" w:hAnsi="幼圆" w:cs="幼圆" w:hint="eastAsia"/>
          <w:sz w:val="24"/>
          <w:szCs w:val="24"/>
        </w:rPr>
        <w:t>，为1</w:t>
      </w:r>
      <w:r>
        <w:rPr>
          <w:rFonts w:ascii="幼圆" w:eastAsia="幼圆" w:hAnsi="幼圆" w:cs="幼圆" w:hint="eastAsia"/>
          <w:sz w:val="24"/>
          <w:szCs w:val="24"/>
        </w:rPr>
        <w:t>5.81</w:t>
      </w:r>
      <w:r>
        <w:rPr>
          <w:rFonts w:ascii="幼圆" w:eastAsia="幼圆" w:hAnsi="幼圆" w:cs="幼圆" w:hint="eastAsia"/>
          <w:sz w:val="24"/>
          <w:szCs w:val="24"/>
        </w:rPr>
        <w:t>亿，</w:t>
      </w:r>
      <w:r>
        <w:rPr>
          <w:rFonts w:ascii="幼圆" w:eastAsia="幼圆" w:hAnsi="幼圆" w:cs="幼圆" w:hint="eastAsia"/>
          <w:sz w:val="24"/>
          <w:szCs w:val="24"/>
        </w:rPr>
        <w:t>净利润</w:t>
      </w:r>
      <w:r>
        <w:rPr>
          <w:rFonts w:ascii="幼圆" w:eastAsia="幼圆" w:hAnsi="幼圆" w:cs="幼圆" w:hint="eastAsia"/>
          <w:sz w:val="24"/>
          <w:szCs w:val="24"/>
        </w:rPr>
        <w:t>-</w:t>
      </w:r>
      <w:r>
        <w:rPr>
          <w:rFonts w:ascii="幼圆" w:eastAsia="幼圆" w:hAnsi="幼圆" w:cs="幼圆" w:hint="eastAsia"/>
          <w:sz w:val="24"/>
          <w:szCs w:val="24"/>
        </w:rPr>
        <w:t>10.18亿</w:t>
      </w:r>
      <w:r>
        <w:rPr>
          <w:rFonts w:ascii="幼圆" w:eastAsia="幼圆" w:hAnsi="幼圆" w:cs="幼圆" w:hint="eastAsia"/>
          <w:sz w:val="24"/>
          <w:szCs w:val="24"/>
        </w:rPr>
        <w:t>，首次出现债券违约。</w:t>
      </w:r>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2020年4月30日，因贵人鸟</w:t>
      </w:r>
      <w:r>
        <w:rPr>
          <w:rFonts w:ascii="幼圆" w:eastAsia="幼圆" w:hAnsi="幼圆" w:cs="幼圆" w:hint="eastAsia"/>
          <w:sz w:val="24"/>
          <w:szCs w:val="24"/>
        </w:rPr>
        <w:t>前两年的</w:t>
      </w:r>
      <w:r>
        <w:rPr>
          <w:rFonts w:ascii="幼圆" w:eastAsia="幼圆" w:hAnsi="幼圆" w:cs="幼圆" w:hint="eastAsia"/>
          <w:sz w:val="24"/>
          <w:szCs w:val="24"/>
        </w:rPr>
        <w:t>净利润均为负值，公司股票停牌1天。</w:t>
      </w:r>
      <w:r>
        <w:rPr>
          <w:rFonts w:ascii="幼圆" w:eastAsia="幼圆" w:hAnsi="幼圆" w:cs="幼圆" w:hint="eastAsia"/>
          <w:sz w:val="24"/>
          <w:szCs w:val="24"/>
        </w:rPr>
        <w:t>2</w:t>
      </w:r>
      <w:r>
        <w:rPr>
          <w:rFonts w:ascii="幼圆" w:eastAsia="幼圆" w:hAnsi="幼圆" w:cs="幼圆" w:hint="eastAsia"/>
          <w:sz w:val="24"/>
          <w:szCs w:val="24"/>
        </w:rPr>
        <w:t>020</w:t>
      </w:r>
      <w:r>
        <w:rPr>
          <w:rFonts w:ascii="幼圆" w:eastAsia="幼圆" w:hAnsi="幼圆" w:cs="幼圆" w:hint="eastAsia"/>
          <w:sz w:val="24"/>
          <w:szCs w:val="24"/>
        </w:rPr>
        <w:t>年5月出现银行贷款违约。</w:t>
      </w:r>
      <w:r>
        <w:rPr>
          <w:rFonts w:ascii="幼圆" w:eastAsia="幼圆" w:hAnsi="幼圆" w:cs="幼圆" w:hint="eastAsia"/>
          <w:sz w:val="24"/>
          <w:szCs w:val="24"/>
        </w:rPr>
        <w:t>2020年5月6日，实施退市风险警示。</w:t>
      </w:r>
    </w:p>
    <w:p>
      <w:pPr>
        <w:pStyle w:val="Heading3"/>
        <w:rPr>
          <w:rFonts w:ascii="幼圆" w:eastAsia="幼圆" w:hAnsi="幼圆" w:cs="幼圆" w:hint="eastAsia"/>
        </w:rPr>
      </w:pPr>
      <w:bookmarkStart w:id="19" w:name="_Toc69375036"/>
      <w:r>
        <w:rPr>
          <w:rFonts w:ascii="幼圆" w:eastAsia="幼圆" w:hAnsi="幼圆" w:cs="幼圆" w:hint="eastAsia"/>
        </w:rPr>
        <w:t xml:space="preserve">3.1.2 </w:t>
      </w:r>
      <w:r>
        <w:rPr>
          <w:rFonts w:ascii="幼圆" w:eastAsia="幼圆" w:hAnsi="幼圆" w:cs="幼圆" w:hint="eastAsia"/>
        </w:rPr>
        <w:t>经营概况</w:t>
      </w:r>
      <w:bookmarkEnd w:id="19"/>
    </w:p>
    <w:p>
      <w:pPr>
        <w:spacing w:line="300" w:lineRule="auto"/>
        <w:ind w:firstLine="480" w:firstLineChars="200"/>
        <w:rPr>
          <w:rFonts w:ascii="幼圆" w:eastAsia="幼圆" w:hAnsi="幼圆" w:cs="幼圆" w:hint="eastAsia"/>
          <w:sz w:val="24"/>
          <w:szCs w:val="24"/>
        </w:rPr>
      </w:pPr>
      <w:r>
        <w:rPr>
          <w:rFonts w:ascii="幼圆" w:eastAsia="幼圆" w:hAnsi="幼圆" w:cs="幼圆" w:hint="eastAsia"/>
          <w:sz w:val="24"/>
          <w:szCs w:val="24"/>
        </w:rPr>
        <w:t>贵人鸟公司的主要商标为“贵人鸟”，是中国著名的运动鞋服品牌企业，主要产品为运动鞋装以及配饰，有“专业运动”和“运动休闲”两大系列，面向大众消费市场，用于消费者进行体育活动、休闲生活的场合穿着。公司运动鞋产品终端市场吊牌价多集中于</w:t>
      </w:r>
      <w:r>
        <w:rPr>
          <w:rFonts w:ascii="幼圆" w:eastAsia="幼圆" w:hAnsi="幼圆" w:cs="幼圆" w:hint="eastAsia"/>
          <w:sz w:val="24"/>
          <w:szCs w:val="24"/>
        </w:rPr>
        <w:t>200-400 元/双</w:t>
      </w:r>
      <w:r>
        <w:rPr>
          <w:rFonts w:ascii="幼圆" w:eastAsia="幼圆" w:hAnsi="幼圆" w:cs="幼圆" w:hint="eastAsia"/>
          <w:sz w:val="24"/>
          <w:szCs w:val="24"/>
        </w:rPr>
        <w:t>，主要面向</w:t>
      </w:r>
      <w:r>
        <w:rPr>
          <w:rFonts w:ascii="幼圆" w:eastAsia="幼圆" w:hAnsi="幼圆" w:cs="幼圆" w:hint="eastAsia"/>
          <w:sz w:val="24"/>
          <w:szCs w:val="24"/>
        </w:rPr>
        <w:t>三四线及以下城市居民</w:t>
      </w:r>
      <w:r>
        <w:rPr>
          <w:rFonts w:ascii="幼圆" w:eastAsia="幼圆" w:hAnsi="幼圆" w:cs="幼圆" w:hint="eastAsia"/>
          <w:sz w:val="24"/>
          <w:szCs w:val="24"/>
        </w:rPr>
        <w:t>，因其</w:t>
      </w:r>
      <w:r>
        <w:rPr>
          <w:rFonts w:ascii="幼圆" w:eastAsia="幼圆" w:hAnsi="幼圆" w:cs="幼圆" w:hint="eastAsia"/>
          <w:sz w:val="24"/>
          <w:szCs w:val="24"/>
        </w:rPr>
        <w:t>平均收入</w:t>
      </w:r>
      <w:r>
        <w:rPr>
          <w:rFonts w:ascii="幼圆" w:eastAsia="幼圆" w:hAnsi="幼圆" w:cs="幼圆" w:hint="eastAsia"/>
          <w:sz w:val="24"/>
          <w:szCs w:val="24"/>
        </w:rPr>
        <w:t>较一二线城市居民偏</w:t>
      </w:r>
      <w:r>
        <w:rPr>
          <w:rFonts w:ascii="幼圆" w:eastAsia="幼圆" w:hAnsi="幼圆" w:cs="幼圆" w:hint="eastAsia"/>
          <w:sz w:val="24"/>
          <w:szCs w:val="24"/>
        </w:rPr>
        <w:t>低</w:t>
      </w:r>
      <w:r>
        <w:rPr>
          <w:rFonts w:ascii="幼圆" w:eastAsia="幼圆" w:hAnsi="幼圆" w:cs="幼圆" w:hint="eastAsia"/>
          <w:sz w:val="24"/>
          <w:szCs w:val="24"/>
        </w:rPr>
        <w:t>，有较高的价格敏感度，所以对贵人鸟公司的高质量低价格产品较为青睐。</w:t>
      </w:r>
    </w:p>
    <w:p>
      <w:pPr>
        <w:spacing w:line="300" w:lineRule="auto"/>
        <w:jc w:val="center"/>
        <w:rPr>
          <w:rFonts w:ascii="幼圆" w:eastAsia="幼圆" w:hAnsi="幼圆" w:cs="幼圆" w:hint="eastAsia"/>
          <w:sz w:val="24"/>
          <w:szCs w:val="24"/>
        </w:rPr>
      </w:pPr>
      <w:r>
        <w:rPr>
          <w:rFonts w:ascii="幼圆" w:eastAsia="幼圆" w:hAnsi="幼圆" w:cs="幼圆" w:hint="eastAsia"/>
          <w:sz w:val="24"/>
          <w:szCs w:val="24"/>
        </w:rPr>
        <w:drawing>
          <wp:inline distT="0" distB="0" distL="0" distR="0">
            <wp:extent cx="4319905" cy="2159635"/>
            <wp:effectExtent l="0" t="0" r="4445" b="1206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a1"/>
        <w:rPr>
          <w:rFonts w:ascii="幼圆" w:eastAsia="幼圆" w:hAnsi="幼圆" w:cs="幼圆" w:hint="eastAsia"/>
        </w:rPr>
      </w:pPr>
      <w:r>
        <w:rPr>
          <w:rFonts w:ascii="幼圆" w:eastAsia="幼圆" w:hAnsi="幼圆" w:cs="幼圆" w:hint="eastAsia"/>
        </w:rPr>
        <w:t>图3</w:t>
      </w:r>
      <w:r>
        <w:rPr>
          <w:rFonts w:ascii="幼圆" w:eastAsia="幼圆" w:hAnsi="幼圆" w:cs="幼圆" w:hint="eastAsia"/>
        </w:rPr>
        <w:t xml:space="preserve">-1  </w:t>
      </w:r>
      <w:r>
        <w:rPr>
          <w:rFonts w:ascii="幼圆" w:eastAsia="幼圆" w:hAnsi="幼圆" w:cs="幼圆" w:hint="eastAsia"/>
        </w:rPr>
        <w:t>贵人鸟2</w:t>
      </w:r>
      <w:r>
        <w:rPr>
          <w:rFonts w:ascii="幼圆" w:eastAsia="幼圆" w:hAnsi="幼圆" w:cs="幼圆" w:hint="eastAsia"/>
        </w:rPr>
        <w:t>015——2019</w:t>
      </w:r>
      <w:r>
        <w:rPr>
          <w:rFonts w:ascii="幼圆" w:eastAsia="幼圆" w:hAnsi="幼圆" w:cs="幼圆" w:hint="eastAsia"/>
        </w:rPr>
        <w:t>年收入状况</w:t>
      </w:r>
    </w:p>
    <w:p>
      <w:pPr>
        <w:pStyle w:val="10"/>
        <w:rPr>
          <w:rFonts w:ascii="幼圆" w:eastAsia="幼圆" w:hAnsi="幼圆" w:cs="幼圆" w:hint="eastAsia"/>
        </w:rPr>
      </w:pPr>
      <w:r>
        <w:rPr>
          <w:rFonts w:ascii="幼圆" w:eastAsia="幼圆" w:hAnsi="幼圆" w:cs="幼圆" w:hint="eastAsia"/>
        </w:rPr>
        <w:t>由图3</w:t>
      </w:r>
      <w:r>
        <w:rPr>
          <w:rFonts w:ascii="幼圆" w:eastAsia="幼圆" w:hAnsi="幼圆" w:cs="幼圆" w:hint="eastAsia"/>
        </w:rPr>
        <w:t>-1</w:t>
      </w:r>
      <w:r>
        <w:rPr>
          <w:rFonts w:ascii="幼圆" w:eastAsia="幼圆" w:hAnsi="幼圆" w:cs="幼圆" w:hint="eastAsia"/>
        </w:rPr>
        <w:t>可以看出，贵人鸟的主营业务收入呈现先上升后下降的趋势，在2</w:t>
      </w:r>
      <w:r>
        <w:rPr>
          <w:rFonts w:ascii="幼圆" w:eastAsia="幼圆" w:hAnsi="幼圆" w:cs="幼圆" w:hint="eastAsia"/>
        </w:rPr>
        <w:t>017</w:t>
      </w:r>
      <w:r>
        <w:rPr>
          <w:rFonts w:ascii="幼圆" w:eastAsia="幼圆" w:hAnsi="幼圆" w:cs="幼圆" w:hint="eastAsia"/>
        </w:rPr>
        <w:t>年主营业务收入达到最高水平。2</w:t>
      </w:r>
      <w:r>
        <w:rPr>
          <w:rFonts w:ascii="幼圆" w:eastAsia="幼圆" w:hAnsi="幼圆" w:cs="幼圆" w:hint="eastAsia"/>
        </w:rPr>
        <w:t>018</w:t>
      </w:r>
      <w:r>
        <w:rPr>
          <w:rFonts w:ascii="幼圆" w:eastAsia="幼圆" w:hAnsi="幼圆" w:cs="幼圆" w:hint="eastAsia"/>
        </w:rPr>
        <w:t>年和2</w:t>
      </w:r>
      <w:r>
        <w:rPr>
          <w:rFonts w:ascii="幼圆" w:eastAsia="幼圆" w:hAnsi="幼圆" w:cs="幼圆" w:hint="eastAsia"/>
        </w:rPr>
        <w:t>019</w:t>
      </w:r>
      <w:r>
        <w:rPr>
          <w:rFonts w:ascii="幼圆" w:eastAsia="幼圆" w:hAnsi="幼圆" w:cs="幼圆" w:hint="eastAsia"/>
        </w:rPr>
        <w:t>年主营业务收入下降的原因是因为公司战略性扩张决策，而2</w:t>
      </w:r>
      <w:r>
        <w:rPr>
          <w:rFonts w:ascii="幼圆" w:eastAsia="幼圆" w:hAnsi="幼圆" w:cs="幼圆" w:hint="eastAsia"/>
        </w:rPr>
        <w:t>019</w:t>
      </w:r>
      <w:r>
        <w:rPr>
          <w:rFonts w:ascii="幼圆" w:eastAsia="幼圆" w:hAnsi="幼圆" w:cs="幼圆" w:hint="eastAsia"/>
        </w:rPr>
        <w:t>年公司出现债务违约，从而影响到营业收入，使其大幅下降，公司经营更加困难，陷入债务危机。</w:t>
      </w:r>
    </w:p>
    <w:p>
      <w:pPr>
        <w:pStyle w:val="Heading3"/>
        <w:rPr>
          <w:rFonts w:ascii="幼圆" w:eastAsia="幼圆" w:hAnsi="幼圆" w:cs="幼圆" w:hint="eastAsia"/>
        </w:rPr>
      </w:pPr>
      <w:bookmarkStart w:id="20" w:name="_Toc69375037"/>
      <w:r>
        <w:rPr>
          <w:rFonts w:ascii="幼圆" w:eastAsia="幼圆" w:hAnsi="幼圆" w:cs="幼圆" w:hint="eastAsia"/>
        </w:rPr>
        <w:t xml:space="preserve">3.1.3 </w:t>
      </w:r>
      <w:r>
        <w:rPr>
          <w:rFonts w:ascii="幼圆" w:eastAsia="幼圆" w:hAnsi="幼圆" w:cs="幼圆" w:hint="eastAsia"/>
        </w:rPr>
        <w:t>股权结构</w:t>
      </w:r>
      <w:bookmarkEnd w:id="20"/>
    </w:p>
    <w:p>
      <w:pPr>
        <w:pStyle w:val="10"/>
        <w:rPr>
          <w:rFonts w:ascii="幼圆" w:eastAsia="幼圆" w:hAnsi="幼圆" w:cs="幼圆" w:hint="eastAsia"/>
        </w:rPr>
        <w:sectPr>
          <w:footerReference w:type="default" r:id="rId12"/>
          <w:type w:val="nextPage"/>
          <w:pgSz w:w="11906" w:h="16838"/>
          <w:pgMar w:top="1701" w:right="1418" w:bottom="1701" w:left="1418" w:header="1247" w:footer="1247" w:gutter="0"/>
          <w:pgNumType w:start="6"/>
          <w:cols w:num="1" w:space="425"/>
          <w:titlePg w:val="0"/>
          <w:docGrid w:type="linesAndChars" w:linePitch="312" w:charSpace="0"/>
        </w:sectPr>
      </w:pPr>
      <w:r>
        <w:rPr>
          <w:rFonts w:ascii="幼圆" w:eastAsia="幼圆" w:hAnsi="幼圆" w:cs="幼圆" w:hint="eastAsia"/>
        </w:rPr>
        <w:t>截止至</w:t>
      </w:r>
      <w:r>
        <w:rPr>
          <w:rFonts w:ascii="幼圆" w:eastAsia="幼圆" w:hAnsi="幼圆" w:cs="幼圆" w:hint="eastAsia"/>
        </w:rPr>
        <w:t>2019</w:t>
      </w:r>
      <w:r>
        <w:rPr>
          <w:rFonts w:ascii="幼圆" w:eastAsia="幼圆" w:hAnsi="幼圆" w:cs="幼圆" w:hint="eastAsia"/>
        </w:rPr>
        <w:t>年</w:t>
      </w:r>
      <w:r>
        <w:rPr>
          <w:rFonts w:ascii="幼圆" w:eastAsia="幼圆" w:hAnsi="幼圆" w:cs="幼圆" w:hint="eastAsia"/>
        </w:rPr>
        <w:t>12</w:t>
      </w:r>
      <w:r>
        <w:rPr>
          <w:rFonts w:ascii="幼圆" w:eastAsia="幼圆" w:hAnsi="幼圆" w:cs="幼圆" w:hint="eastAsia"/>
        </w:rPr>
        <w:t>月</w:t>
      </w:r>
      <w:r>
        <w:rPr>
          <w:rFonts w:ascii="幼圆" w:eastAsia="幼圆" w:hAnsi="幼圆" w:cs="幼圆" w:hint="eastAsia"/>
        </w:rPr>
        <w:t>31</w:t>
      </w:r>
    </w:p>
    <w:p>
      <w:pPr>
        <w:pStyle w:val="10"/>
        <w:rPr>
          <w:rFonts w:ascii="幼圆" w:eastAsia="幼圆" w:hAnsi="幼圆" w:cs="幼圆" w:hint="eastAsia"/>
        </w:rPr>
      </w:pPr>
      <w:r>
        <w:rPr>
          <w:rFonts w:ascii="幼圆" w:eastAsia="幼圆" w:hAnsi="幼圆" w:cs="幼圆" w:hint="eastAsia"/>
        </w:rPr>
        <w:t>日，贵人鸟股份有限公司有十大股东，六大高管。公司董事会由六名成员组成，其中独立董事三名。监事会由三名成员组成，其中职工监事一名。表</w:t>
      </w:r>
      <w:r>
        <w:rPr>
          <w:rFonts w:ascii="幼圆" w:eastAsia="幼圆" w:hAnsi="幼圆" w:cs="幼圆" w:hint="eastAsia"/>
        </w:rPr>
        <w:t>3-1、3-2、3-3</w:t>
      </w:r>
      <w:r>
        <w:rPr>
          <w:rFonts w:ascii="幼圆" w:eastAsia="幼圆" w:hAnsi="幼圆" w:cs="幼圆" w:hint="eastAsia"/>
        </w:rPr>
        <w:t>分别列举了持股</w:t>
      </w:r>
      <w:r>
        <w:rPr>
          <w:rFonts w:ascii="幼圆" w:eastAsia="幼圆" w:hAnsi="幼圆" w:cs="幼圆" w:hint="eastAsia"/>
        </w:rPr>
        <w:t>5%</w:t>
      </w:r>
      <w:r>
        <w:rPr>
          <w:rFonts w:ascii="幼圆" w:eastAsia="幼圆" w:hAnsi="幼圆" w:cs="幼圆" w:hint="eastAsia"/>
        </w:rPr>
        <w:t>以上或前十名股东持股情况，以及董事会、监事会构成情况。</w:t>
      </w:r>
    </w:p>
    <w:p>
      <w:pPr>
        <w:tabs>
          <w:tab w:val="center" w:pos="4253"/>
        </w:tabs>
        <w:ind w:firstLine="480" w:firstLineChars="200"/>
        <w:rPr>
          <w:rFonts w:ascii="幼圆" w:eastAsia="幼圆" w:hAnsi="幼圆" w:cs="幼圆" w:hint="eastAsia"/>
          <w:b/>
          <w:bCs/>
          <w:sz w:val="24"/>
          <w:szCs w:val="28"/>
        </w:rPr>
      </w:pPr>
      <w:r>
        <w:rPr>
          <w:rFonts w:ascii="幼圆" w:eastAsia="幼圆" w:hAnsi="幼圆" w:cs="幼圆" w:hint="eastAsia"/>
          <w:sz w:val="24"/>
          <w:szCs w:val="28"/>
        </w:rPr>
        <w:t>表3</w:t>
      </w:r>
      <w:r>
        <w:rPr>
          <w:rFonts w:ascii="幼圆" w:eastAsia="幼圆" w:hAnsi="幼圆" w:cs="幼圆" w:hint="eastAsia"/>
          <w:sz w:val="24"/>
          <w:szCs w:val="28"/>
        </w:rPr>
        <w:t>-</w:t>
      </w:r>
      <w:r>
        <w:rPr>
          <w:rFonts w:ascii="幼圆" w:eastAsia="幼圆" w:hAnsi="幼圆" w:cs="幼圆" w:hint="eastAsia"/>
          <w:sz w:val="24"/>
          <w:szCs w:val="28"/>
        </w:rPr>
        <w:t>1</w:t>
      </w:r>
      <w:r>
        <w:rPr>
          <w:rFonts w:ascii="幼圆" w:eastAsia="幼圆" w:hAnsi="幼圆" w:cs="幼圆" w:hint="eastAsia"/>
          <w:b/>
          <w:bCs/>
          <w:sz w:val="24"/>
          <w:szCs w:val="28"/>
        </w:rPr>
        <w:tab/>
      </w:r>
      <w:r>
        <w:rPr>
          <w:rFonts w:ascii="幼圆" w:eastAsia="幼圆" w:hAnsi="幼圆" w:cs="幼圆" w:hint="eastAsia"/>
          <w:b/>
          <w:bCs/>
          <w:sz w:val="24"/>
          <w:szCs w:val="28"/>
        </w:rPr>
        <w:t>持股</w:t>
      </w:r>
      <w:r>
        <w:rPr>
          <w:rFonts w:ascii="幼圆" w:eastAsia="幼圆" w:hAnsi="幼圆" w:cs="幼圆" w:hint="eastAsia"/>
          <w:b/>
          <w:bCs/>
          <w:sz w:val="24"/>
          <w:szCs w:val="28"/>
        </w:rPr>
        <w:t>5%以上或前十名股东持股情况</w:t>
      </w:r>
    </w:p>
    <w:tbl>
      <w:tblPr>
        <w:tblStyle w:val="TableNormal"/>
        <w:tblW w:w="8532" w:type="dxa"/>
        <w:tblInd w:w="0"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Pr>
      <w:tblGrid>
        <w:gridCol w:w="2972"/>
        <w:gridCol w:w="1843"/>
        <w:gridCol w:w="1109"/>
        <w:gridCol w:w="1304"/>
        <w:gridCol w:w="1304"/>
      </w:tblGrid>
      <w:tr>
        <w:tblPrEx>
          <w:tblW w:w="8532" w:type="dxa"/>
          <w:tblInd w:w="0"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PrEx>
        <w:trPr>
          <w:trHeight w:val="285"/>
        </w:trPr>
        <w:tc>
          <w:tcPr>
            <w:tcW w:w="297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股东名称</w:t>
            </w:r>
          </w:p>
        </w:tc>
        <w:tc>
          <w:tcPr>
            <w:tcW w:w="1843"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股东性质</w:t>
            </w:r>
          </w:p>
        </w:tc>
        <w:tc>
          <w:tcPr>
            <w:tcW w:w="110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持股比例（%）</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期末持股数（万股）</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股份状态</w:t>
            </w:r>
          </w:p>
        </w:tc>
      </w:tr>
      <w:tr>
        <w:tblPrEx>
          <w:tblW w:w="8532" w:type="dxa"/>
          <w:tblInd w:w="0" w:type="dxa"/>
          <w:tblCellMar>
            <w:top w:w="0" w:type="dxa"/>
            <w:left w:w="0" w:type="dxa"/>
            <w:bottom w:w="0" w:type="dxa"/>
            <w:right w:w="0" w:type="dxa"/>
          </w:tblCellMar>
        </w:tblPrEx>
        <w:trPr>
          <w:trHeight w:val="285"/>
        </w:trPr>
        <w:tc>
          <w:tcPr>
            <w:tcW w:w="2972" w:type="dxa"/>
            <w:vMerge w:val="restart"/>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贵人鸟集团（香港）有限公司</w:t>
            </w:r>
          </w:p>
        </w:tc>
        <w:tc>
          <w:tcPr>
            <w:tcW w:w="1843" w:type="dxa"/>
            <w:vMerge w:val="restart"/>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境外法人</w:t>
            </w:r>
          </w:p>
        </w:tc>
        <w:tc>
          <w:tcPr>
            <w:tcW w:w="1109" w:type="dxa"/>
            <w:vMerge w:val="restart"/>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76.22</w:t>
            </w:r>
          </w:p>
        </w:tc>
        <w:tc>
          <w:tcPr>
            <w:tcW w:w="1304" w:type="dxa"/>
            <w:vMerge w:val="restart"/>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479,115,000</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质押</w:t>
            </w:r>
          </w:p>
        </w:tc>
      </w:tr>
      <w:tr>
        <w:tblPrEx>
          <w:tblW w:w="8532" w:type="dxa"/>
          <w:tblInd w:w="0" w:type="dxa"/>
          <w:tblCellMar>
            <w:top w:w="0" w:type="dxa"/>
            <w:left w:w="0" w:type="dxa"/>
            <w:bottom w:w="0" w:type="dxa"/>
            <w:right w:w="0" w:type="dxa"/>
          </w:tblCellMar>
        </w:tblPrEx>
        <w:trPr>
          <w:trHeight w:val="285"/>
        </w:trPr>
        <w:tc>
          <w:tcPr>
            <w:tcW w:w="2972" w:type="dxa"/>
            <w:vMerge/>
            <w:vAlign w:val="center"/>
          </w:tcPr>
          <w:p>
            <w:pPr>
              <w:jc w:val="center"/>
              <w:rPr>
                <w:rFonts w:ascii="幼圆" w:eastAsia="幼圆" w:hAnsi="幼圆" w:cs="幼圆" w:hint="eastAsia"/>
                <w:szCs w:val="22"/>
              </w:rPr>
            </w:pPr>
          </w:p>
        </w:tc>
        <w:tc>
          <w:tcPr>
            <w:tcW w:w="1843" w:type="dxa"/>
            <w:vMerge/>
            <w:vAlign w:val="center"/>
          </w:tcPr>
          <w:p>
            <w:pPr>
              <w:jc w:val="center"/>
              <w:rPr>
                <w:rFonts w:ascii="幼圆" w:eastAsia="幼圆" w:hAnsi="幼圆" w:cs="幼圆" w:hint="eastAsia"/>
                <w:szCs w:val="22"/>
              </w:rPr>
            </w:pPr>
          </w:p>
        </w:tc>
        <w:tc>
          <w:tcPr>
            <w:tcW w:w="1109" w:type="dxa"/>
            <w:vMerge/>
            <w:vAlign w:val="center"/>
          </w:tcPr>
          <w:p>
            <w:pPr>
              <w:jc w:val="center"/>
              <w:rPr>
                <w:rFonts w:ascii="幼圆" w:eastAsia="幼圆" w:hAnsi="幼圆" w:cs="幼圆" w:hint="eastAsia"/>
                <w:szCs w:val="22"/>
              </w:rPr>
            </w:pPr>
          </w:p>
        </w:tc>
        <w:tc>
          <w:tcPr>
            <w:tcW w:w="1304" w:type="dxa"/>
            <w:vMerge/>
            <w:vAlign w:val="center"/>
          </w:tcPr>
          <w:p>
            <w:pPr>
              <w:jc w:val="center"/>
              <w:rPr>
                <w:rFonts w:ascii="幼圆" w:eastAsia="幼圆" w:hAnsi="幼圆" w:cs="幼圆" w:hint="eastAsia"/>
                <w:szCs w:val="22"/>
              </w:rPr>
            </w:pP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474,420,000</w:t>
            </w:r>
          </w:p>
        </w:tc>
      </w:tr>
      <w:tr>
        <w:tblPrEx>
          <w:tblW w:w="8532" w:type="dxa"/>
          <w:tblInd w:w="0" w:type="dxa"/>
          <w:tblCellMar>
            <w:top w:w="0" w:type="dxa"/>
            <w:left w:w="0" w:type="dxa"/>
            <w:bottom w:w="0" w:type="dxa"/>
            <w:right w:w="0" w:type="dxa"/>
          </w:tblCellMar>
        </w:tblPrEx>
        <w:trPr>
          <w:trHeight w:val="285"/>
        </w:trPr>
        <w:tc>
          <w:tcPr>
            <w:tcW w:w="2972" w:type="dxa"/>
            <w:vMerge/>
            <w:vAlign w:val="center"/>
          </w:tcPr>
          <w:p>
            <w:pPr>
              <w:jc w:val="center"/>
              <w:rPr>
                <w:rFonts w:ascii="幼圆" w:eastAsia="幼圆" w:hAnsi="幼圆" w:cs="幼圆" w:hint="eastAsia"/>
                <w:szCs w:val="22"/>
              </w:rPr>
            </w:pPr>
          </w:p>
        </w:tc>
        <w:tc>
          <w:tcPr>
            <w:tcW w:w="1843" w:type="dxa"/>
            <w:vMerge/>
            <w:vAlign w:val="center"/>
          </w:tcPr>
          <w:p>
            <w:pPr>
              <w:jc w:val="center"/>
              <w:rPr>
                <w:rFonts w:ascii="幼圆" w:eastAsia="幼圆" w:hAnsi="幼圆" w:cs="幼圆" w:hint="eastAsia"/>
                <w:szCs w:val="22"/>
              </w:rPr>
            </w:pPr>
          </w:p>
        </w:tc>
        <w:tc>
          <w:tcPr>
            <w:tcW w:w="1109" w:type="dxa"/>
            <w:vMerge/>
            <w:vAlign w:val="center"/>
          </w:tcPr>
          <w:p>
            <w:pPr>
              <w:jc w:val="center"/>
              <w:rPr>
                <w:rFonts w:ascii="幼圆" w:eastAsia="幼圆" w:hAnsi="幼圆" w:cs="幼圆" w:hint="eastAsia"/>
                <w:szCs w:val="22"/>
              </w:rPr>
            </w:pPr>
          </w:p>
        </w:tc>
        <w:tc>
          <w:tcPr>
            <w:tcW w:w="1304" w:type="dxa"/>
            <w:vMerge/>
            <w:vAlign w:val="center"/>
          </w:tcPr>
          <w:p>
            <w:pPr>
              <w:jc w:val="center"/>
              <w:rPr>
                <w:rFonts w:ascii="幼圆" w:eastAsia="幼圆" w:hAnsi="幼圆" w:cs="幼圆" w:hint="eastAsia"/>
                <w:szCs w:val="22"/>
              </w:rPr>
            </w:pP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冻结</w:t>
            </w:r>
          </w:p>
        </w:tc>
      </w:tr>
      <w:tr>
        <w:tblPrEx>
          <w:tblW w:w="8532" w:type="dxa"/>
          <w:tblInd w:w="0" w:type="dxa"/>
          <w:tblCellMar>
            <w:top w:w="0" w:type="dxa"/>
            <w:left w:w="0" w:type="dxa"/>
            <w:bottom w:w="0" w:type="dxa"/>
            <w:right w:w="0" w:type="dxa"/>
          </w:tblCellMar>
        </w:tblPrEx>
        <w:trPr>
          <w:trHeight w:val="285"/>
        </w:trPr>
        <w:tc>
          <w:tcPr>
            <w:tcW w:w="2972" w:type="dxa"/>
            <w:vMerge/>
            <w:vAlign w:val="center"/>
          </w:tcPr>
          <w:p>
            <w:pPr>
              <w:jc w:val="center"/>
              <w:rPr>
                <w:rFonts w:ascii="幼圆" w:eastAsia="幼圆" w:hAnsi="幼圆" w:cs="幼圆" w:hint="eastAsia"/>
                <w:szCs w:val="22"/>
              </w:rPr>
            </w:pPr>
          </w:p>
        </w:tc>
        <w:tc>
          <w:tcPr>
            <w:tcW w:w="1843" w:type="dxa"/>
            <w:vMerge/>
            <w:vAlign w:val="center"/>
          </w:tcPr>
          <w:p>
            <w:pPr>
              <w:jc w:val="center"/>
              <w:rPr>
                <w:rFonts w:ascii="幼圆" w:eastAsia="幼圆" w:hAnsi="幼圆" w:cs="幼圆" w:hint="eastAsia"/>
                <w:szCs w:val="22"/>
              </w:rPr>
            </w:pPr>
          </w:p>
        </w:tc>
        <w:tc>
          <w:tcPr>
            <w:tcW w:w="1109" w:type="dxa"/>
            <w:vMerge/>
            <w:vAlign w:val="center"/>
          </w:tcPr>
          <w:p>
            <w:pPr>
              <w:jc w:val="center"/>
              <w:rPr>
                <w:rFonts w:ascii="幼圆" w:eastAsia="幼圆" w:hAnsi="幼圆" w:cs="幼圆" w:hint="eastAsia"/>
                <w:szCs w:val="22"/>
              </w:rPr>
            </w:pPr>
          </w:p>
        </w:tc>
        <w:tc>
          <w:tcPr>
            <w:tcW w:w="1304" w:type="dxa"/>
            <w:vMerge/>
            <w:vAlign w:val="center"/>
          </w:tcPr>
          <w:p>
            <w:pPr>
              <w:jc w:val="center"/>
              <w:rPr>
                <w:rFonts w:ascii="幼圆" w:eastAsia="幼圆" w:hAnsi="幼圆" w:cs="幼圆" w:hint="eastAsia"/>
                <w:szCs w:val="22"/>
              </w:rPr>
            </w:pP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4,695,000</w:t>
            </w:r>
          </w:p>
        </w:tc>
      </w:tr>
      <w:tr>
        <w:tblPrEx>
          <w:tblW w:w="8532" w:type="dxa"/>
          <w:tblInd w:w="0" w:type="dxa"/>
          <w:tblCellMar>
            <w:top w:w="0" w:type="dxa"/>
            <w:left w:w="0" w:type="dxa"/>
            <w:bottom w:w="0" w:type="dxa"/>
            <w:right w:w="0" w:type="dxa"/>
          </w:tblCellMar>
        </w:tblPrEx>
        <w:trPr>
          <w:trHeight w:val="285"/>
        </w:trPr>
        <w:tc>
          <w:tcPr>
            <w:tcW w:w="297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中国证券金融股份有限公司</w:t>
            </w:r>
          </w:p>
        </w:tc>
        <w:tc>
          <w:tcPr>
            <w:tcW w:w="1843"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未知</w:t>
            </w:r>
          </w:p>
        </w:tc>
        <w:tc>
          <w:tcPr>
            <w:tcW w:w="110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2.8</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17,581,694</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未知</w:t>
            </w:r>
          </w:p>
        </w:tc>
      </w:tr>
      <w:tr>
        <w:tblPrEx>
          <w:tblW w:w="8532" w:type="dxa"/>
          <w:tblInd w:w="0" w:type="dxa"/>
          <w:tblCellMar>
            <w:top w:w="0" w:type="dxa"/>
            <w:left w:w="0" w:type="dxa"/>
            <w:bottom w:w="0" w:type="dxa"/>
            <w:right w:w="0" w:type="dxa"/>
          </w:tblCellMar>
        </w:tblPrEx>
        <w:trPr>
          <w:trHeight w:val="312"/>
        </w:trPr>
        <w:tc>
          <w:tcPr>
            <w:tcW w:w="2972" w:type="dxa"/>
            <w:vMerge w:val="restart"/>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厦门国际信托有限公司－贵人鸟1 号员工持股单一资金信托</w:t>
            </w:r>
          </w:p>
        </w:tc>
        <w:tc>
          <w:tcPr>
            <w:tcW w:w="1843" w:type="dxa"/>
            <w:vMerge w:val="restart"/>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未知</w:t>
            </w:r>
          </w:p>
        </w:tc>
        <w:tc>
          <w:tcPr>
            <w:tcW w:w="1109" w:type="dxa"/>
            <w:vMerge w:val="restart"/>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2.1</w:t>
            </w:r>
          </w:p>
        </w:tc>
        <w:tc>
          <w:tcPr>
            <w:tcW w:w="1304" w:type="dxa"/>
            <w:vMerge w:val="restart"/>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13,182,517</w:t>
            </w:r>
          </w:p>
        </w:tc>
        <w:tc>
          <w:tcPr>
            <w:tcW w:w="1304" w:type="dxa"/>
            <w:vMerge w:val="restart"/>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未知</w:t>
            </w:r>
          </w:p>
        </w:tc>
      </w:tr>
      <w:tr>
        <w:tblPrEx>
          <w:tblW w:w="8532" w:type="dxa"/>
          <w:tblInd w:w="0" w:type="dxa"/>
          <w:tblCellMar>
            <w:top w:w="0" w:type="dxa"/>
            <w:left w:w="0" w:type="dxa"/>
            <w:bottom w:w="0" w:type="dxa"/>
            <w:right w:w="0" w:type="dxa"/>
          </w:tblCellMar>
        </w:tblPrEx>
        <w:trPr>
          <w:trHeight w:val="312"/>
        </w:trPr>
        <w:tc>
          <w:tcPr>
            <w:tcW w:w="2972" w:type="dxa"/>
            <w:vMerge/>
            <w:vAlign w:val="center"/>
          </w:tcPr>
          <w:p>
            <w:pPr>
              <w:jc w:val="center"/>
              <w:rPr>
                <w:rFonts w:ascii="幼圆" w:eastAsia="幼圆" w:hAnsi="幼圆" w:cs="幼圆" w:hint="eastAsia"/>
                <w:szCs w:val="22"/>
              </w:rPr>
            </w:pPr>
          </w:p>
        </w:tc>
        <w:tc>
          <w:tcPr>
            <w:tcW w:w="1843" w:type="dxa"/>
            <w:vMerge/>
            <w:vAlign w:val="center"/>
          </w:tcPr>
          <w:p>
            <w:pPr>
              <w:jc w:val="center"/>
              <w:rPr>
                <w:rFonts w:ascii="幼圆" w:eastAsia="幼圆" w:hAnsi="幼圆" w:cs="幼圆" w:hint="eastAsia"/>
                <w:szCs w:val="22"/>
              </w:rPr>
            </w:pPr>
          </w:p>
        </w:tc>
        <w:tc>
          <w:tcPr>
            <w:tcW w:w="1109" w:type="dxa"/>
            <w:vMerge/>
            <w:vAlign w:val="center"/>
          </w:tcPr>
          <w:p>
            <w:pPr>
              <w:jc w:val="center"/>
              <w:rPr>
                <w:rFonts w:ascii="幼圆" w:eastAsia="幼圆" w:hAnsi="幼圆" w:cs="幼圆" w:hint="eastAsia"/>
                <w:szCs w:val="22"/>
              </w:rPr>
            </w:pPr>
          </w:p>
        </w:tc>
        <w:tc>
          <w:tcPr>
            <w:tcW w:w="1304" w:type="dxa"/>
            <w:vMerge/>
            <w:vAlign w:val="center"/>
          </w:tcPr>
          <w:p>
            <w:pPr>
              <w:jc w:val="center"/>
              <w:rPr>
                <w:rFonts w:ascii="幼圆" w:eastAsia="幼圆" w:hAnsi="幼圆" w:cs="幼圆" w:hint="eastAsia"/>
                <w:szCs w:val="22"/>
              </w:rPr>
            </w:pPr>
          </w:p>
        </w:tc>
        <w:tc>
          <w:tcPr>
            <w:tcW w:w="1304" w:type="dxa"/>
            <w:vMerge/>
            <w:vAlign w:val="center"/>
          </w:tcPr>
          <w:p>
            <w:pPr>
              <w:jc w:val="center"/>
              <w:rPr>
                <w:rFonts w:ascii="幼圆" w:eastAsia="幼圆" w:hAnsi="幼圆" w:cs="幼圆" w:hint="eastAsia"/>
                <w:szCs w:val="22"/>
              </w:rPr>
            </w:pPr>
          </w:p>
        </w:tc>
      </w:tr>
      <w:tr>
        <w:tblPrEx>
          <w:tblW w:w="8532" w:type="dxa"/>
          <w:tblInd w:w="0" w:type="dxa"/>
          <w:tblCellMar>
            <w:top w:w="0" w:type="dxa"/>
            <w:left w:w="0" w:type="dxa"/>
            <w:bottom w:w="0" w:type="dxa"/>
            <w:right w:w="0" w:type="dxa"/>
          </w:tblCellMar>
        </w:tblPrEx>
        <w:trPr>
          <w:trHeight w:val="285"/>
        </w:trPr>
        <w:tc>
          <w:tcPr>
            <w:tcW w:w="297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贵人鸟投资有限公司</w:t>
            </w:r>
          </w:p>
        </w:tc>
        <w:tc>
          <w:tcPr>
            <w:tcW w:w="1843"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境内非国有法人</w:t>
            </w:r>
          </w:p>
        </w:tc>
        <w:tc>
          <w:tcPr>
            <w:tcW w:w="110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1.67</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10,500,000</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质押</w:t>
            </w:r>
          </w:p>
        </w:tc>
      </w:tr>
      <w:tr>
        <w:tblPrEx>
          <w:tblW w:w="8532" w:type="dxa"/>
          <w:tblInd w:w="0" w:type="dxa"/>
          <w:tblCellMar>
            <w:top w:w="0" w:type="dxa"/>
            <w:left w:w="0" w:type="dxa"/>
            <w:bottom w:w="0" w:type="dxa"/>
            <w:right w:w="0" w:type="dxa"/>
          </w:tblCellMar>
        </w:tblPrEx>
        <w:trPr>
          <w:trHeight w:val="285"/>
        </w:trPr>
        <w:tc>
          <w:tcPr>
            <w:tcW w:w="297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中央汇金资产管理有限责任公司</w:t>
            </w:r>
          </w:p>
        </w:tc>
        <w:tc>
          <w:tcPr>
            <w:tcW w:w="1843"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未知</w:t>
            </w:r>
          </w:p>
        </w:tc>
        <w:tc>
          <w:tcPr>
            <w:tcW w:w="110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0.64</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4,046,500</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未知</w:t>
            </w:r>
          </w:p>
        </w:tc>
      </w:tr>
      <w:tr>
        <w:tblPrEx>
          <w:tblW w:w="8532" w:type="dxa"/>
          <w:tblInd w:w="0" w:type="dxa"/>
          <w:tblCellMar>
            <w:top w:w="0" w:type="dxa"/>
            <w:left w:w="0" w:type="dxa"/>
            <w:bottom w:w="0" w:type="dxa"/>
            <w:right w:w="0" w:type="dxa"/>
          </w:tblCellMar>
        </w:tblPrEx>
        <w:trPr>
          <w:trHeight w:val="285"/>
        </w:trPr>
        <w:tc>
          <w:tcPr>
            <w:tcW w:w="297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龚尚钟</w:t>
            </w:r>
          </w:p>
        </w:tc>
        <w:tc>
          <w:tcPr>
            <w:tcW w:w="1843"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未知</w:t>
            </w:r>
          </w:p>
        </w:tc>
        <w:tc>
          <w:tcPr>
            <w:tcW w:w="110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0.24</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1,479,600</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未知</w:t>
            </w:r>
          </w:p>
        </w:tc>
      </w:tr>
      <w:tr>
        <w:tblPrEx>
          <w:tblW w:w="8532" w:type="dxa"/>
          <w:tblInd w:w="0" w:type="dxa"/>
          <w:tblCellMar>
            <w:top w:w="0" w:type="dxa"/>
            <w:left w:w="0" w:type="dxa"/>
            <w:bottom w:w="0" w:type="dxa"/>
            <w:right w:w="0" w:type="dxa"/>
          </w:tblCellMar>
        </w:tblPrEx>
        <w:trPr>
          <w:trHeight w:val="285"/>
        </w:trPr>
        <w:tc>
          <w:tcPr>
            <w:tcW w:w="297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龚启谷</w:t>
            </w:r>
          </w:p>
        </w:tc>
        <w:tc>
          <w:tcPr>
            <w:tcW w:w="1843"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未知</w:t>
            </w:r>
          </w:p>
        </w:tc>
        <w:tc>
          <w:tcPr>
            <w:tcW w:w="110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0.23</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1,434,400</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未知</w:t>
            </w:r>
          </w:p>
        </w:tc>
      </w:tr>
      <w:tr>
        <w:tblPrEx>
          <w:tblW w:w="8532" w:type="dxa"/>
          <w:tblInd w:w="0" w:type="dxa"/>
          <w:tblCellMar>
            <w:top w:w="0" w:type="dxa"/>
            <w:left w:w="0" w:type="dxa"/>
            <w:bottom w:w="0" w:type="dxa"/>
            <w:right w:w="0" w:type="dxa"/>
          </w:tblCellMar>
        </w:tblPrEx>
        <w:trPr>
          <w:trHeight w:val="285"/>
        </w:trPr>
        <w:tc>
          <w:tcPr>
            <w:tcW w:w="297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盛凯佳</w:t>
            </w:r>
          </w:p>
        </w:tc>
        <w:tc>
          <w:tcPr>
            <w:tcW w:w="1843"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未知</w:t>
            </w:r>
          </w:p>
        </w:tc>
        <w:tc>
          <w:tcPr>
            <w:tcW w:w="110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0.23</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1,421,100</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未知</w:t>
            </w:r>
          </w:p>
        </w:tc>
      </w:tr>
      <w:tr>
        <w:tblPrEx>
          <w:tblW w:w="8532" w:type="dxa"/>
          <w:tblInd w:w="0" w:type="dxa"/>
          <w:tblCellMar>
            <w:top w:w="0" w:type="dxa"/>
            <w:left w:w="0" w:type="dxa"/>
            <w:bottom w:w="0" w:type="dxa"/>
            <w:right w:w="0" w:type="dxa"/>
          </w:tblCellMar>
        </w:tblPrEx>
        <w:trPr>
          <w:trHeight w:val="285"/>
        </w:trPr>
        <w:tc>
          <w:tcPr>
            <w:tcW w:w="297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冯敏华</w:t>
            </w:r>
          </w:p>
        </w:tc>
        <w:tc>
          <w:tcPr>
            <w:tcW w:w="1843"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未知</w:t>
            </w:r>
          </w:p>
        </w:tc>
        <w:tc>
          <w:tcPr>
            <w:tcW w:w="110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0.13</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844,900</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未知</w:t>
            </w:r>
          </w:p>
        </w:tc>
      </w:tr>
      <w:tr>
        <w:tblPrEx>
          <w:tblW w:w="8532" w:type="dxa"/>
          <w:tblInd w:w="0" w:type="dxa"/>
          <w:tblCellMar>
            <w:top w:w="0" w:type="dxa"/>
            <w:left w:w="0" w:type="dxa"/>
            <w:bottom w:w="0" w:type="dxa"/>
            <w:right w:w="0" w:type="dxa"/>
          </w:tblCellMar>
        </w:tblPrEx>
        <w:trPr>
          <w:trHeight w:val="285"/>
        </w:trPr>
        <w:tc>
          <w:tcPr>
            <w:tcW w:w="297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黄蓉</w:t>
            </w:r>
          </w:p>
        </w:tc>
        <w:tc>
          <w:tcPr>
            <w:tcW w:w="1843"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未知</w:t>
            </w:r>
          </w:p>
        </w:tc>
        <w:tc>
          <w:tcPr>
            <w:tcW w:w="110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0.11</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697,800</w:t>
            </w:r>
          </w:p>
        </w:tc>
        <w:tc>
          <w:tcPr>
            <w:tcW w:w="1304"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未知</w:t>
            </w:r>
          </w:p>
        </w:tc>
      </w:tr>
    </w:tbl>
    <w:p>
      <w:pPr>
        <w:tabs>
          <w:tab w:val="center" w:pos="4253"/>
        </w:tabs>
        <w:ind w:firstLine="480" w:firstLineChars="200"/>
        <w:rPr>
          <w:rFonts w:ascii="幼圆" w:eastAsia="幼圆" w:hAnsi="幼圆" w:cs="幼圆" w:hint="eastAsia"/>
          <w:b/>
          <w:bCs/>
          <w:sz w:val="24"/>
          <w:szCs w:val="28"/>
        </w:rPr>
      </w:pPr>
      <w:r>
        <w:rPr>
          <w:rFonts w:ascii="幼圆" w:eastAsia="幼圆" w:hAnsi="幼圆" w:cs="幼圆" w:hint="eastAsia"/>
          <w:sz w:val="24"/>
          <w:szCs w:val="28"/>
        </w:rPr>
        <w:t>表3</w:t>
      </w:r>
      <w:r>
        <w:rPr>
          <w:rFonts w:ascii="幼圆" w:eastAsia="幼圆" w:hAnsi="幼圆" w:cs="幼圆" w:hint="eastAsia"/>
          <w:sz w:val="24"/>
          <w:szCs w:val="28"/>
        </w:rPr>
        <w:t>-</w:t>
      </w:r>
      <w:r>
        <w:rPr>
          <w:rFonts w:ascii="幼圆" w:eastAsia="幼圆" w:hAnsi="幼圆" w:cs="幼圆" w:hint="eastAsia"/>
          <w:sz w:val="24"/>
          <w:szCs w:val="28"/>
        </w:rPr>
        <w:t>2</w:t>
      </w:r>
      <w:r>
        <w:rPr>
          <w:rFonts w:ascii="幼圆" w:eastAsia="幼圆" w:hAnsi="幼圆" w:cs="幼圆" w:hint="eastAsia"/>
          <w:b/>
          <w:bCs/>
          <w:sz w:val="24"/>
          <w:szCs w:val="28"/>
        </w:rPr>
        <w:tab/>
      </w:r>
      <w:r>
        <w:rPr>
          <w:rFonts w:ascii="幼圆" w:eastAsia="幼圆" w:hAnsi="幼圆" w:cs="幼圆" w:hint="eastAsia"/>
          <w:b/>
          <w:bCs/>
          <w:sz w:val="24"/>
          <w:szCs w:val="28"/>
        </w:rPr>
        <w:t>董事会成员构成情况</w:t>
      </w:r>
    </w:p>
    <w:tbl>
      <w:tblPr>
        <w:tblStyle w:val="TableNormal"/>
        <w:tblW w:w="8640" w:type="dxa"/>
        <w:tblInd w:w="0"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Pr>
      <w:tblGrid>
        <w:gridCol w:w="1069"/>
        <w:gridCol w:w="1582"/>
        <w:gridCol w:w="1068"/>
        <w:gridCol w:w="1819"/>
        <w:gridCol w:w="1757"/>
        <w:gridCol w:w="1345"/>
      </w:tblGrid>
      <w:tr>
        <w:tblPrEx>
          <w:tblW w:w="8640" w:type="dxa"/>
          <w:tblInd w:w="0"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PrEx>
        <w:trPr>
          <w:trHeight w:val="285"/>
        </w:trPr>
        <w:tc>
          <w:tcPr>
            <w:tcW w:w="106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姓名</w:t>
            </w:r>
          </w:p>
        </w:tc>
        <w:tc>
          <w:tcPr>
            <w:tcW w:w="158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职务</w:t>
            </w:r>
          </w:p>
        </w:tc>
        <w:tc>
          <w:tcPr>
            <w:tcW w:w="1068"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任职状态</w:t>
            </w:r>
          </w:p>
        </w:tc>
        <w:tc>
          <w:tcPr>
            <w:tcW w:w="181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任职起始日期</w:t>
            </w:r>
          </w:p>
        </w:tc>
        <w:tc>
          <w:tcPr>
            <w:tcW w:w="1757"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任职终止日期</w:t>
            </w:r>
          </w:p>
        </w:tc>
        <w:tc>
          <w:tcPr>
            <w:tcW w:w="1345"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期末持股数</w:t>
            </w:r>
          </w:p>
        </w:tc>
      </w:tr>
      <w:tr>
        <w:tblPrEx>
          <w:tblW w:w="8640" w:type="dxa"/>
          <w:tblInd w:w="0" w:type="dxa"/>
          <w:tblCellMar>
            <w:top w:w="0" w:type="dxa"/>
            <w:left w:w="0" w:type="dxa"/>
            <w:bottom w:w="0" w:type="dxa"/>
            <w:right w:w="0" w:type="dxa"/>
          </w:tblCellMar>
        </w:tblPrEx>
        <w:trPr>
          <w:trHeight w:val="285"/>
        </w:trPr>
        <w:tc>
          <w:tcPr>
            <w:tcW w:w="106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林天福</w:t>
            </w:r>
          </w:p>
        </w:tc>
        <w:tc>
          <w:tcPr>
            <w:tcW w:w="158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董事长、总经理</w:t>
            </w:r>
          </w:p>
        </w:tc>
        <w:tc>
          <w:tcPr>
            <w:tcW w:w="1068"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现任</w:t>
            </w:r>
          </w:p>
        </w:tc>
        <w:tc>
          <w:tcPr>
            <w:tcW w:w="181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2017年5月18日</w:t>
            </w:r>
          </w:p>
        </w:tc>
        <w:tc>
          <w:tcPr>
            <w:tcW w:w="1757"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2020年5月18日</w:t>
            </w:r>
          </w:p>
        </w:tc>
        <w:tc>
          <w:tcPr>
            <w:tcW w:w="1345"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479115600</w:t>
            </w:r>
          </w:p>
        </w:tc>
      </w:tr>
      <w:tr>
        <w:tblPrEx>
          <w:tblW w:w="8640" w:type="dxa"/>
          <w:tblInd w:w="0" w:type="dxa"/>
          <w:tblCellMar>
            <w:top w:w="0" w:type="dxa"/>
            <w:left w:w="0" w:type="dxa"/>
            <w:bottom w:w="0" w:type="dxa"/>
            <w:right w:w="0" w:type="dxa"/>
          </w:tblCellMar>
        </w:tblPrEx>
        <w:trPr>
          <w:trHeight w:val="285"/>
        </w:trPr>
        <w:tc>
          <w:tcPr>
            <w:tcW w:w="106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林清辉</w:t>
            </w:r>
          </w:p>
        </w:tc>
        <w:tc>
          <w:tcPr>
            <w:tcW w:w="158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董事、副总经理</w:t>
            </w:r>
          </w:p>
        </w:tc>
        <w:tc>
          <w:tcPr>
            <w:tcW w:w="1068"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现任</w:t>
            </w:r>
          </w:p>
        </w:tc>
        <w:tc>
          <w:tcPr>
            <w:tcW w:w="181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2017年5月18日</w:t>
            </w:r>
          </w:p>
        </w:tc>
        <w:tc>
          <w:tcPr>
            <w:tcW w:w="1757"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2020年5月18日</w:t>
            </w:r>
          </w:p>
        </w:tc>
        <w:tc>
          <w:tcPr>
            <w:tcW w:w="1345"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10500000</w:t>
            </w:r>
          </w:p>
        </w:tc>
      </w:tr>
      <w:tr>
        <w:tblPrEx>
          <w:tblW w:w="8640" w:type="dxa"/>
          <w:tblInd w:w="0" w:type="dxa"/>
          <w:tblCellMar>
            <w:top w:w="0" w:type="dxa"/>
            <w:left w:w="0" w:type="dxa"/>
            <w:bottom w:w="0" w:type="dxa"/>
            <w:right w:w="0" w:type="dxa"/>
          </w:tblCellMar>
        </w:tblPrEx>
        <w:trPr>
          <w:trHeight w:val="285"/>
        </w:trPr>
        <w:tc>
          <w:tcPr>
            <w:tcW w:w="106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林思恩</w:t>
            </w:r>
          </w:p>
        </w:tc>
        <w:tc>
          <w:tcPr>
            <w:tcW w:w="158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董事、副总经理</w:t>
            </w:r>
          </w:p>
        </w:tc>
        <w:tc>
          <w:tcPr>
            <w:tcW w:w="1068"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现任</w:t>
            </w:r>
          </w:p>
        </w:tc>
        <w:tc>
          <w:tcPr>
            <w:tcW w:w="181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2017年5月18日</w:t>
            </w:r>
          </w:p>
        </w:tc>
        <w:tc>
          <w:tcPr>
            <w:tcW w:w="1757"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2020年5月18日</w:t>
            </w:r>
          </w:p>
        </w:tc>
        <w:tc>
          <w:tcPr>
            <w:tcW w:w="1345"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613800</w:t>
            </w:r>
          </w:p>
        </w:tc>
      </w:tr>
      <w:tr>
        <w:tblPrEx>
          <w:tblW w:w="8640" w:type="dxa"/>
          <w:tblInd w:w="0" w:type="dxa"/>
          <w:tblCellMar>
            <w:top w:w="0" w:type="dxa"/>
            <w:left w:w="0" w:type="dxa"/>
            <w:bottom w:w="0" w:type="dxa"/>
            <w:right w:w="0" w:type="dxa"/>
          </w:tblCellMar>
        </w:tblPrEx>
        <w:trPr>
          <w:trHeight w:val="285"/>
        </w:trPr>
        <w:tc>
          <w:tcPr>
            <w:tcW w:w="106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林思萍</w:t>
            </w:r>
          </w:p>
        </w:tc>
        <w:tc>
          <w:tcPr>
            <w:tcW w:w="158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副总经理</w:t>
            </w:r>
          </w:p>
        </w:tc>
        <w:tc>
          <w:tcPr>
            <w:tcW w:w="1068"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现任</w:t>
            </w:r>
          </w:p>
        </w:tc>
        <w:tc>
          <w:tcPr>
            <w:tcW w:w="181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2017年5月18日</w:t>
            </w:r>
          </w:p>
        </w:tc>
        <w:tc>
          <w:tcPr>
            <w:tcW w:w="1757"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2020年5月18日</w:t>
            </w:r>
          </w:p>
        </w:tc>
        <w:tc>
          <w:tcPr>
            <w:tcW w:w="1345"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w:t>
            </w:r>
          </w:p>
        </w:tc>
      </w:tr>
      <w:tr>
        <w:tblPrEx>
          <w:tblW w:w="8640" w:type="dxa"/>
          <w:tblInd w:w="0" w:type="dxa"/>
          <w:tblCellMar>
            <w:top w:w="0" w:type="dxa"/>
            <w:left w:w="0" w:type="dxa"/>
            <w:bottom w:w="0" w:type="dxa"/>
            <w:right w:w="0" w:type="dxa"/>
          </w:tblCellMar>
        </w:tblPrEx>
        <w:trPr>
          <w:trHeight w:val="285"/>
        </w:trPr>
        <w:tc>
          <w:tcPr>
            <w:tcW w:w="106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周世勇</w:t>
            </w:r>
          </w:p>
        </w:tc>
        <w:tc>
          <w:tcPr>
            <w:tcW w:w="158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董事</w:t>
            </w:r>
          </w:p>
        </w:tc>
        <w:tc>
          <w:tcPr>
            <w:tcW w:w="1068"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现任</w:t>
            </w:r>
          </w:p>
        </w:tc>
        <w:tc>
          <w:tcPr>
            <w:tcW w:w="181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2017年5月18日</w:t>
            </w:r>
          </w:p>
        </w:tc>
        <w:tc>
          <w:tcPr>
            <w:tcW w:w="1757"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2020年5月18日</w:t>
            </w:r>
          </w:p>
        </w:tc>
        <w:tc>
          <w:tcPr>
            <w:tcW w:w="1345"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w:t>
            </w:r>
          </w:p>
        </w:tc>
      </w:tr>
      <w:tr>
        <w:tblPrEx>
          <w:tblW w:w="8640" w:type="dxa"/>
          <w:tblInd w:w="0" w:type="dxa"/>
          <w:tblCellMar>
            <w:top w:w="0" w:type="dxa"/>
            <w:left w:w="0" w:type="dxa"/>
            <w:bottom w:w="0" w:type="dxa"/>
            <w:right w:w="0" w:type="dxa"/>
          </w:tblCellMar>
        </w:tblPrEx>
        <w:trPr>
          <w:trHeight w:val="285"/>
        </w:trPr>
        <w:tc>
          <w:tcPr>
            <w:tcW w:w="106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王奋</w:t>
            </w:r>
          </w:p>
        </w:tc>
        <w:tc>
          <w:tcPr>
            <w:tcW w:w="158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独立董事</w:t>
            </w:r>
          </w:p>
        </w:tc>
        <w:tc>
          <w:tcPr>
            <w:tcW w:w="1068"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现任</w:t>
            </w:r>
          </w:p>
        </w:tc>
        <w:tc>
          <w:tcPr>
            <w:tcW w:w="181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2017年5月18日</w:t>
            </w:r>
          </w:p>
        </w:tc>
        <w:tc>
          <w:tcPr>
            <w:tcW w:w="1757"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2020年5月18日</w:t>
            </w:r>
          </w:p>
        </w:tc>
        <w:tc>
          <w:tcPr>
            <w:tcW w:w="1345"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w:t>
            </w:r>
          </w:p>
        </w:tc>
      </w:tr>
      <w:tr>
        <w:tblPrEx>
          <w:tblW w:w="8640" w:type="dxa"/>
          <w:tblInd w:w="0" w:type="dxa"/>
          <w:tblCellMar>
            <w:top w:w="0" w:type="dxa"/>
            <w:left w:w="0" w:type="dxa"/>
            <w:bottom w:w="0" w:type="dxa"/>
            <w:right w:w="0" w:type="dxa"/>
          </w:tblCellMar>
        </w:tblPrEx>
        <w:trPr>
          <w:trHeight w:val="285"/>
        </w:trPr>
        <w:tc>
          <w:tcPr>
            <w:tcW w:w="106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赵廉慧</w:t>
            </w:r>
          </w:p>
        </w:tc>
        <w:tc>
          <w:tcPr>
            <w:tcW w:w="158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独立董事</w:t>
            </w:r>
          </w:p>
        </w:tc>
        <w:tc>
          <w:tcPr>
            <w:tcW w:w="1068"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现任</w:t>
            </w:r>
          </w:p>
        </w:tc>
        <w:tc>
          <w:tcPr>
            <w:tcW w:w="181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2018年5月18日</w:t>
            </w:r>
          </w:p>
        </w:tc>
        <w:tc>
          <w:tcPr>
            <w:tcW w:w="1757"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2020年5月18日</w:t>
            </w:r>
          </w:p>
        </w:tc>
        <w:tc>
          <w:tcPr>
            <w:tcW w:w="1345"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w:t>
            </w:r>
          </w:p>
        </w:tc>
      </w:tr>
      <w:tr>
        <w:tblPrEx>
          <w:tblW w:w="8640" w:type="dxa"/>
          <w:tblInd w:w="0" w:type="dxa"/>
          <w:tblCellMar>
            <w:top w:w="0" w:type="dxa"/>
            <w:left w:w="0" w:type="dxa"/>
            <w:bottom w:w="0" w:type="dxa"/>
            <w:right w:w="0" w:type="dxa"/>
          </w:tblCellMar>
        </w:tblPrEx>
        <w:trPr>
          <w:trHeight w:val="285"/>
        </w:trPr>
        <w:tc>
          <w:tcPr>
            <w:tcW w:w="106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陈合</w:t>
            </w:r>
          </w:p>
        </w:tc>
        <w:tc>
          <w:tcPr>
            <w:tcW w:w="158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独立董事</w:t>
            </w:r>
          </w:p>
        </w:tc>
        <w:tc>
          <w:tcPr>
            <w:tcW w:w="1068"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现任</w:t>
            </w:r>
          </w:p>
        </w:tc>
        <w:tc>
          <w:tcPr>
            <w:tcW w:w="181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2018年5月18日</w:t>
            </w:r>
          </w:p>
        </w:tc>
        <w:tc>
          <w:tcPr>
            <w:tcW w:w="1757"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2020年5月18日</w:t>
            </w:r>
          </w:p>
        </w:tc>
        <w:tc>
          <w:tcPr>
            <w:tcW w:w="1345"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w:t>
            </w:r>
          </w:p>
        </w:tc>
      </w:tr>
    </w:tbl>
    <w:p>
      <w:pPr>
        <w:tabs>
          <w:tab w:val="center" w:pos="4253"/>
        </w:tabs>
        <w:ind w:firstLine="480" w:firstLineChars="200"/>
        <w:rPr>
          <w:rFonts w:ascii="幼圆" w:eastAsia="幼圆" w:hAnsi="幼圆" w:cs="幼圆" w:hint="eastAsia"/>
          <w:b/>
          <w:bCs/>
          <w:sz w:val="24"/>
          <w:szCs w:val="28"/>
        </w:rPr>
      </w:pPr>
      <w:r>
        <w:rPr>
          <w:rFonts w:ascii="幼圆" w:eastAsia="幼圆" w:hAnsi="幼圆" w:cs="幼圆" w:hint="eastAsia"/>
          <w:sz w:val="24"/>
          <w:szCs w:val="28"/>
        </w:rPr>
        <w:t>表3</w:t>
      </w:r>
      <w:r>
        <w:rPr>
          <w:rFonts w:ascii="幼圆" w:eastAsia="幼圆" w:hAnsi="幼圆" w:cs="幼圆" w:hint="eastAsia"/>
          <w:sz w:val="24"/>
          <w:szCs w:val="28"/>
        </w:rPr>
        <w:t>-</w:t>
      </w:r>
      <w:r>
        <w:rPr>
          <w:rFonts w:ascii="幼圆" w:eastAsia="幼圆" w:hAnsi="幼圆" w:cs="幼圆" w:hint="eastAsia"/>
          <w:sz w:val="24"/>
          <w:szCs w:val="28"/>
        </w:rPr>
        <w:t>3</w:t>
      </w:r>
      <w:r>
        <w:rPr>
          <w:rFonts w:ascii="幼圆" w:eastAsia="幼圆" w:hAnsi="幼圆" w:cs="幼圆" w:hint="eastAsia"/>
          <w:b/>
          <w:bCs/>
          <w:sz w:val="24"/>
          <w:szCs w:val="28"/>
        </w:rPr>
        <w:tab/>
      </w:r>
      <w:r>
        <w:rPr>
          <w:rFonts w:ascii="幼圆" w:eastAsia="幼圆" w:hAnsi="幼圆" w:cs="幼圆" w:hint="eastAsia"/>
          <w:b/>
          <w:bCs/>
          <w:sz w:val="24"/>
          <w:szCs w:val="28"/>
        </w:rPr>
        <w:t>监事会成员构成情况</w:t>
      </w:r>
    </w:p>
    <w:tbl>
      <w:tblPr>
        <w:tblStyle w:val="TableNormal"/>
        <w:tblW w:w="8642" w:type="dxa"/>
        <w:tblInd w:w="0"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Pr>
      <w:tblGrid>
        <w:gridCol w:w="1080"/>
        <w:gridCol w:w="1609"/>
        <w:gridCol w:w="992"/>
        <w:gridCol w:w="1843"/>
        <w:gridCol w:w="1701"/>
        <w:gridCol w:w="1417"/>
      </w:tblGrid>
      <w:tr>
        <w:tblPrEx>
          <w:tblW w:w="8642" w:type="dxa"/>
          <w:tblInd w:w="0" w:type="dxa"/>
          <w:tblBorders>
            <w:top w:val="single" w:sz="12" w:space="0" w:color="auto"/>
            <w:left w:val="none" w:sz="0" w:space="0" w:color="auto"/>
            <w:bottom w:val="single" w:sz="12" w:space="0" w:color="auto"/>
            <w:right w:val="none" w:sz="0" w:space="0" w:color="auto"/>
            <w:insideH w:val="single" w:sz="4" w:space="0" w:color="auto"/>
            <w:insideV w:val="single" w:sz="4" w:space="0" w:color="auto"/>
          </w:tblBorders>
          <w:tblCellMar>
            <w:top w:w="0" w:type="dxa"/>
            <w:left w:w="0" w:type="dxa"/>
            <w:bottom w:w="0" w:type="dxa"/>
            <w:right w:w="0" w:type="dxa"/>
          </w:tblCellMar>
        </w:tblPrEx>
        <w:trPr>
          <w:trHeight w:val="285"/>
        </w:trPr>
        <w:tc>
          <w:tcPr>
            <w:tcW w:w="1080"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姓名</w:t>
            </w:r>
          </w:p>
        </w:tc>
        <w:tc>
          <w:tcPr>
            <w:tcW w:w="160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职务</w:t>
            </w:r>
          </w:p>
        </w:tc>
        <w:tc>
          <w:tcPr>
            <w:tcW w:w="99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任职状态</w:t>
            </w:r>
          </w:p>
        </w:tc>
        <w:tc>
          <w:tcPr>
            <w:tcW w:w="1843"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任职起始日期</w:t>
            </w:r>
          </w:p>
        </w:tc>
        <w:tc>
          <w:tcPr>
            <w:tcW w:w="1701"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任职终止日期</w:t>
            </w:r>
          </w:p>
        </w:tc>
        <w:tc>
          <w:tcPr>
            <w:tcW w:w="1417"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期末持股数</w:t>
            </w:r>
          </w:p>
        </w:tc>
      </w:tr>
      <w:tr>
        <w:tblPrEx>
          <w:tblW w:w="8642" w:type="dxa"/>
          <w:tblInd w:w="0" w:type="dxa"/>
          <w:tblCellMar>
            <w:top w:w="0" w:type="dxa"/>
            <w:left w:w="0" w:type="dxa"/>
            <w:bottom w:w="0" w:type="dxa"/>
            <w:right w:w="0" w:type="dxa"/>
          </w:tblCellMar>
        </w:tblPrEx>
        <w:trPr>
          <w:trHeight w:val="285"/>
        </w:trPr>
        <w:tc>
          <w:tcPr>
            <w:tcW w:w="1080"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黄惠泉</w:t>
            </w:r>
          </w:p>
        </w:tc>
        <w:tc>
          <w:tcPr>
            <w:tcW w:w="160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监事会主席</w:t>
            </w:r>
          </w:p>
        </w:tc>
        <w:tc>
          <w:tcPr>
            <w:tcW w:w="99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现任</w:t>
            </w:r>
          </w:p>
        </w:tc>
        <w:tc>
          <w:tcPr>
            <w:tcW w:w="1843"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2017年5月18日</w:t>
            </w:r>
          </w:p>
        </w:tc>
        <w:tc>
          <w:tcPr>
            <w:tcW w:w="1701"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2020年5月18日</w:t>
            </w:r>
          </w:p>
        </w:tc>
        <w:tc>
          <w:tcPr>
            <w:tcW w:w="1417"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w:t>
            </w:r>
          </w:p>
        </w:tc>
      </w:tr>
      <w:tr>
        <w:tblPrEx>
          <w:tblW w:w="8642" w:type="dxa"/>
          <w:tblInd w:w="0" w:type="dxa"/>
          <w:tblCellMar>
            <w:top w:w="0" w:type="dxa"/>
            <w:left w:w="0" w:type="dxa"/>
            <w:bottom w:w="0" w:type="dxa"/>
            <w:right w:w="0" w:type="dxa"/>
          </w:tblCellMar>
        </w:tblPrEx>
        <w:trPr>
          <w:trHeight w:val="285"/>
        </w:trPr>
        <w:tc>
          <w:tcPr>
            <w:tcW w:w="1080"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樊凌云</w:t>
            </w:r>
          </w:p>
        </w:tc>
        <w:tc>
          <w:tcPr>
            <w:tcW w:w="160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监事</w:t>
            </w:r>
          </w:p>
        </w:tc>
        <w:tc>
          <w:tcPr>
            <w:tcW w:w="99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现任</w:t>
            </w:r>
          </w:p>
        </w:tc>
        <w:tc>
          <w:tcPr>
            <w:tcW w:w="1843"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2017年5月18日</w:t>
            </w:r>
          </w:p>
        </w:tc>
        <w:tc>
          <w:tcPr>
            <w:tcW w:w="1701"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2020年5月18日</w:t>
            </w:r>
          </w:p>
        </w:tc>
        <w:tc>
          <w:tcPr>
            <w:tcW w:w="1417"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w:t>
            </w:r>
          </w:p>
        </w:tc>
      </w:tr>
      <w:tr>
        <w:tblPrEx>
          <w:tblW w:w="8642" w:type="dxa"/>
          <w:tblInd w:w="0" w:type="dxa"/>
          <w:tblCellMar>
            <w:top w:w="0" w:type="dxa"/>
            <w:left w:w="0" w:type="dxa"/>
            <w:bottom w:w="0" w:type="dxa"/>
            <w:right w:w="0" w:type="dxa"/>
          </w:tblCellMar>
        </w:tblPrEx>
        <w:trPr>
          <w:trHeight w:val="285"/>
        </w:trPr>
        <w:tc>
          <w:tcPr>
            <w:tcW w:w="1080"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庄黎明</w:t>
            </w:r>
          </w:p>
        </w:tc>
        <w:tc>
          <w:tcPr>
            <w:tcW w:w="1609"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监事</w:t>
            </w:r>
          </w:p>
        </w:tc>
        <w:tc>
          <w:tcPr>
            <w:tcW w:w="992"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现任</w:t>
            </w:r>
          </w:p>
        </w:tc>
        <w:tc>
          <w:tcPr>
            <w:tcW w:w="1843"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2017年5月18日</w:t>
            </w:r>
          </w:p>
        </w:tc>
        <w:tc>
          <w:tcPr>
            <w:tcW w:w="1701"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2020年5月18日</w:t>
            </w:r>
          </w:p>
        </w:tc>
        <w:tc>
          <w:tcPr>
            <w:tcW w:w="1417" w:type="dxa"/>
            <w:shd w:val="clear" w:color="auto" w:fill="auto"/>
            <w:noWrap/>
            <w:vAlign w:val="center"/>
          </w:tcPr>
          <w:p>
            <w:pPr>
              <w:jc w:val="center"/>
              <w:rPr>
                <w:rFonts w:ascii="幼圆" w:eastAsia="幼圆" w:hAnsi="幼圆" w:cs="幼圆" w:hint="eastAsia"/>
                <w:szCs w:val="22"/>
              </w:rPr>
            </w:pPr>
            <w:r>
              <w:rPr>
                <w:rFonts w:ascii="幼圆" w:eastAsia="幼圆" w:hAnsi="幼圆" w:cs="幼圆" w:hint="eastAsia"/>
                <w:szCs w:val="22"/>
              </w:rPr>
              <w:t>-</w:t>
            </w:r>
          </w:p>
        </w:tc>
      </w:tr>
    </w:tbl>
    <w:p>
      <w:pPr>
        <w:ind w:firstLine="420" w:firstLineChars="200"/>
        <w:rPr>
          <w:rFonts w:ascii="幼圆" w:eastAsia="幼圆" w:hAnsi="幼圆" w:cs="幼圆" w:hint="eastAsia"/>
          <w:szCs w:val="22"/>
        </w:rPr>
      </w:pPr>
      <w:r>
        <w:rPr>
          <w:rFonts w:ascii="幼圆" w:eastAsia="幼圆" w:hAnsi="幼圆" w:cs="幼圆" w:hint="eastAsia"/>
          <w:szCs w:val="22"/>
        </w:rPr>
        <w:t>数据来源：企业年报</w:t>
      </w:r>
    </w:p>
    <w:p>
      <w:pPr>
        <w:pStyle w:val="Heading2"/>
        <w:rPr>
          <w:rFonts w:ascii="幼圆" w:eastAsia="幼圆" w:hAnsi="幼圆" w:cs="幼圆" w:hint="eastAsia"/>
        </w:rPr>
      </w:pPr>
      <w:bookmarkStart w:id="21" w:name="_Toc69375038"/>
      <w:r>
        <w:rPr>
          <w:rFonts w:ascii="幼圆" w:eastAsia="幼圆" w:hAnsi="幼圆" w:cs="幼圆" w:hint="eastAsia"/>
        </w:rPr>
        <w:t xml:space="preserve">3.2 </w:t>
      </w:r>
      <w:bookmarkEnd w:id="21"/>
      <w:r>
        <w:rPr>
          <w:rFonts w:ascii="幼圆" w:eastAsia="幼圆" w:hAnsi="幼圆" w:cs="幼圆" w:hint="eastAsia"/>
        </w:rPr>
        <w:t>案例基本情况介绍</w:t>
      </w:r>
    </w:p>
    <w:p>
      <w:pPr>
        <w:pStyle w:val="Heading3"/>
        <w:rPr>
          <w:rFonts w:ascii="幼圆" w:eastAsia="幼圆" w:hAnsi="幼圆" w:cs="幼圆" w:hint="eastAsia"/>
        </w:rPr>
      </w:pPr>
      <w:bookmarkStart w:id="22" w:name="_Toc69375039"/>
      <w:r>
        <w:rPr>
          <w:rFonts w:ascii="幼圆" w:eastAsia="幼圆" w:hAnsi="幼圆" w:cs="幼圆" w:hint="eastAsia"/>
        </w:rPr>
        <w:t>3</w:t>
      </w:r>
      <w:r>
        <w:rPr>
          <w:rFonts w:ascii="幼圆" w:eastAsia="幼圆" w:hAnsi="幼圆" w:cs="幼圆" w:hint="eastAsia"/>
        </w:rPr>
        <w:t xml:space="preserve">.2.1 </w:t>
      </w:r>
      <w:r>
        <w:rPr>
          <w:rFonts w:ascii="幼圆" w:eastAsia="幼圆" w:hAnsi="幼圆" w:cs="幼圆" w:hint="eastAsia"/>
        </w:rPr>
        <w:t>整体负债水平</w:t>
      </w:r>
      <w:bookmarkEnd w:id="22"/>
    </w:p>
    <w:p>
      <w:pPr>
        <w:pStyle w:val="a3"/>
        <w:ind w:firstLine="480"/>
        <w:rPr>
          <w:rFonts w:ascii="幼圆" w:eastAsia="幼圆" w:hAnsi="幼圆" w:cs="幼圆" w:hint="eastAsia"/>
        </w:rPr>
      </w:pPr>
      <w:r>
        <w:rPr>
          <w:rFonts w:ascii="幼圆" w:eastAsia="幼圆" w:hAnsi="幼圆" w:cs="幼圆" w:hint="eastAsia"/>
          <w:b w:val="0"/>
          <w:bCs w:val="0"/>
        </w:rPr>
        <w:t>表3</w:t>
      </w:r>
      <w:r>
        <w:rPr>
          <w:rFonts w:ascii="幼圆" w:eastAsia="幼圆" w:hAnsi="幼圆" w:cs="幼圆" w:hint="eastAsia"/>
          <w:b w:val="0"/>
          <w:bCs w:val="0"/>
        </w:rPr>
        <w:t>-</w:t>
      </w:r>
      <w:r>
        <w:rPr>
          <w:rFonts w:ascii="幼圆" w:eastAsia="幼圆" w:hAnsi="幼圆" w:cs="幼圆" w:hint="eastAsia"/>
          <w:b w:val="0"/>
          <w:bCs w:val="0"/>
        </w:rPr>
        <w:t>4</w:t>
      </w:r>
      <w:r>
        <w:rPr>
          <w:rFonts w:ascii="幼圆" w:eastAsia="幼圆" w:hAnsi="幼圆" w:cs="幼圆" w:hint="eastAsia"/>
        </w:rPr>
        <w:tab/>
      </w:r>
      <w:r>
        <w:rPr>
          <w:rFonts w:ascii="幼圆" w:eastAsia="幼圆" w:hAnsi="幼圆" w:cs="幼圆" w:hint="eastAsia"/>
        </w:rPr>
        <w:t>2015-2019年贵人鸟资产负债情况</w:t>
      </w:r>
    </w:p>
    <w:p>
      <w:pPr>
        <w:tabs>
          <w:tab w:val="center" w:pos="4253"/>
          <w:tab w:val="right" w:pos="8222"/>
        </w:tabs>
        <w:ind w:firstLine="440" w:firstLineChars="200"/>
        <w:rPr>
          <w:rFonts w:ascii="幼圆" w:eastAsia="幼圆" w:hAnsi="幼圆" w:cs="幼圆" w:hint="eastAsia"/>
          <w:sz w:val="24"/>
          <w:szCs w:val="28"/>
        </w:rPr>
      </w:pPr>
      <w:r>
        <w:rPr>
          <w:rFonts w:ascii="幼圆" w:eastAsia="幼圆" w:hAnsi="幼圆" w:cs="幼圆" w:hint="eastAsia"/>
          <w:color w:val="000000"/>
          <w:kern w:val="0"/>
          <w:sz w:val="22"/>
          <w:szCs w:val="22"/>
        </w:rPr>
        <w:tab/>
      </w:r>
      <w:r>
        <w:rPr>
          <w:rFonts w:ascii="幼圆" w:eastAsia="幼圆" w:hAnsi="幼圆" w:cs="幼圆" w:hint="eastAsia"/>
          <w:color w:val="000000"/>
          <w:kern w:val="0"/>
          <w:sz w:val="22"/>
          <w:szCs w:val="22"/>
        </w:rPr>
        <w:tab/>
      </w:r>
      <w:r>
        <w:rPr>
          <w:rFonts w:ascii="幼圆" w:eastAsia="幼圆" w:hAnsi="幼圆" w:cs="幼圆" w:hint="eastAsia"/>
          <w:sz w:val="24"/>
          <w:szCs w:val="28"/>
        </w:rPr>
        <w:t>单位：亿元</w:t>
      </w:r>
      <w:r>
        <w:rPr>
          <w:rFonts w:ascii="幼圆" w:eastAsia="幼圆" w:hAnsi="幼圆" w:cs="幼圆" w:hint="eastAsia"/>
          <w:sz w:val="24"/>
          <w:szCs w:val="28"/>
        </w:rPr>
        <w:br/>
      </w:r>
      <w:r>
        <w:rPr>
          <w:rFonts w:ascii="幼圆" w:eastAsia="幼圆" w:hAnsi="幼圆" w:cs="幼圆" w:hint="eastAsia"/>
          <w:sz w:val="24"/>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3" w:history="1">
        <w:r>
          <w:rPr>
            <w:rFonts w:ascii="SimSun" w:eastAsia="SimSun" w:hAnsi="SimSun" w:cs="SimSun"/>
            <w:b/>
            <w:bCs/>
            <w:color w:val="0000EE"/>
            <w:kern w:val="0"/>
            <w:sz w:val="30"/>
            <w:szCs w:val="30"/>
            <w:u w:val="single" w:color="0000EE"/>
          </w:rPr>
          <w:t>https://d.book118.com/318025043043006032</w:t>
        </w:r>
      </w:hyperlink>
    </w:p>
    <w:p>
      <w:pPr>
        <w:tabs>
          <w:tab w:val="center" w:pos="4253"/>
          <w:tab w:val="right" w:pos="8222"/>
        </w:tabs>
        <w:ind w:firstLine="480" w:firstLineChars="200"/>
        <w:rPr>
          <w:rFonts w:ascii="幼圆" w:eastAsia="幼圆" w:hAnsi="幼圆" w:cs="幼圆" w:hint="eastAsia"/>
          <w:sz w:val="24"/>
          <w:szCs w:val="28"/>
        </w:rPr>
      </w:pPr>
    </w:p>
    <w:sectPr>
      <w:footerReference w:type="default" r:id="rId14"/>
      <w:type w:val="nextPage"/>
      <w:pgSz w:w="11906" w:h="16838"/>
      <w:pgMar w:top="1701" w:right="1418" w:bottom="1701" w:left="1418" w:header="1247" w:footer="1247" w:gutter="0"/>
      <w:pgNumType w:start="7"/>
      <w:cols w:num="1" w:space="425"/>
      <w:titlePg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auto"/>
    <w:pitch w:val="default"/>
    <w:sig w:usb0="00000001" w:usb1="080E0000" w:usb2="00000000" w:usb3="00000000" w:csb0="00040000" w:csb1="00000000"/>
  </w:font>
  <w:font w:name="MS Mincho">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41954450"/>
      <w:docPartObj>
        <w:docPartGallery w:val="AutoText"/>
      </w:docPartObj>
    </w:sdtPr>
    <w:sdtEndPr>
      <w:rPr>
        <w:rFonts w:ascii="Arial" w:hAnsi="Arial"/>
        <w:sz w:val="24"/>
      </w:rPr>
    </w:sdtEndPr>
    <w:sdtContent>
      <w:p>
        <w:pPr>
          <w:pStyle w:val="Footer"/>
          <w:jc w:val="center"/>
          <w:rPr>
            <w:rFonts w:ascii="Arial" w:hAnsi="Arial"/>
            <w:sz w:val="24"/>
          </w:rPr>
        </w:pPr>
        <w:r>
          <w:rPr>
            <w:rFonts w:ascii="Arial" w:hAnsi="Arial"/>
            <w:sz w:val="24"/>
          </w:rPr>
          <w:fldChar w:fldCharType="begin"/>
        </w:r>
        <w:r>
          <w:rPr>
            <w:rFonts w:ascii="Arial" w:hAnsi="Arial"/>
            <w:sz w:val="24"/>
          </w:rPr>
          <w:instrText>PAGE   \* MERGEFORMAT</w:instrText>
        </w:r>
        <w:r>
          <w:rPr>
            <w:rFonts w:ascii="Arial" w:hAnsi="Arial"/>
            <w:sz w:val="24"/>
          </w:rPr>
          <w:fldChar w:fldCharType="separate"/>
        </w:r>
        <w:r>
          <w:rPr>
            <w:rFonts w:ascii="Arial" w:hAnsi="Arial"/>
            <w:sz w:val="24"/>
            <w:lang w:val="zh-CN"/>
          </w:rPr>
          <w:t>1</w:t>
        </w:r>
        <w:r>
          <w:rPr>
            <w:rFonts w:ascii="Arial" w:hAnsi="Arial"/>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67003652"/>
      <w:docPartObj>
        <w:docPartGallery w:val="AutoText"/>
      </w:docPartObj>
    </w:sdtPr>
    <w:sdtEndPr>
      <w:rPr>
        <w:rFonts w:ascii="Arial" w:hAnsi="Arial"/>
        <w:sz w:val="24"/>
      </w:rPr>
    </w:sdtEndPr>
    <w:sdtContent>
      <w:p>
        <w:pPr>
          <w:pStyle w:val="Footer"/>
          <w:jc w:val="center"/>
          <w:rPr>
            <w:rFonts w:ascii="Arial" w:hAnsi="Arial"/>
            <w:sz w:val="24"/>
          </w:rPr>
        </w:pPr>
        <w:r>
          <w:rPr>
            <w:rFonts w:ascii="Arial" w:hAnsi="Arial"/>
            <w:sz w:val="24"/>
          </w:rPr>
          <w:fldChar w:fldCharType="begin"/>
        </w:r>
        <w:r>
          <w:rPr>
            <w:rFonts w:ascii="Arial" w:hAnsi="Arial"/>
            <w:sz w:val="24"/>
          </w:rPr>
          <w:instrText>PAGE   \* MERGEFORMAT</w:instrText>
        </w:r>
        <w:r>
          <w:rPr>
            <w:rFonts w:ascii="Arial" w:hAnsi="Arial"/>
            <w:sz w:val="24"/>
          </w:rPr>
          <w:fldChar w:fldCharType="separate"/>
        </w:r>
        <w:r>
          <w:rPr>
            <w:rFonts w:ascii="Arial" w:hAnsi="Arial"/>
            <w:sz w:val="24"/>
            <w:lang w:val="zh-CN"/>
          </w:rPr>
          <w:t>2</w:t>
        </w:r>
        <w:r>
          <w:rPr>
            <w:rFonts w:ascii="Arial" w:hAnsi="Arial"/>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03150344"/>
      <w:docPartObj>
        <w:docPartGallery w:val="AutoText"/>
      </w:docPartObj>
    </w:sdtPr>
    <w:sdtEndPr>
      <w:rPr>
        <w:rFonts w:ascii="Arial" w:hAnsi="Arial"/>
        <w:sz w:val="24"/>
      </w:rPr>
    </w:sdtEndPr>
    <w:sdtContent>
      <w:p>
        <w:pPr>
          <w:pStyle w:val="Footer"/>
          <w:jc w:val="center"/>
          <w:rPr>
            <w:rFonts w:ascii="Arial" w:hAnsi="Arial"/>
            <w:sz w:val="24"/>
          </w:rPr>
        </w:pPr>
        <w:r>
          <w:rPr>
            <w:rFonts w:ascii="Arial" w:hAnsi="Arial"/>
            <w:sz w:val="24"/>
          </w:rPr>
          <w:fldChar w:fldCharType="begin"/>
        </w:r>
        <w:r>
          <w:rPr>
            <w:rFonts w:ascii="Arial" w:hAnsi="Arial"/>
            <w:sz w:val="24"/>
          </w:rPr>
          <w:instrText>PAGE   \* MERGEFORMAT</w:instrText>
        </w:r>
        <w:r>
          <w:rPr>
            <w:rFonts w:ascii="Arial" w:hAnsi="Arial"/>
            <w:sz w:val="24"/>
          </w:rPr>
          <w:fldChar w:fldCharType="separate"/>
        </w:r>
        <w:r>
          <w:rPr>
            <w:rFonts w:ascii="Arial" w:hAnsi="Arial"/>
            <w:sz w:val="24"/>
            <w:lang w:val="zh-CN"/>
          </w:rPr>
          <w:t>4</w:t>
        </w:r>
        <w:r>
          <w:rPr>
            <w:rFonts w:ascii="Arial" w:hAnsi="Arial"/>
            <w:sz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35545038"/>
      <w:docPartObj>
        <w:docPartGallery w:val="AutoText"/>
      </w:docPartObj>
    </w:sdtPr>
    <w:sdtEndPr>
      <w:rPr>
        <w:rFonts w:ascii="Arial" w:hAnsi="Arial"/>
        <w:sz w:val="24"/>
      </w:rPr>
    </w:sdtEndPr>
    <w:sdtContent>
      <w:p>
        <w:pPr>
          <w:pStyle w:val="Footer"/>
          <w:jc w:val="center"/>
          <w:rPr>
            <w:rFonts w:ascii="Arial" w:hAnsi="Arial"/>
            <w:sz w:val="24"/>
          </w:rPr>
        </w:pPr>
        <w:r>
          <w:rPr>
            <w:rFonts w:ascii="Arial" w:hAnsi="Arial"/>
            <w:sz w:val="24"/>
          </w:rPr>
          <w:fldChar w:fldCharType="begin"/>
        </w:r>
        <w:r>
          <w:rPr>
            <w:rFonts w:ascii="Arial" w:hAnsi="Arial"/>
            <w:sz w:val="24"/>
          </w:rPr>
          <w:instrText>PAGE   \* MERGEFORMAT</w:instrText>
        </w:r>
        <w:r>
          <w:rPr>
            <w:rFonts w:ascii="Arial" w:hAnsi="Arial"/>
            <w:sz w:val="24"/>
          </w:rPr>
          <w:fldChar w:fldCharType="separate"/>
        </w:r>
        <w:r>
          <w:rPr>
            <w:rFonts w:ascii="Arial" w:hAnsi="Arial"/>
            <w:sz w:val="24"/>
            <w:lang w:val="zh-CN"/>
          </w:rPr>
          <w:t>5</w:t>
        </w:r>
        <w:r>
          <w:rPr>
            <w:rFonts w:ascii="Arial" w:hAnsi="Arial"/>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33269850"/>
      <w:docPartObj>
        <w:docPartGallery w:val="AutoText"/>
      </w:docPartObj>
    </w:sdtPr>
    <w:sdtEndPr>
      <w:rPr>
        <w:rFonts w:ascii="Arial" w:hAnsi="Arial"/>
        <w:sz w:val="24"/>
      </w:rPr>
    </w:sdtEndPr>
    <w:sdtContent>
      <w:p>
        <w:pPr>
          <w:pStyle w:val="Footer"/>
          <w:jc w:val="center"/>
          <w:rPr>
            <w:rFonts w:ascii="Arial" w:hAnsi="Arial"/>
            <w:sz w:val="24"/>
          </w:rPr>
        </w:pPr>
        <w:r>
          <w:rPr>
            <w:rFonts w:ascii="Arial" w:hAnsi="Arial"/>
            <w:sz w:val="24"/>
          </w:rPr>
          <w:fldChar w:fldCharType="begin"/>
        </w:r>
        <w:r>
          <w:rPr>
            <w:rFonts w:ascii="Arial" w:hAnsi="Arial"/>
            <w:sz w:val="24"/>
          </w:rPr>
          <w:instrText>PAGE   \* MERGEFORMAT</w:instrText>
        </w:r>
        <w:r>
          <w:rPr>
            <w:rFonts w:ascii="Arial" w:hAnsi="Arial"/>
            <w:sz w:val="24"/>
          </w:rPr>
          <w:fldChar w:fldCharType="separate"/>
        </w:r>
        <w:r>
          <w:rPr>
            <w:rFonts w:ascii="Arial" w:hAnsi="Arial"/>
            <w:sz w:val="24"/>
            <w:lang w:val="zh-CN"/>
          </w:rPr>
          <w:t>5</w:t>
        </w:r>
        <w:r>
          <w:rPr>
            <w:rFonts w:ascii="Arial" w:hAnsi="Arial"/>
            <w:sz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95464151"/>
      <w:docPartObj>
        <w:docPartGallery w:val="AutoText"/>
      </w:docPartObj>
    </w:sdtPr>
    <w:sdtEndPr>
      <w:rPr>
        <w:rFonts w:ascii="Arial" w:hAnsi="Arial"/>
        <w:sz w:val="24"/>
      </w:rPr>
    </w:sdtEndPr>
    <w:sdtContent>
      <w:p>
        <w:pPr>
          <w:pStyle w:val="Footer"/>
          <w:jc w:val="center"/>
          <w:rPr>
            <w:rFonts w:ascii="Arial" w:hAnsi="Arial"/>
            <w:sz w:val="24"/>
          </w:rPr>
        </w:pPr>
        <w:r>
          <w:rPr>
            <w:rFonts w:ascii="Arial" w:hAnsi="Arial"/>
            <w:sz w:val="24"/>
          </w:rPr>
          <w:fldChar w:fldCharType="begin"/>
        </w:r>
        <w:r>
          <w:rPr>
            <w:rFonts w:ascii="Arial" w:hAnsi="Arial"/>
            <w:sz w:val="24"/>
          </w:rPr>
          <w:instrText>PAGE   \* MERGEFORMAT</w:instrText>
        </w:r>
        <w:r>
          <w:rPr>
            <w:rFonts w:ascii="Arial" w:hAnsi="Arial"/>
            <w:sz w:val="24"/>
          </w:rPr>
          <w:fldChar w:fldCharType="separate"/>
        </w:r>
        <w:r>
          <w:rPr>
            <w:rFonts w:ascii="Arial" w:hAnsi="Arial"/>
            <w:sz w:val="24"/>
            <w:lang w:val="zh-CN"/>
          </w:rPr>
          <w:t>6</w:t>
        </w:r>
        <w:r>
          <w:rPr>
            <w:rFonts w:ascii="Arial" w:hAnsi="Arial"/>
            <w:sz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17126082"/>
      <w:docPartObj>
        <w:docPartGallery w:val="AutoText"/>
      </w:docPartObj>
    </w:sdtPr>
    <w:sdtEndPr>
      <w:rPr>
        <w:rFonts w:ascii="Arial" w:hAnsi="Arial"/>
        <w:sz w:val="24"/>
      </w:rPr>
    </w:sdtEndPr>
    <w:sdtContent>
      <w:p>
        <w:pPr>
          <w:pStyle w:val="Footer"/>
          <w:jc w:val="center"/>
          <w:rPr>
            <w:rFonts w:ascii="Arial" w:hAnsi="Arial"/>
            <w:sz w:val="24"/>
          </w:rPr>
        </w:pPr>
        <w:r>
          <w:rPr>
            <w:rFonts w:ascii="Arial" w:hAnsi="Arial"/>
            <w:sz w:val="24"/>
          </w:rPr>
          <w:fldChar w:fldCharType="begin"/>
        </w:r>
        <w:r>
          <w:rPr>
            <w:rFonts w:ascii="Arial" w:hAnsi="Arial"/>
            <w:sz w:val="24"/>
          </w:rPr>
          <w:instrText>PAGE   \* MERGEFORMAT</w:instrText>
        </w:r>
        <w:r>
          <w:rPr>
            <w:rFonts w:ascii="Arial" w:hAnsi="Arial"/>
            <w:sz w:val="24"/>
          </w:rPr>
          <w:fldChar w:fldCharType="separate"/>
        </w:r>
        <w:r>
          <w:rPr>
            <w:rFonts w:ascii="Arial" w:hAnsi="Arial"/>
            <w:sz w:val="24"/>
            <w:lang w:val="zh-CN"/>
          </w:rPr>
          <w:t>8</w:t>
        </w:r>
        <w:r>
          <w:rPr>
            <w:rFonts w:ascii="Arial" w:hAnsi="Arial"/>
            <w:sz w:val="24"/>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511A20"/>
    <w:multiLevelType w:val="multilevel"/>
    <w:tmpl w:val="2E511A2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668"/>
    <w:rsid w:val="0000212F"/>
    <w:rsid w:val="000047B5"/>
    <w:rsid w:val="00030C47"/>
    <w:rsid w:val="00033839"/>
    <w:rsid w:val="00050F0A"/>
    <w:rsid w:val="000771FA"/>
    <w:rsid w:val="0009047D"/>
    <w:rsid w:val="00097F52"/>
    <w:rsid w:val="000A114E"/>
    <w:rsid w:val="000A1B8E"/>
    <w:rsid w:val="000A3240"/>
    <w:rsid w:val="000C11EB"/>
    <w:rsid w:val="000E4E74"/>
    <w:rsid w:val="000F3049"/>
    <w:rsid w:val="00111057"/>
    <w:rsid w:val="00125E0C"/>
    <w:rsid w:val="00130713"/>
    <w:rsid w:val="00131E8B"/>
    <w:rsid w:val="00132516"/>
    <w:rsid w:val="00136831"/>
    <w:rsid w:val="001622A5"/>
    <w:rsid w:val="00163DF5"/>
    <w:rsid w:val="00171E08"/>
    <w:rsid w:val="00172D52"/>
    <w:rsid w:val="00181FD1"/>
    <w:rsid w:val="001835AE"/>
    <w:rsid w:val="001A17BC"/>
    <w:rsid w:val="001A2222"/>
    <w:rsid w:val="001A70F6"/>
    <w:rsid w:val="001D64E8"/>
    <w:rsid w:val="001E286F"/>
    <w:rsid w:val="001F617D"/>
    <w:rsid w:val="00200E4E"/>
    <w:rsid w:val="00215773"/>
    <w:rsid w:val="00225CE5"/>
    <w:rsid w:val="00237433"/>
    <w:rsid w:val="00281E30"/>
    <w:rsid w:val="00282C6A"/>
    <w:rsid w:val="0029104B"/>
    <w:rsid w:val="002A2F59"/>
    <w:rsid w:val="002A3EEB"/>
    <w:rsid w:val="002A4C9B"/>
    <w:rsid w:val="002C1E64"/>
    <w:rsid w:val="002D2DD6"/>
    <w:rsid w:val="002E64A3"/>
    <w:rsid w:val="002F5FAF"/>
    <w:rsid w:val="00301BA8"/>
    <w:rsid w:val="00315E73"/>
    <w:rsid w:val="00317BEA"/>
    <w:rsid w:val="003239DC"/>
    <w:rsid w:val="003467C4"/>
    <w:rsid w:val="00374BE4"/>
    <w:rsid w:val="003911FC"/>
    <w:rsid w:val="003A00A7"/>
    <w:rsid w:val="003B42FD"/>
    <w:rsid w:val="003C6915"/>
    <w:rsid w:val="003D22DA"/>
    <w:rsid w:val="003D7EA0"/>
    <w:rsid w:val="003F2B17"/>
    <w:rsid w:val="003F570A"/>
    <w:rsid w:val="003F640C"/>
    <w:rsid w:val="0040268B"/>
    <w:rsid w:val="00403B26"/>
    <w:rsid w:val="0041556B"/>
    <w:rsid w:val="00425FBA"/>
    <w:rsid w:val="004710F8"/>
    <w:rsid w:val="004723F7"/>
    <w:rsid w:val="00475C94"/>
    <w:rsid w:val="004B0D5B"/>
    <w:rsid w:val="004E4112"/>
    <w:rsid w:val="00502BBE"/>
    <w:rsid w:val="0050628A"/>
    <w:rsid w:val="00506C47"/>
    <w:rsid w:val="00515554"/>
    <w:rsid w:val="00537DD7"/>
    <w:rsid w:val="00546E8F"/>
    <w:rsid w:val="0055563B"/>
    <w:rsid w:val="005707A1"/>
    <w:rsid w:val="00585BCA"/>
    <w:rsid w:val="00592FD6"/>
    <w:rsid w:val="005B0EA2"/>
    <w:rsid w:val="005B2CC1"/>
    <w:rsid w:val="005B491A"/>
    <w:rsid w:val="005E386C"/>
    <w:rsid w:val="00604AC0"/>
    <w:rsid w:val="00621013"/>
    <w:rsid w:val="00623983"/>
    <w:rsid w:val="00636035"/>
    <w:rsid w:val="00637DAF"/>
    <w:rsid w:val="00686844"/>
    <w:rsid w:val="006868B0"/>
    <w:rsid w:val="006935AB"/>
    <w:rsid w:val="006A59A0"/>
    <w:rsid w:val="006A72D2"/>
    <w:rsid w:val="006B5B37"/>
    <w:rsid w:val="006D14B4"/>
    <w:rsid w:val="006D7EDA"/>
    <w:rsid w:val="0071293B"/>
    <w:rsid w:val="0074513F"/>
    <w:rsid w:val="00780549"/>
    <w:rsid w:val="007A4E8E"/>
    <w:rsid w:val="007D495E"/>
    <w:rsid w:val="007F17AD"/>
    <w:rsid w:val="00816255"/>
    <w:rsid w:val="00821385"/>
    <w:rsid w:val="00823E69"/>
    <w:rsid w:val="00845EEA"/>
    <w:rsid w:val="00853A6D"/>
    <w:rsid w:val="00853D57"/>
    <w:rsid w:val="00856910"/>
    <w:rsid w:val="00880D1E"/>
    <w:rsid w:val="008C2F5D"/>
    <w:rsid w:val="008C4163"/>
    <w:rsid w:val="008C6932"/>
    <w:rsid w:val="008D3F71"/>
    <w:rsid w:val="008D5599"/>
    <w:rsid w:val="008E0785"/>
    <w:rsid w:val="008E192E"/>
    <w:rsid w:val="00901CAF"/>
    <w:rsid w:val="00911336"/>
    <w:rsid w:val="009119C3"/>
    <w:rsid w:val="0092093C"/>
    <w:rsid w:val="00922722"/>
    <w:rsid w:val="00923E69"/>
    <w:rsid w:val="00957281"/>
    <w:rsid w:val="00963533"/>
    <w:rsid w:val="00964053"/>
    <w:rsid w:val="0096556C"/>
    <w:rsid w:val="009738D7"/>
    <w:rsid w:val="0098369B"/>
    <w:rsid w:val="00995448"/>
    <w:rsid w:val="009B69BC"/>
    <w:rsid w:val="009C20B3"/>
    <w:rsid w:val="009E44AB"/>
    <w:rsid w:val="00A01970"/>
    <w:rsid w:val="00A07148"/>
    <w:rsid w:val="00A10BA0"/>
    <w:rsid w:val="00A11ABE"/>
    <w:rsid w:val="00A1401F"/>
    <w:rsid w:val="00A453FF"/>
    <w:rsid w:val="00A52290"/>
    <w:rsid w:val="00A572F7"/>
    <w:rsid w:val="00A70887"/>
    <w:rsid w:val="00AA4553"/>
    <w:rsid w:val="00AB0DD2"/>
    <w:rsid w:val="00AB44DD"/>
    <w:rsid w:val="00AB4CBC"/>
    <w:rsid w:val="00AD04A1"/>
    <w:rsid w:val="00AF5F57"/>
    <w:rsid w:val="00B06120"/>
    <w:rsid w:val="00B10CD0"/>
    <w:rsid w:val="00B14C5A"/>
    <w:rsid w:val="00B67B0A"/>
    <w:rsid w:val="00B92343"/>
    <w:rsid w:val="00B9560A"/>
    <w:rsid w:val="00BB078A"/>
    <w:rsid w:val="00BC1807"/>
    <w:rsid w:val="00BD15CA"/>
    <w:rsid w:val="00BD5304"/>
    <w:rsid w:val="00BD64C5"/>
    <w:rsid w:val="00BD6668"/>
    <w:rsid w:val="00BD7E1B"/>
    <w:rsid w:val="00BE5164"/>
    <w:rsid w:val="00BF3D19"/>
    <w:rsid w:val="00BF77DF"/>
    <w:rsid w:val="00C06223"/>
    <w:rsid w:val="00C107ED"/>
    <w:rsid w:val="00C13A22"/>
    <w:rsid w:val="00C248B5"/>
    <w:rsid w:val="00C26301"/>
    <w:rsid w:val="00C56CC8"/>
    <w:rsid w:val="00C572D0"/>
    <w:rsid w:val="00C641F1"/>
    <w:rsid w:val="00C64C29"/>
    <w:rsid w:val="00C6578E"/>
    <w:rsid w:val="00C725BE"/>
    <w:rsid w:val="00C8196B"/>
    <w:rsid w:val="00C91196"/>
    <w:rsid w:val="00C947FA"/>
    <w:rsid w:val="00CA7FC9"/>
    <w:rsid w:val="00CD5083"/>
    <w:rsid w:val="00CE394F"/>
    <w:rsid w:val="00D10589"/>
    <w:rsid w:val="00D10CB7"/>
    <w:rsid w:val="00D16EC4"/>
    <w:rsid w:val="00D22271"/>
    <w:rsid w:val="00D23C4B"/>
    <w:rsid w:val="00D30BA8"/>
    <w:rsid w:val="00D3293D"/>
    <w:rsid w:val="00D42DE2"/>
    <w:rsid w:val="00D546A1"/>
    <w:rsid w:val="00D6175C"/>
    <w:rsid w:val="00D66678"/>
    <w:rsid w:val="00D81727"/>
    <w:rsid w:val="00D94016"/>
    <w:rsid w:val="00DB7850"/>
    <w:rsid w:val="00DC224D"/>
    <w:rsid w:val="00DD5F47"/>
    <w:rsid w:val="00DF6A6A"/>
    <w:rsid w:val="00E01568"/>
    <w:rsid w:val="00E0771C"/>
    <w:rsid w:val="00E629AF"/>
    <w:rsid w:val="00E665C1"/>
    <w:rsid w:val="00E87348"/>
    <w:rsid w:val="00E925B7"/>
    <w:rsid w:val="00E9592A"/>
    <w:rsid w:val="00E9778A"/>
    <w:rsid w:val="00EA31C8"/>
    <w:rsid w:val="00EB309B"/>
    <w:rsid w:val="00EC1C9F"/>
    <w:rsid w:val="00ED03FB"/>
    <w:rsid w:val="00EE1A21"/>
    <w:rsid w:val="00F17AB9"/>
    <w:rsid w:val="00F20448"/>
    <w:rsid w:val="00F443AF"/>
    <w:rsid w:val="00F65B9D"/>
    <w:rsid w:val="00F65D27"/>
    <w:rsid w:val="00F80ACF"/>
    <w:rsid w:val="00FA4877"/>
    <w:rsid w:val="00FA595E"/>
    <w:rsid w:val="00FA6244"/>
    <w:rsid w:val="00FB5F86"/>
    <w:rsid w:val="00FC23E6"/>
    <w:rsid w:val="00FC59CD"/>
    <w:rsid w:val="00FC62D0"/>
    <w:rsid w:val="00FD2682"/>
    <w:rsid w:val="00FD2B48"/>
    <w:rsid w:val="00FD78B2"/>
    <w:rsid w:val="00FE02EA"/>
    <w:rsid w:val="00FE4E19"/>
    <w:rsid w:val="00FF2DA6"/>
    <w:rsid w:val="3A5B4F3A"/>
  </w:rsids>
  <w:docVars>
    <w:docVar w:name="commondata" w:val="eyJoZGlkIjoiNWFhMWI5MDQwNDBiYWI1ZmY5ZTQxYWNiYzY0MTdmZD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1"/>
      <w:lang w:val="en-US" w:eastAsia="zh-CN" w:bidi="ar-SA"/>
    </w:rPr>
  </w:style>
  <w:style w:type="paragraph" w:styleId="Heading1">
    <w:name w:val="heading 1"/>
    <w:basedOn w:val="Normal"/>
    <w:next w:val="Normal"/>
    <w:link w:val="1"/>
    <w:autoRedefine/>
    <w:uiPriority w:val="9"/>
    <w:qFormat/>
    <w:pPr>
      <w:spacing w:before="312" w:beforeLines="100" w:after="312" w:afterLines="100"/>
      <w:jc w:val="center"/>
      <w:outlineLvl w:val="0"/>
    </w:pPr>
    <w:rPr>
      <w:rFonts w:ascii="Times New Roman" w:eastAsia="宋体" w:hAnsi="Times New Roman"/>
      <w:b/>
      <w:bCs/>
      <w:sz w:val="32"/>
      <w:szCs w:val="32"/>
    </w:rPr>
  </w:style>
  <w:style w:type="paragraph" w:styleId="Heading2">
    <w:name w:val="heading 2"/>
    <w:basedOn w:val="Normal"/>
    <w:next w:val="Normal"/>
    <w:link w:val="2"/>
    <w:uiPriority w:val="9"/>
    <w:qFormat/>
    <w:pPr>
      <w:spacing w:before="156" w:beforeLines="50" w:after="156" w:afterLines="50" w:line="300" w:lineRule="auto"/>
      <w:ind w:firstLine="482" w:firstLineChars="200"/>
      <w:outlineLvl w:val="1"/>
    </w:pPr>
    <w:rPr>
      <w:rFonts w:ascii="Times New Roman" w:eastAsia="宋体" w:hAnsi="Times New Roman"/>
      <w:b/>
      <w:bCs/>
      <w:sz w:val="24"/>
      <w:szCs w:val="24"/>
    </w:rPr>
  </w:style>
  <w:style w:type="paragraph" w:styleId="Heading3">
    <w:name w:val="heading 3"/>
    <w:basedOn w:val="Normal"/>
    <w:next w:val="Normal"/>
    <w:link w:val="3"/>
    <w:autoRedefine/>
    <w:uiPriority w:val="9"/>
    <w:qFormat/>
    <w:pPr>
      <w:spacing w:before="62" w:beforeLines="20" w:after="62" w:afterLines="20" w:line="300" w:lineRule="auto"/>
      <w:ind w:firstLine="480" w:firstLineChars="200"/>
      <w:outlineLvl w:val="2"/>
    </w:pPr>
    <w:rPr>
      <w:rFonts w:ascii="Times New Roman" w:eastAsia="宋体" w:hAnsi="Times New Roman"/>
      <w:sz w:val="24"/>
      <w:szCs w:val="24"/>
    </w:rPr>
  </w:style>
  <w:style w:type="character" w:default="1" w:styleId="DefaultParagraphFont">
    <w:name w:val="Default Paragraph Font"/>
    <w:uiPriority w:val="1"/>
    <w:semiHidden/>
    <w:unhideWhenUsed/>
  </w:style>
  <w:style w:type="table" w:default="1" w:styleId="TableNormal">
    <w:name w:val="Normal Table"/>
    <w:autoRedefine/>
    <w:uiPriority w:val="99"/>
    <w:semiHidden/>
    <w:unhideWhenUsed/>
    <w:tblPr>
      <w:tblCellMar>
        <w:top w:w="0" w:type="dxa"/>
        <w:left w:w="108" w:type="dxa"/>
        <w:bottom w:w="0" w:type="dxa"/>
        <w:right w:w="108" w:type="dxa"/>
      </w:tblCellMar>
    </w:tblPr>
  </w:style>
  <w:style w:type="paragraph" w:styleId="TOC3">
    <w:name w:val="toc 3"/>
    <w:basedOn w:val="Normal"/>
    <w:next w:val="Normal"/>
    <w:autoRedefine/>
    <w:uiPriority w:val="39"/>
    <w:unhideWhenUsed/>
    <w:qFormat/>
    <w:pPr>
      <w:widowControl/>
      <w:spacing w:line="300" w:lineRule="auto"/>
      <w:ind w:left="200" w:leftChars="200"/>
      <w:jc w:val="left"/>
    </w:pPr>
    <w:rPr>
      <w:rFonts w:ascii="Times New Roman" w:eastAsia="宋体" w:hAnsi="Times New Roman" w:cs="Times New Roman"/>
      <w:kern w:val="0"/>
      <w:sz w:val="24"/>
    </w:rPr>
  </w:style>
  <w:style w:type="paragraph" w:styleId="Footer">
    <w:name w:val="footer"/>
    <w:basedOn w:val="Normal"/>
    <w:link w:val="a0"/>
    <w:autoRedefine/>
    <w:uiPriority w:val="99"/>
    <w:unhideWhenUsed/>
    <w:qFormat/>
    <w:pPr>
      <w:tabs>
        <w:tab w:val="center" w:pos="4153"/>
        <w:tab w:val="right" w:pos="8306"/>
      </w:tabs>
      <w:snapToGrid w:val="0"/>
      <w:jc w:val="left"/>
    </w:pPr>
    <w:rPr>
      <w:sz w:val="18"/>
      <w:szCs w:val="18"/>
    </w:rPr>
  </w:style>
  <w:style w:type="paragraph" w:styleId="Header">
    <w:name w:val="header"/>
    <w:basedOn w:val="Normal"/>
    <w:link w:val="a"/>
    <w:autoRedefine/>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autoRedefine/>
    <w:uiPriority w:val="39"/>
    <w:unhideWhenUsed/>
    <w:qFormat/>
    <w:pPr>
      <w:widowControl/>
      <w:spacing w:line="300" w:lineRule="auto"/>
      <w:jc w:val="left"/>
    </w:pPr>
    <w:rPr>
      <w:rFonts w:ascii="Times New Roman" w:eastAsia="宋体" w:hAnsi="Times New Roman" w:cs="Times New Roman"/>
      <w:kern w:val="0"/>
      <w:sz w:val="24"/>
    </w:rPr>
  </w:style>
  <w:style w:type="paragraph" w:styleId="TOC2">
    <w:name w:val="toc 2"/>
    <w:basedOn w:val="Normal"/>
    <w:next w:val="Normal"/>
    <w:autoRedefine/>
    <w:uiPriority w:val="39"/>
    <w:unhideWhenUsed/>
    <w:qFormat/>
    <w:pPr>
      <w:widowControl/>
      <w:tabs>
        <w:tab w:val="right" w:leader="dot" w:pos="9060"/>
      </w:tabs>
      <w:spacing w:line="300" w:lineRule="auto"/>
      <w:ind w:left="210" w:leftChars="100"/>
      <w:jc w:val="left"/>
    </w:pPr>
    <w:rPr>
      <w:rFonts w:ascii="Times New Roman" w:eastAsia="宋体" w:hAnsi="Times New Roman" w:cs="Times New Roman"/>
      <w:b/>
      <w:bCs/>
      <w:kern w:val="0"/>
      <w:sz w:val="24"/>
    </w:rPr>
  </w:style>
  <w:style w:type="table" w:styleId="TableGrid">
    <w:name w:val="Table Grid"/>
    <w:basedOn w:val="TableNormal"/>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autoRedefine/>
    <w:uiPriority w:val="99"/>
    <w:unhideWhenUsed/>
    <w:qFormat/>
    <w:rPr>
      <w:color w:val="0563C1" w:themeColor="hyperlink"/>
      <w:u w:val="single"/>
      <w14:textFill>
        <w14:solidFill>
          <w14:schemeClr w14:val="hlink"/>
        </w14:solidFill>
      </w14:textFill>
    </w:rPr>
  </w:style>
  <w:style w:type="character" w:customStyle="1" w:styleId="a">
    <w:name w:val="页眉 字符"/>
    <w:basedOn w:val="DefaultParagraphFont"/>
    <w:link w:val="Header"/>
    <w:autoRedefine/>
    <w:uiPriority w:val="99"/>
    <w:qFormat/>
    <w:rPr>
      <w:sz w:val="18"/>
      <w:szCs w:val="18"/>
    </w:rPr>
  </w:style>
  <w:style w:type="character" w:customStyle="1" w:styleId="a0">
    <w:name w:val="页脚 字符"/>
    <w:basedOn w:val="DefaultParagraphFont"/>
    <w:link w:val="Footer"/>
    <w:autoRedefine/>
    <w:uiPriority w:val="99"/>
    <w:qFormat/>
    <w:rPr>
      <w:sz w:val="18"/>
      <w:szCs w:val="18"/>
    </w:rPr>
  </w:style>
  <w:style w:type="character" w:customStyle="1" w:styleId="1">
    <w:name w:val="标题 1 字符"/>
    <w:basedOn w:val="DefaultParagraphFont"/>
    <w:link w:val="Heading1"/>
    <w:autoRedefine/>
    <w:uiPriority w:val="9"/>
    <w:rPr>
      <w:rFonts w:ascii="Times New Roman" w:eastAsia="宋体" w:hAnsi="Times New Roman"/>
      <w:b/>
      <w:bCs/>
      <w:sz w:val="32"/>
      <w:szCs w:val="32"/>
    </w:rPr>
  </w:style>
  <w:style w:type="paragraph" w:customStyle="1" w:styleId="TOCHeading">
    <w:name w:val="TOC Heading"/>
    <w:basedOn w:val="Heading1"/>
    <w:next w:val="Normal"/>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597" w:themeColor="accent1" w:themeShade="BF"/>
      <w:kern w:val="0"/>
    </w:rPr>
  </w:style>
  <w:style w:type="paragraph" w:styleId="ListParagraph">
    <w:name w:val="List Paragraph"/>
    <w:basedOn w:val="Normal"/>
    <w:autoRedefine/>
    <w:uiPriority w:val="34"/>
    <w:qFormat/>
    <w:pPr>
      <w:ind w:firstLine="420" w:firstLineChars="200"/>
    </w:pPr>
  </w:style>
  <w:style w:type="character" w:customStyle="1" w:styleId="2">
    <w:name w:val="标题 2 字符"/>
    <w:basedOn w:val="DefaultParagraphFont"/>
    <w:link w:val="Heading2"/>
    <w:uiPriority w:val="9"/>
    <w:rPr>
      <w:rFonts w:ascii="Times New Roman" w:eastAsia="宋体" w:hAnsi="Times New Roman"/>
      <w:b/>
      <w:bCs/>
      <w:sz w:val="24"/>
      <w:szCs w:val="24"/>
    </w:rPr>
  </w:style>
  <w:style w:type="character" w:customStyle="1" w:styleId="3">
    <w:name w:val="标题 3 字符"/>
    <w:basedOn w:val="DefaultParagraphFont"/>
    <w:link w:val="Heading3"/>
    <w:autoRedefine/>
    <w:uiPriority w:val="9"/>
    <w:qFormat/>
    <w:rPr>
      <w:rFonts w:ascii="Times New Roman" w:eastAsia="宋体" w:hAnsi="Times New Roman"/>
      <w:sz w:val="24"/>
      <w:szCs w:val="24"/>
    </w:rPr>
  </w:style>
  <w:style w:type="paragraph" w:customStyle="1" w:styleId="a1">
    <w:name w:val="图"/>
    <w:basedOn w:val="Normal"/>
    <w:link w:val="a2"/>
    <w:qFormat/>
    <w:pPr>
      <w:spacing w:line="300" w:lineRule="auto"/>
      <w:jc w:val="center"/>
    </w:pPr>
    <w:rPr>
      <w:rFonts w:ascii="Times New Roman" w:eastAsia="宋体" w:hAnsi="Times New Roman"/>
      <w:b/>
      <w:bCs/>
      <w:sz w:val="24"/>
      <w:szCs w:val="24"/>
    </w:rPr>
  </w:style>
  <w:style w:type="paragraph" w:customStyle="1" w:styleId="10">
    <w:name w:val="1"/>
    <w:basedOn w:val="Normal"/>
    <w:link w:val="11"/>
    <w:autoRedefine/>
    <w:qFormat/>
    <w:pPr>
      <w:spacing w:line="300" w:lineRule="auto"/>
      <w:ind w:firstLine="480" w:firstLineChars="200"/>
    </w:pPr>
    <w:rPr>
      <w:rFonts w:ascii="Times New Roman" w:eastAsia="宋体" w:hAnsi="Times New Roman"/>
      <w:sz w:val="24"/>
      <w:szCs w:val="24"/>
    </w:rPr>
  </w:style>
  <w:style w:type="character" w:customStyle="1" w:styleId="a2">
    <w:name w:val="图 字符"/>
    <w:basedOn w:val="DefaultParagraphFont"/>
    <w:link w:val="a1"/>
    <w:rPr>
      <w:rFonts w:ascii="Times New Roman" w:eastAsia="宋体" w:hAnsi="Times New Roman"/>
      <w:b/>
      <w:bCs/>
      <w:sz w:val="24"/>
      <w:szCs w:val="24"/>
    </w:rPr>
  </w:style>
  <w:style w:type="paragraph" w:customStyle="1" w:styleId="a3">
    <w:name w:val="表"/>
    <w:basedOn w:val="Normal"/>
    <w:link w:val="a4"/>
    <w:qFormat/>
    <w:pPr>
      <w:tabs>
        <w:tab w:val="center" w:pos="4253"/>
        <w:tab w:val="right" w:pos="8222"/>
      </w:tabs>
      <w:ind w:firstLine="482" w:firstLineChars="200"/>
    </w:pPr>
    <w:rPr>
      <w:rFonts w:ascii="Times New Roman" w:eastAsia="宋体" w:hAnsi="Times New Roman"/>
      <w:b/>
      <w:bCs/>
      <w:sz w:val="24"/>
      <w:szCs w:val="28"/>
    </w:rPr>
  </w:style>
  <w:style w:type="character" w:customStyle="1" w:styleId="11">
    <w:name w:val="1 字符"/>
    <w:basedOn w:val="DefaultParagraphFont"/>
    <w:link w:val="10"/>
    <w:autoRedefine/>
    <w:qFormat/>
    <w:rPr>
      <w:rFonts w:ascii="Times New Roman" w:eastAsia="宋体" w:hAnsi="Times New Roman"/>
      <w:sz w:val="24"/>
      <w:szCs w:val="24"/>
    </w:rPr>
  </w:style>
  <w:style w:type="character" w:customStyle="1" w:styleId="a4">
    <w:name w:val="表 字符"/>
    <w:basedOn w:val="DefaultParagraphFont"/>
    <w:link w:val="a3"/>
    <w:rPr>
      <w:rFonts w:ascii="Times New Roman" w:eastAsia="宋体" w:hAnsi="Times New Roman"/>
      <w:b/>
      <w:b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chart" Target="charts/chart1.xml" /><Relationship Id="rId12" Type="http://schemas.openxmlformats.org/officeDocument/2006/relationships/footer" Target="footer6.xml" /><Relationship Id="rId13" Type="http://schemas.openxmlformats.org/officeDocument/2006/relationships/hyperlink" Target="https://d.book118.com/318025043043006032" TargetMode="External" /><Relationship Id="rId14" Type="http://schemas.openxmlformats.org/officeDocument/2006/relationships/footer" Target="footer7.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charts/_rels/chart1.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openxmlformats.org/officeDocument/2006/relationships/themeOverride" Target="../theme/themeOverride1.xml" /><Relationship Id="rId3" Type="http://schemas.microsoft.com/office/2011/relationships/chartColorStyle" Target="chart/colors1.xml" /><Relationship Id="rId4" Type="http://schemas.microsoft.com/office/2011/relationships/chartStyle" Target="chart/style1.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clip" vert="horz" wrap="square" anchor="ctr" anchorCtr="1"/>
          <a:lstStyle/>
          <a:p>
            <a:pPr>
              <a:defRPr lang="zh-CN" sz="1400" b="0" i="0" u="none" strike="noStrike" kern="1200" spc="0" baseline="0">
                <a:solidFill>
                  <a:schemeClr val="tx1">
                    <a:lumMod val="65000"/>
                    <a:lumOff val="35000"/>
                  </a:schemeClr>
                </a:solidFill>
                <a:latin typeface="Times New Roman" panose="02020603050405020304" charset="0"/>
                <a:ea typeface="宋体" panose="02010600030101010101" charset="-122"/>
                <a:cs typeface="+mn-cs"/>
              </a:defRPr>
            </a:pPr>
            <a:r>
              <a:rPr lang="zh-CN"/>
              <a:t>主营业务收入情况</a:t>
            </a:r>
            <a:endParaRPr 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主营业务收入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Sheet1!$A$2:$A$6</c:f>
              <c:numCache>
                <c:formatCode>General</c:formatCode>
                <c:ptCount val="5"/>
                <c:pt idx="0">
                  <c:v>2015</c:v>
                </c:pt>
                <c:pt idx="1">
                  <c:v>2016</c:v>
                </c:pt>
                <c:pt idx="2">
                  <c:v>2017</c:v>
                </c:pt>
                <c:pt idx="3">
                  <c:v>2018</c:v>
                </c:pt>
                <c:pt idx="4">
                  <c:v>2019</c:v>
                </c:pt>
              </c:numCache>
            </c:numRef>
          </c:cat>
          <c:val>
            <c:numRef>
              <c:f>Sheet1!$B$2:$B$6</c:f>
              <c:numCache>
                <c:formatCode>General</c:formatCode>
                <c:ptCount val="5"/>
                <c:pt idx="0">
                  <c:v>19.68</c:v>
                </c:pt>
                <c:pt idx="1">
                  <c:v>22.71</c:v>
                </c:pt>
                <c:pt idx="2">
                  <c:v>32.3</c:v>
                </c:pt>
                <c:pt idx="3">
                  <c:v>27.67</c:v>
                </c:pt>
                <c:pt idx="4">
                  <c:v>15.48</c:v>
                </c:pt>
              </c:numCache>
            </c:numRef>
          </c:val>
        </c:ser>
        <c:ser>
          <c:idx val="1"/>
          <c:order val="1"/>
          <c:tx>
            <c:strRef>
              <c:f>Sheet1!$C$1</c:f>
              <c:strCache>
                <c:ptCount val="1"/>
                <c:pt idx="0">
                  <c:v>其他业务收入</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Times New Roman" panose="02020603050405020304" charset="0"/>
                    <a:ea typeface="宋体" panose="02010600030101010101"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Sheet1!$A$2:$A$6</c:f>
              <c:numCache>
                <c:formatCode>General</c:formatCode>
                <c:ptCount val="5"/>
                <c:pt idx="0">
                  <c:v>2015</c:v>
                </c:pt>
                <c:pt idx="1">
                  <c:v>2016</c:v>
                </c:pt>
                <c:pt idx="2">
                  <c:v>2017</c:v>
                </c:pt>
                <c:pt idx="3">
                  <c:v>2018</c:v>
                </c:pt>
                <c:pt idx="4">
                  <c:v>2019</c:v>
                </c:pt>
              </c:numCache>
            </c:numRef>
          </c:cat>
          <c:val>
            <c:numRef>
              <c:f>Sheet1!$C$2:$C$6</c:f>
              <c:numCache>
                <c:formatCode>General</c:formatCode>
                <c:ptCount val="5"/>
                <c:pt idx="0">
                  <c:v>0.007</c:v>
                </c:pt>
                <c:pt idx="1">
                  <c:v>0.084</c:v>
                </c:pt>
                <c:pt idx="2">
                  <c:v>0.22</c:v>
                </c:pt>
                <c:pt idx="3">
                  <c:v>0.45</c:v>
                </c:pt>
                <c:pt idx="4">
                  <c:v>0.33</c:v>
                </c:pt>
              </c:numCache>
            </c:numRef>
          </c:val>
        </c:ser>
        <c:dLbls>
          <c:showLegendKey val="0"/>
          <c:showVal val="0"/>
          <c:showCatName val="0"/>
          <c:showSerName val="0"/>
          <c:showPercent val="0"/>
          <c:showBubbleSize val="0"/>
        </c:dLbls>
        <c:gapWidth val="219"/>
        <c:overlap val="-27"/>
        <c:axId val="577604656"/>
        <c:axId val="577605312"/>
      </c:barChart>
      <c:catAx>
        <c:axId val="57760465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mn-cs"/>
              </a:defRPr>
            </a:pPr>
          </a:p>
        </c:txPr>
        <c:crossAx val="577605312"/>
        <c:crosses val="autoZero"/>
        <c:auto val="1"/>
        <c:lblAlgn val="ctr"/>
        <c:lblOffset val="100"/>
        <c:noMultiLvlLbl val="0"/>
      </c:catAx>
      <c:valAx>
        <c:axId val="57760531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mn-cs"/>
              </a:defRPr>
            </a:pPr>
          </a:p>
        </c:txPr>
        <c:crossAx val="5776046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mn-cs"/>
            </a:defRPr>
          </a:pPr>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zh-CN" baseline="0">
          <a:latin typeface="Times New Roman" panose="02020603050405020304" charset="0"/>
          <a:ea typeface="宋体" panose="02010600030101010101" charset="-12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15B3F6-6335-4CF6-93ED-2FE08772088C}">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10</Pages>
  <Words>4108</Words>
  <Characters>23420</Characters>
  <Application>Microsoft Office Word</Application>
  <DocSecurity>0</DocSecurity>
  <Lines>195</Lines>
  <Paragraphs>54</Paragraphs>
  <ScaleCrop>false</ScaleCrop>
  <Company/>
  <LinksUpToDate>false</LinksUpToDate>
  <CharactersWithSpaces>27474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ABEEL</cp:lastModifiedBy>
  <cp:revision>33</cp:revision>
  <dcterms:created xsi:type="dcterms:W3CDTF">2021-04-23T03:41:00Z</dcterms:created>
  <dcterms:modified xsi:type="dcterms:W3CDTF">2024-01-28T10:49:24Z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C781EA2038984E369AAEA8D98A9F7A14_13</vt:lpwstr>
  </property>
  <property fmtid="{D5CDD505-2E9C-101B-9397-08002B2CF9AE}" pid="3" name="KSOProductBuildVer">
    <vt:lpwstr>2052-12.1.0.16120</vt:lpwstr>
  </property>
</Properties>
</file>