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Theme="majorEastAsia" w:eastAsiaTheme="majorEastAsia" w:hAnsiTheme="majorEastAsia" w:cstheme="majorEastAsia" w:hint="default"/>
          <w:b/>
          <w:bCs/>
          <w:sz w:val="48"/>
          <w:szCs w:val="30"/>
        </w:rPr>
      </w:pPr>
      <w:r>
        <w:rPr>
          <w:rFonts w:asciiTheme="majorEastAsia" w:eastAsiaTheme="majorEastAsia" w:hAnsiTheme="majorEastAsia" w:cstheme="majorEastAsia" w:hint="eastAsia"/>
          <w:b/>
          <w:bCs/>
          <w:sz w:val="48"/>
          <w:szCs w:val="30"/>
          <w:lang w:val="en-US" w:eastAsia="zh-CN"/>
        </w:rPr>
        <w:t>第二届中华人民共和国职业技能大赛</w:t>
      </w:r>
    </w:p>
    <w:p>
      <w:pPr>
        <w:jc w:val="center"/>
        <w:rPr>
          <w:rFonts w:asciiTheme="majorEastAsia" w:eastAsiaTheme="majorEastAsia" w:hAnsiTheme="majorEastAsia" w:cstheme="majorEastAsia" w:hint="eastAsia"/>
          <w:b/>
          <w:bCs/>
          <w:sz w:val="48"/>
          <w:szCs w:val="30"/>
        </w:rPr>
      </w:pPr>
      <w:r>
        <w:rPr>
          <w:rFonts w:asciiTheme="majorEastAsia" w:eastAsiaTheme="majorEastAsia" w:hAnsiTheme="majorEastAsia" w:cstheme="majorEastAsia" w:hint="eastAsia"/>
          <w:b/>
          <w:bCs/>
          <w:sz w:val="48"/>
          <w:szCs w:val="30"/>
        </w:rPr>
        <w:t>信息网络布线项目（精选组）</w:t>
      </w:r>
    </w:p>
    <w:p>
      <w:pPr>
        <w:jc w:val="center"/>
        <w:rPr>
          <w:rFonts w:asciiTheme="majorEastAsia" w:eastAsiaTheme="majorEastAsia" w:hAnsiTheme="majorEastAsia" w:cstheme="majorEastAsia" w:hint="eastAsia"/>
          <w:b/>
          <w:bCs/>
          <w:sz w:val="48"/>
          <w:szCs w:val="30"/>
        </w:rPr>
      </w:pPr>
      <w:r>
        <w:rPr>
          <w:rFonts w:asciiTheme="majorEastAsia" w:eastAsiaTheme="majorEastAsia" w:hAnsiTheme="majorEastAsia" w:cstheme="majorEastAsia" w:hint="eastAsia"/>
          <w:b/>
          <w:bCs/>
          <w:sz w:val="48"/>
          <w:szCs w:val="30"/>
        </w:rPr>
        <w:t>江苏省选拔赛</w:t>
      </w:r>
      <w:r>
        <w:rPr>
          <w:rFonts w:asciiTheme="majorEastAsia" w:eastAsiaTheme="majorEastAsia" w:hAnsiTheme="majorEastAsia" w:cstheme="majorEastAsia" w:hint="eastAsia"/>
          <w:b/>
          <w:bCs/>
          <w:sz w:val="48"/>
          <w:szCs w:val="30"/>
          <w:lang w:val="en-US" w:eastAsia="zh-CN"/>
        </w:rPr>
        <w:t>样题</w:t>
      </w:r>
    </w:p>
    <w:p>
      <w:pPr>
        <w:jc w:val="center"/>
        <w:rPr>
          <w:rFonts w:asciiTheme="majorEastAsia" w:eastAsiaTheme="majorEastAsia" w:hAnsiTheme="majorEastAsia" w:cstheme="majorEastAsia"/>
          <w:b/>
          <w:bCs/>
          <w:sz w:val="48"/>
          <w:szCs w:val="30"/>
        </w:rPr>
      </w:pPr>
    </w:p>
    <w:p>
      <w:pPr>
        <w:jc w:val="center"/>
        <w:rPr>
          <w:rFonts w:asciiTheme="majorEastAsia" w:eastAsiaTheme="majorEastAsia" w:hAnsiTheme="majorEastAsia" w:cstheme="majorEastAsia"/>
          <w:b/>
          <w:bCs/>
          <w:sz w:val="48"/>
          <w:szCs w:val="30"/>
        </w:rPr>
      </w:pPr>
    </w:p>
    <w:p>
      <w:pPr>
        <w:jc w:val="center"/>
        <w:rPr>
          <w:rFonts w:asciiTheme="majorEastAsia" w:eastAsiaTheme="majorEastAsia" w:hAnsiTheme="majorEastAsia" w:cstheme="majorEastAsia"/>
          <w:b/>
          <w:bCs/>
          <w:sz w:val="48"/>
          <w:szCs w:val="30"/>
        </w:rPr>
      </w:pPr>
    </w:p>
    <w:p>
      <w:pPr>
        <w:jc w:val="center"/>
        <w:rPr>
          <w:rFonts w:asciiTheme="majorEastAsia" w:eastAsiaTheme="majorEastAsia" w:hAnsiTheme="majorEastAsia" w:cstheme="majorEastAsia"/>
          <w:b/>
          <w:bCs/>
          <w:sz w:val="48"/>
          <w:szCs w:val="30"/>
        </w:rPr>
      </w:pPr>
    </w:p>
    <w:p>
      <w:pPr>
        <w:jc w:val="center"/>
        <w:rPr>
          <w:rFonts w:asciiTheme="majorEastAsia" w:eastAsiaTheme="majorEastAsia" w:hAnsiTheme="majorEastAsia" w:cstheme="majorEastAsia"/>
          <w:b/>
          <w:bCs/>
          <w:sz w:val="48"/>
          <w:szCs w:val="30"/>
        </w:rPr>
      </w:pPr>
      <w:r>
        <w:rPr>
          <w:rFonts w:asciiTheme="majorEastAsia" w:eastAsiaTheme="majorEastAsia" w:hAnsiTheme="majorEastAsia" w:cstheme="majorEastAsia" w:hint="eastAsia"/>
          <w:b/>
          <w:bCs/>
          <w:sz w:val="48"/>
          <w:szCs w:val="30"/>
        </w:rPr>
        <w:t>模</w:t>
      </w:r>
    </w:p>
    <w:p>
      <w:pPr>
        <w:jc w:val="center"/>
        <w:rPr>
          <w:rFonts w:asciiTheme="majorEastAsia" w:eastAsiaTheme="majorEastAsia" w:hAnsiTheme="majorEastAsia" w:cstheme="majorEastAsia"/>
          <w:b/>
          <w:bCs/>
          <w:sz w:val="48"/>
          <w:szCs w:val="30"/>
        </w:rPr>
      </w:pPr>
    </w:p>
    <w:p>
      <w:pPr>
        <w:jc w:val="center"/>
        <w:rPr>
          <w:rFonts w:asciiTheme="majorEastAsia" w:eastAsiaTheme="majorEastAsia" w:hAnsiTheme="majorEastAsia" w:cstheme="majorEastAsia"/>
          <w:b/>
          <w:bCs/>
          <w:sz w:val="48"/>
          <w:szCs w:val="30"/>
        </w:rPr>
      </w:pPr>
      <w:r>
        <w:rPr>
          <w:rFonts w:asciiTheme="majorEastAsia" w:eastAsiaTheme="majorEastAsia" w:hAnsiTheme="majorEastAsia" w:cstheme="majorEastAsia" w:hint="eastAsia"/>
          <w:b/>
          <w:bCs/>
          <w:sz w:val="48"/>
          <w:szCs w:val="30"/>
        </w:rPr>
        <w:t>块</w:t>
      </w:r>
    </w:p>
    <w:p>
      <w:pPr>
        <w:jc w:val="center"/>
        <w:rPr>
          <w:rFonts w:asciiTheme="majorEastAsia" w:eastAsiaTheme="majorEastAsia" w:hAnsiTheme="majorEastAsia" w:cstheme="majorEastAsia"/>
          <w:b/>
          <w:bCs/>
          <w:sz w:val="48"/>
          <w:szCs w:val="30"/>
        </w:rPr>
      </w:pPr>
    </w:p>
    <w:p>
      <w:pPr>
        <w:jc w:val="center"/>
        <w:rPr>
          <w:rFonts w:asciiTheme="majorEastAsia" w:eastAsiaTheme="majorEastAsia" w:hAnsiTheme="majorEastAsia" w:cstheme="majorEastAsia"/>
          <w:b/>
          <w:bCs/>
          <w:sz w:val="48"/>
          <w:szCs w:val="30"/>
        </w:rPr>
      </w:pPr>
      <w:r>
        <w:rPr>
          <w:rFonts w:asciiTheme="majorEastAsia" w:eastAsiaTheme="majorEastAsia" w:hAnsiTheme="majorEastAsia" w:cstheme="majorEastAsia"/>
          <w:b/>
          <w:bCs/>
          <w:sz w:val="48"/>
          <w:szCs w:val="30"/>
        </w:rPr>
        <w:t>B</w:t>
      </w:r>
    </w:p>
    <w:p/>
    <w:p/>
    <w:p/>
    <w:p/>
    <w:p/>
    <w:p/>
    <w:p/>
    <w:p/>
    <w:p/>
    <w:p/>
    <w:p/>
    <w:p/>
    <w:p/>
    <w:p/>
    <w:p>
      <w:pPr>
        <w:jc w:val="center"/>
        <w:rPr>
          <w:rFonts w:ascii="宋体" w:eastAsia="宋体" w:hAnsi="宋体"/>
          <w:sz w:val="48"/>
          <w:szCs w:val="48"/>
        </w:rPr>
        <w:sectPr>
          <w:headerReference w:type="default" r:id="rId6"/>
          <w:footerReference w:type="default" r:id="rId7"/>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lowerRoman" w:start="1"/>
          <w:cols w:num="1" w:space="425"/>
          <w:docGrid w:type="lines" w:linePitch="312" w:charSpace="0"/>
        </w:sectPr>
      </w:pPr>
      <w:r>
        <w:rPr>
          <w:rFonts w:ascii="宋体" w:eastAsia="宋体" w:hAnsi="宋体" w:hint="eastAsia"/>
          <w:sz w:val="48"/>
          <w:szCs w:val="48"/>
        </w:rPr>
        <w:t>2</w:t>
      </w:r>
      <w:r>
        <w:rPr>
          <w:rFonts w:ascii="宋体" w:eastAsia="宋体" w:hAnsi="宋体"/>
          <w:sz w:val="48"/>
          <w:szCs w:val="48"/>
        </w:rPr>
        <w:t>02</w:t>
      </w:r>
      <w:r>
        <w:rPr>
          <w:rFonts w:ascii="宋体" w:eastAsia="宋体" w:hAnsi="宋体" w:hint="eastAsia"/>
          <w:sz w:val="48"/>
          <w:szCs w:val="48"/>
          <w:lang w:val="en-US" w:eastAsia="zh-CN"/>
        </w:rPr>
        <w:t>3</w:t>
      </w:r>
      <w:r>
        <w:rPr>
          <w:rFonts w:ascii="宋体" w:eastAsia="宋体" w:hAnsi="宋体"/>
          <w:sz w:val="48"/>
          <w:szCs w:val="48"/>
        </w:rPr>
        <w:t>年</w:t>
      </w:r>
      <w:r>
        <w:rPr>
          <w:rFonts w:ascii="宋体" w:eastAsia="宋体" w:hAnsi="宋体" w:hint="eastAsia"/>
          <w:sz w:val="48"/>
          <w:szCs w:val="48"/>
          <w:lang w:val="en-US" w:eastAsia="zh-CN"/>
        </w:rPr>
        <w:t>5</w:t>
      </w:r>
      <w:bookmarkStart w:id="0" w:name="_GoBack"/>
      <w:bookmarkEnd w:id="0"/>
      <w:r>
        <w:rPr>
          <w:rFonts w:ascii="宋体" w:eastAsia="宋体" w:hAnsi="宋体" w:hint="eastAsia"/>
          <w:sz w:val="48"/>
          <w:szCs w:val="48"/>
        </w:rPr>
        <w:t>月</w:t>
      </w:r>
    </w:p>
    <w:sdt>
      <w:sdtPr>
        <w:rPr>
          <w:rFonts w:asciiTheme="minorHAnsi" w:eastAsiaTheme="minorEastAsia" w:hAnsiTheme="minorHAnsi" w:cstheme="minorBidi"/>
          <w:color w:val="auto"/>
          <w:kern w:val="2"/>
          <w:sz w:val="21"/>
          <w:szCs w:val="24"/>
          <w:lang w:val="zh-CN"/>
        </w:rPr>
        <w:id w:val="-1430425145"/>
        <w:docPartObj>
          <w:docPartGallery w:val="Table of Contents"/>
          <w:docPartUnique/>
        </w:docPartObj>
      </w:sdtPr>
      <w:sdtEndPr>
        <w:rPr>
          <w:rFonts w:asciiTheme="minorHAnsi" w:eastAsiaTheme="minorEastAsia" w:hAnsiTheme="minorHAnsi" w:cstheme="minorBidi"/>
          <w:b/>
          <w:bCs/>
          <w:color w:val="auto"/>
          <w:kern w:val="2"/>
          <w:sz w:val="21"/>
          <w:szCs w:val="24"/>
          <w:lang w:val="zh-CN"/>
        </w:rPr>
      </w:sdtEndPr>
      <w:sdtContent>
        <w:p>
          <w:pPr>
            <w:pStyle w:val="TOCHeading"/>
            <w:spacing w:before="312" w:beforeLines="100" w:after="312" w:afterLines="100" w:line="480" w:lineRule="auto"/>
            <w:jc w:val="center"/>
            <w:rPr>
              <w:color w:val="auto"/>
              <w:sz w:val="36"/>
              <w:szCs w:val="36"/>
            </w:rPr>
          </w:pPr>
          <w:r>
            <w:rPr>
              <w:color w:val="auto"/>
              <w:sz w:val="36"/>
              <w:szCs w:val="36"/>
              <w:lang w:val="zh-CN"/>
            </w:rPr>
            <w:t>目</w:t>
          </w:r>
          <w:r>
            <w:rPr>
              <w:rFonts w:hint="eastAsia"/>
              <w:color w:val="auto"/>
              <w:sz w:val="36"/>
              <w:szCs w:val="36"/>
              <w:lang w:val="zh-CN"/>
            </w:rPr>
            <w:t xml:space="preserve"> </w:t>
          </w:r>
          <w:r>
            <w:rPr>
              <w:color w:val="auto"/>
              <w:sz w:val="36"/>
              <w:szCs w:val="36"/>
              <w:lang w:val="zh-CN"/>
            </w:rPr>
            <w:t>录</w:t>
          </w:r>
        </w:p>
        <w:p>
          <w:pPr>
            <w:pStyle w:val="TOC1"/>
            <w:tabs>
              <w:tab w:val="right" w:leader="dot" w:pos="8306"/>
            </w:tabs>
          </w:pPr>
          <w:r>
            <w:rPr>
              <w:b/>
              <w:bCs/>
              <w:lang w:val="zh-CN"/>
            </w:rPr>
            <w:fldChar w:fldCharType="begin"/>
          </w:r>
          <w:r>
            <w:rPr>
              <w:b/>
              <w:bCs/>
              <w:lang w:val="zh-CN"/>
            </w:rPr>
            <w:instrText xml:space="preserve"> TOC \o "1-3" \h \z \u </w:instrText>
          </w:r>
          <w:r>
            <w:rPr>
              <w:b/>
              <w:bCs/>
              <w:lang w:val="zh-CN"/>
            </w:rPr>
            <w:fldChar w:fldCharType="separate"/>
          </w:r>
          <w:hyperlink w:anchor="_Toc17639" w:history="1">
            <w:r>
              <w:rPr>
                <w:rFonts w:ascii="宋体" w:eastAsia="宋体" w:hAnsi="宋体" w:hint="eastAsia"/>
                <w:szCs w:val="28"/>
              </w:rPr>
              <w:t>一、简介</w:t>
            </w:r>
            <w:r>
              <w:tab/>
            </w:r>
            <w:r>
              <w:fldChar w:fldCharType="begin"/>
            </w:r>
            <w:r>
              <w:instrText xml:space="preserve"> PAGEREF _Toc17639 \h </w:instrText>
            </w:r>
            <w:r>
              <w:fldChar w:fldCharType="separate"/>
            </w:r>
            <w:r>
              <w:t>1</w:t>
            </w:r>
            <w:r>
              <w:fldChar w:fldCharType="end"/>
            </w:r>
          </w:hyperlink>
        </w:p>
        <w:p>
          <w:pPr>
            <w:pStyle w:val="TOC1"/>
            <w:tabs>
              <w:tab w:val="right" w:leader="dot" w:pos="8306"/>
            </w:tabs>
          </w:pPr>
          <w:hyperlink w:anchor="_Toc3408" w:history="1">
            <w:r>
              <w:rPr>
                <w:rFonts w:ascii="宋体" w:eastAsia="宋体" w:hAnsi="宋体" w:hint="eastAsia"/>
                <w:szCs w:val="28"/>
              </w:rPr>
              <w:t>二、项目和任务说明</w:t>
            </w:r>
            <w:r>
              <w:tab/>
            </w:r>
            <w:r>
              <w:fldChar w:fldCharType="begin"/>
            </w:r>
            <w:r>
              <w:instrText xml:space="preserve"> PAGEREF _Toc3408 \h </w:instrText>
            </w:r>
            <w:r>
              <w:fldChar w:fldCharType="separate"/>
            </w:r>
            <w:r>
              <w:t>1</w:t>
            </w:r>
            <w:r>
              <w:fldChar w:fldCharType="end"/>
            </w:r>
          </w:hyperlink>
        </w:p>
        <w:p>
          <w:pPr>
            <w:pStyle w:val="TOC1"/>
            <w:tabs>
              <w:tab w:val="right" w:leader="dot" w:pos="8306"/>
            </w:tabs>
          </w:pPr>
          <w:hyperlink w:anchor="_Toc32069" w:history="1">
            <w:r>
              <w:rPr>
                <w:rFonts w:ascii="宋体" w:eastAsia="宋体" w:hAnsi="宋体"/>
                <w:szCs w:val="28"/>
              </w:rPr>
              <w:t>三、选手指南</w:t>
            </w:r>
            <w:r>
              <w:tab/>
            </w:r>
            <w:r>
              <w:fldChar w:fldCharType="begin"/>
            </w:r>
            <w:r>
              <w:instrText xml:space="preserve"> PAGEREF _Toc32069 \h </w:instrText>
            </w:r>
            <w:r>
              <w:fldChar w:fldCharType="separate"/>
            </w:r>
            <w:r>
              <w:t>1</w:t>
            </w:r>
            <w:r>
              <w:fldChar w:fldCharType="end"/>
            </w:r>
          </w:hyperlink>
        </w:p>
        <w:p>
          <w:pPr>
            <w:pStyle w:val="TOC2"/>
            <w:tabs>
              <w:tab w:val="right" w:leader="dot" w:pos="8306"/>
            </w:tabs>
          </w:pPr>
          <w:hyperlink w:anchor="_Toc21258" w:history="1">
            <w:r>
              <w:rPr>
                <w:rFonts w:ascii="宋体" w:eastAsia="宋体" w:hAnsi="宋体" w:hint="eastAsia"/>
              </w:rPr>
              <w:t>（一）比赛时间</w:t>
            </w:r>
            <w:r>
              <w:tab/>
            </w:r>
            <w:r>
              <w:fldChar w:fldCharType="begin"/>
            </w:r>
            <w:r>
              <w:instrText xml:space="preserve"> PAGEREF _Toc21258 \h </w:instrText>
            </w:r>
            <w:r>
              <w:fldChar w:fldCharType="separate"/>
            </w:r>
            <w:r>
              <w:t>1</w:t>
            </w:r>
            <w:r>
              <w:fldChar w:fldCharType="end"/>
            </w:r>
          </w:hyperlink>
        </w:p>
        <w:p>
          <w:pPr>
            <w:pStyle w:val="TOC2"/>
            <w:tabs>
              <w:tab w:val="right" w:leader="dot" w:pos="8306"/>
            </w:tabs>
          </w:pPr>
          <w:hyperlink w:anchor="_Toc7485" w:history="1">
            <w:r>
              <w:rPr>
                <w:rFonts w:ascii="宋体" w:eastAsia="宋体" w:hAnsi="宋体" w:hint="eastAsia"/>
              </w:rPr>
              <w:t>（二）通则</w:t>
            </w:r>
            <w:r>
              <w:tab/>
            </w:r>
            <w:r>
              <w:fldChar w:fldCharType="begin"/>
            </w:r>
            <w:r>
              <w:instrText xml:space="preserve"> PAGEREF _Toc7485 \h </w:instrText>
            </w:r>
            <w:r>
              <w:fldChar w:fldCharType="separate"/>
            </w:r>
            <w:r>
              <w:t>1</w:t>
            </w:r>
            <w:r>
              <w:fldChar w:fldCharType="end"/>
            </w:r>
          </w:hyperlink>
        </w:p>
        <w:p>
          <w:pPr>
            <w:pStyle w:val="TOC2"/>
            <w:tabs>
              <w:tab w:val="right" w:leader="dot" w:pos="8306"/>
            </w:tabs>
          </w:pPr>
          <w:hyperlink w:anchor="_Toc26315" w:history="1">
            <w:r>
              <w:rPr>
                <w:rFonts w:ascii="宋体" w:eastAsia="宋体" w:hAnsi="宋体"/>
              </w:rPr>
              <w:t>（三）工作组织和管理</w:t>
            </w:r>
            <w:r>
              <w:tab/>
            </w:r>
            <w:r>
              <w:fldChar w:fldCharType="begin"/>
            </w:r>
            <w:r>
              <w:instrText xml:space="preserve"> PAGEREF _Toc26315 \h </w:instrText>
            </w:r>
            <w:r>
              <w:fldChar w:fldCharType="separate"/>
            </w:r>
            <w:r>
              <w:t>1</w:t>
            </w:r>
            <w:r>
              <w:fldChar w:fldCharType="end"/>
            </w:r>
          </w:hyperlink>
        </w:p>
        <w:p>
          <w:pPr>
            <w:pStyle w:val="TOC2"/>
            <w:tabs>
              <w:tab w:val="right" w:leader="dot" w:pos="8306"/>
            </w:tabs>
          </w:pPr>
          <w:hyperlink w:anchor="_Toc12699" w:history="1">
            <w:r>
              <w:rPr>
                <w:rFonts w:ascii="宋体" w:eastAsia="宋体" w:hAnsi="宋体"/>
              </w:rPr>
              <w:t>（四）设计</w:t>
            </w:r>
            <w:r>
              <w:tab/>
            </w:r>
            <w:r>
              <w:fldChar w:fldCharType="begin"/>
            </w:r>
            <w:r>
              <w:instrText xml:space="preserve"> PAGEREF _Toc12699 \h </w:instrText>
            </w:r>
            <w:r>
              <w:fldChar w:fldCharType="separate"/>
            </w:r>
            <w:r>
              <w:t>2</w:t>
            </w:r>
            <w:r>
              <w:fldChar w:fldCharType="end"/>
            </w:r>
          </w:hyperlink>
        </w:p>
        <w:p>
          <w:pPr>
            <w:pStyle w:val="TOC2"/>
            <w:tabs>
              <w:tab w:val="right" w:leader="dot" w:pos="8306"/>
            </w:tabs>
          </w:pPr>
          <w:hyperlink w:anchor="_Toc15085" w:history="1">
            <w:r>
              <w:rPr>
                <w:rFonts w:ascii="宋体" w:eastAsia="宋体" w:hAnsi="宋体" w:hint="eastAsia"/>
              </w:rPr>
              <w:t>（五）安装</w:t>
            </w:r>
            <w:r>
              <w:tab/>
            </w:r>
            <w:r>
              <w:fldChar w:fldCharType="begin"/>
            </w:r>
            <w:r>
              <w:instrText xml:space="preserve"> PAGEREF _Toc15085 \h </w:instrText>
            </w:r>
            <w:r>
              <w:fldChar w:fldCharType="separate"/>
            </w:r>
            <w:r>
              <w:t>3</w:t>
            </w:r>
            <w:r>
              <w:fldChar w:fldCharType="end"/>
            </w:r>
          </w:hyperlink>
        </w:p>
        <w:p>
          <w:pPr>
            <w:pStyle w:val="TOC2"/>
            <w:tabs>
              <w:tab w:val="right" w:leader="dot" w:pos="8306"/>
            </w:tabs>
          </w:pPr>
          <w:hyperlink w:anchor="_Toc293" w:history="1">
            <w:r>
              <w:rPr>
                <w:rFonts w:ascii="宋体" w:eastAsia="宋体" w:hAnsi="宋体" w:hint="eastAsia"/>
              </w:rPr>
              <w:t>（六）检查</w:t>
            </w:r>
            <w:r>
              <w:tab/>
            </w:r>
            <w:r>
              <w:fldChar w:fldCharType="begin"/>
            </w:r>
            <w:r>
              <w:instrText xml:space="preserve"> PAGEREF _Toc293 \h </w:instrText>
            </w:r>
            <w:r>
              <w:fldChar w:fldCharType="separate"/>
            </w:r>
            <w:r>
              <w:t>3</w:t>
            </w:r>
            <w:r>
              <w:fldChar w:fldCharType="end"/>
            </w:r>
          </w:hyperlink>
        </w:p>
        <w:p>
          <w:pPr>
            <w:pStyle w:val="TOC1"/>
            <w:tabs>
              <w:tab w:val="right" w:leader="dot" w:pos="8306"/>
            </w:tabs>
          </w:pPr>
          <w:hyperlink w:anchor="_Toc27046" w:history="1">
            <w:r>
              <w:rPr>
                <w:rFonts w:ascii="宋体" w:eastAsia="宋体" w:hAnsi="宋体"/>
                <w:szCs w:val="28"/>
              </w:rPr>
              <w:t>四、设计和技术规范</w:t>
            </w:r>
            <w:r>
              <w:tab/>
            </w:r>
            <w:r>
              <w:fldChar w:fldCharType="begin"/>
            </w:r>
            <w:r>
              <w:instrText xml:space="preserve"> PAGEREF _Toc27046 \h </w:instrText>
            </w:r>
            <w:r>
              <w:fldChar w:fldCharType="separate"/>
            </w:r>
            <w:r>
              <w:t>3</w:t>
            </w:r>
            <w:r>
              <w:fldChar w:fldCharType="end"/>
            </w:r>
          </w:hyperlink>
        </w:p>
        <w:p>
          <w:pPr>
            <w:pStyle w:val="TOC2"/>
            <w:tabs>
              <w:tab w:val="right" w:leader="dot" w:pos="8306"/>
            </w:tabs>
          </w:pPr>
          <w:hyperlink w:anchor="_Toc6550" w:history="1">
            <w:r>
              <w:rPr>
                <w:rFonts w:ascii="宋体" w:eastAsia="宋体" w:hAnsi="宋体" w:hint="eastAsia"/>
              </w:rPr>
              <w:t>（一）要求</w:t>
            </w:r>
            <w:r>
              <w:tab/>
            </w:r>
            <w:r>
              <w:fldChar w:fldCharType="begin"/>
            </w:r>
            <w:r>
              <w:instrText xml:space="preserve"> PAGEREF _Toc6550 \h </w:instrText>
            </w:r>
            <w:r>
              <w:fldChar w:fldCharType="separate"/>
            </w:r>
            <w:r>
              <w:t>3</w:t>
            </w:r>
            <w:r>
              <w:fldChar w:fldCharType="end"/>
            </w:r>
          </w:hyperlink>
        </w:p>
        <w:p>
          <w:pPr>
            <w:pStyle w:val="TOC2"/>
            <w:tabs>
              <w:tab w:val="right" w:leader="dot" w:pos="8306"/>
            </w:tabs>
          </w:pPr>
          <w:hyperlink w:anchor="_Toc15520" w:history="1">
            <w:r>
              <w:rPr>
                <w:rFonts w:ascii="宋体" w:eastAsia="宋体" w:hAnsi="宋体" w:hint="eastAsia"/>
              </w:rPr>
              <w:t>（二）通则</w:t>
            </w:r>
            <w:r>
              <w:tab/>
            </w:r>
            <w:r>
              <w:fldChar w:fldCharType="begin"/>
            </w:r>
            <w:r>
              <w:instrText xml:space="preserve"> PAGEREF _Toc15520 \h </w:instrText>
            </w:r>
            <w:r>
              <w:fldChar w:fldCharType="separate"/>
            </w:r>
            <w:r>
              <w:t>3</w:t>
            </w:r>
            <w:r>
              <w:fldChar w:fldCharType="end"/>
            </w:r>
          </w:hyperlink>
        </w:p>
        <w:p>
          <w:pPr>
            <w:pStyle w:val="TOC2"/>
            <w:tabs>
              <w:tab w:val="right" w:leader="dot" w:pos="8306"/>
            </w:tabs>
          </w:pPr>
          <w:hyperlink w:anchor="_Toc11619" w:history="1">
            <w:r>
              <w:rPr>
                <w:rFonts w:ascii="宋体" w:eastAsia="宋体" w:hAnsi="宋体" w:hint="eastAsia"/>
              </w:rPr>
              <w:t>（</w:t>
            </w:r>
            <w:r>
              <w:rPr>
                <w:rFonts w:ascii="宋体" w:eastAsia="宋体" w:hAnsi="宋体" w:hint="eastAsia"/>
                <w:lang w:val="en-US" w:eastAsia="zh-CN"/>
              </w:rPr>
              <w:t>三</w:t>
            </w:r>
            <w:r>
              <w:rPr>
                <w:rFonts w:ascii="宋体" w:eastAsia="宋体" w:hAnsi="宋体" w:hint="eastAsia"/>
              </w:rPr>
              <w:t>）连接和路由系统设计规范</w:t>
            </w:r>
            <w:r>
              <w:tab/>
            </w:r>
            <w:r>
              <w:fldChar w:fldCharType="begin"/>
            </w:r>
            <w:r>
              <w:instrText xml:space="preserve"> PAGEREF _Toc11619 \h </w:instrText>
            </w:r>
            <w:r>
              <w:fldChar w:fldCharType="separate"/>
            </w:r>
            <w:r>
              <w:t>5</w:t>
            </w:r>
            <w:r>
              <w:fldChar w:fldCharType="end"/>
            </w:r>
          </w:hyperlink>
        </w:p>
        <w:p>
          <w:pPr>
            <w:pStyle w:val="TOC1"/>
            <w:tabs>
              <w:tab w:val="right" w:leader="dot" w:pos="8306"/>
            </w:tabs>
          </w:pPr>
          <w:hyperlink w:anchor="_Toc13858" w:history="1">
            <w:r>
              <w:rPr>
                <w:rFonts w:ascii="宋体" w:eastAsia="宋体" w:hAnsi="宋体"/>
                <w:szCs w:val="28"/>
              </w:rPr>
              <w:t>五、安装规范</w:t>
            </w:r>
            <w:r>
              <w:tab/>
            </w:r>
            <w:r>
              <w:fldChar w:fldCharType="begin"/>
            </w:r>
            <w:r>
              <w:instrText xml:space="preserve"> PAGEREF _Toc13858 \h </w:instrText>
            </w:r>
            <w:r>
              <w:fldChar w:fldCharType="separate"/>
            </w:r>
            <w:r>
              <w:t>5</w:t>
            </w:r>
            <w:r>
              <w:fldChar w:fldCharType="end"/>
            </w:r>
          </w:hyperlink>
        </w:p>
        <w:p>
          <w:pPr>
            <w:pStyle w:val="TOC2"/>
            <w:tabs>
              <w:tab w:val="right" w:leader="dot" w:pos="8306"/>
            </w:tabs>
          </w:pPr>
          <w:hyperlink w:anchor="_Toc4284" w:history="1">
            <w:r>
              <w:rPr>
                <w:rFonts w:ascii="宋体" w:eastAsia="宋体" w:hAnsi="宋体" w:hint="eastAsia"/>
              </w:rPr>
              <w:t>（一）通则</w:t>
            </w:r>
            <w:r>
              <w:tab/>
            </w:r>
            <w:r>
              <w:fldChar w:fldCharType="begin"/>
            </w:r>
            <w:r>
              <w:instrText xml:space="preserve"> PAGEREF _Toc4284 \h </w:instrText>
            </w:r>
            <w:r>
              <w:fldChar w:fldCharType="separate"/>
            </w:r>
            <w:r>
              <w:t>5</w:t>
            </w:r>
            <w:r>
              <w:fldChar w:fldCharType="end"/>
            </w:r>
          </w:hyperlink>
        </w:p>
        <w:p>
          <w:pPr>
            <w:pStyle w:val="TOC2"/>
            <w:tabs>
              <w:tab w:val="right" w:leader="dot" w:pos="8306"/>
            </w:tabs>
          </w:pPr>
          <w:hyperlink w:anchor="_Toc20638" w:history="1">
            <w:r>
              <w:rPr>
                <w:rFonts w:ascii="宋体" w:eastAsia="宋体" w:hAnsi="宋体"/>
              </w:rPr>
              <w:t>（二）光纤连接盒和接续盒</w:t>
            </w:r>
            <w:r>
              <w:tab/>
            </w:r>
            <w:r>
              <w:fldChar w:fldCharType="begin"/>
            </w:r>
            <w:r>
              <w:instrText xml:space="preserve"> PAGEREF _Toc20638 \h </w:instrText>
            </w:r>
            <w:r>
              <w:fldChar w:fldCharType="separate"/>
            </w:r>
            <w:r>
              <w:t>5</w:t>
            </w:r>
            <w:r>
              <w:fldChar w:fldCharType="end"/>
            </w:r>
          </w:hyperlink>
        </w:p>
        <w:p>
          <w:pPr>
            <w:pStyle w:val="TOC2"/>
            <w:tabs>
              <w:tab w:val="right" w:leader="dot" w:pos="8306"/>
            </w:tabs>
          </w:pPr>
          <w:hyperlink w:anchor="_Toc22364" w:history="1">
            <w:r>
              <w:rPr>
                <w:rFonts w:ascii="宋体" w:eastAsia="宋体" w:hAnsi="宋体" w:hint="eastAsia"/>
              </w:rPr>
              <w:t>（三）线缆管理</w:t>
            </w:r>
            <w:r>
              <w:tab/>
            </w:r>
            <w:r>
              <w:fldChar w:fldCharType="begin"/>
            </w:r>
            <w:r>
              <w:instrText xml:space="preserve"> PAGEREF _Toc22364 \h </w:instrText>
            </w:r>
            <w:r>
              <w:fldChar w:fldCharType="separate"/>
            </w:r>
            <w:r>
              <w:t>6</w:t>
            </w:r>
            <w:r>
              <w:fldChar w:fldCharType="end"/>
            </w:r>
          </w:hyperlink>
        </w:p>
        <w:p>
          <w:pPr>
            <w:pStyle w:val="TOC2"/>
            <w:tabs>
              <w:tab w:val="right" w:leader="dot" w:pos="8306"/>
            </w:tabs>
          </w:pPr>
          <w:hyperlink w:anchor="_Toc4005" w:history="1">
            <w:r>
              <w:rPr>
                <w:rFonts w:ascii="宋体" w:eastAsia="宋体" w:hAnsi="宋体" w:hint="eastAsia"/>
              </w:rPr>
              <w:t>（四）布线</w:t>
            </w:r>
            <w:r>
              <w:tab/>
            </w:r>
            <w:r>
              <w:fldChar w:fldCharType="begin"/>
            </w:r>
            <w:r>
              <w:instrText xml:space="preserve"> PAGEREF _Toc4005 \h </w:instrText>
            </w:r>
            <w:r>
              <w:fldChar w:fldCharType="separate"/>
            </w:r>
            <w:r>
              <w:t>6</w:t>
            </w:r>
            <w:r>
              <w:fldChar w:fldCharType="end"/>
            </w:r>
          </w:hyperlink>
        </w:p>
        <w:p>
          <w:pPr>
            <w:pStyle w:val="TOC2"/>
            <w:tabs>
              <w:tab w:val="right" w:leader="dot" w:pos="8306"/>
            </w:tabs>
          </w:pPr>
          <w:hyperlink w:anchor="_Toc25134" w:history="1">
            <w:r>
              <w:rPr>
                <w:rFonts w:ascii="宋体" w:eastAsia="宋体" w:hAnsi="宋体" w:hint="eastAsia"/>
              </w:rPr>
              <w:t>（五）测量</w:t>
            </w:r>
            <w:r>
              <w:tab/>
            </w:r>
            <w:r>
              <w:fldChar w:fldCharType="begin"/>
            </w:r>
            <w:r>
              <w:instrText xml:space="preserve"> PAGEREF _Toc25134 \h </w:instrText>
            </w:r>
            <w:r>
              <w:fldChar w:fldCharType="separate"/>
            </w:r>
            <w:r>
              <w:t>7</w:t>
            </w:r>
            <w:r>
              <w:fldChar w:fldCharType="end"/>
            </w:r>
          </w:hyperlink>
        </w:p>
        <w:p>
          <w:pPr>
            <w:pStyle w:val="TOC1"/>
            <w:tabs>
              <w:tab w:val="right" w:leader="dot" w:pos="8306"/>
            </w:tabs>
          </w:pPr>
          <w:hyperlink w:anchor="_Toc5523" w:history="1">
            <w:r>
              <w:rPr>
                <w:rFonts w:ascii="宋体" w:eastAsia="宋体" w:hAnsi="宋体" w:hint="eastAsia"/>
                <w:szCs w:val="28"/>
                <w:lang w:val="en-US" w:eastAsia="zh-CN"/>
              </w:rPr>
              <w:t>六</w:t>
            </w:r>
            <w:r>
              <w:rPr>
                <w:rFonts w:ascii="宋体" w:eastAsia="宋体" w:hAnsi="宋体"/>
                <w:szCs w:val="28"/>
              </w:rPr>
              <w:t>、其他</w:t>
            </w:r>
            <w:r>
              <w:tab/>
            </w:r>
            <w:r>
              <w:fldChar w:fldCharType="begin"/>
            </w:r>
            <w:r>
              <w:instrText xml:space="preserve"> PAGEREF _Toc5523 \h </w:instrText>
            </w:r>
            <w:r>
              <w:fldChar w:fldCharType="separate"/>
            </w:r>
            <w:r>
              <w:t>7</w:t>
            </w:r>
            <w:r>
              <w:fldChar w:fldCharType="end"/>
            </w:r>
          </w:hyperlink>
        </w:p>
        <w:p>
          <w:pPr>
            <w:pStyle w:val="TOC2"/>
            <w:tabs>
              <w:tab w:val="right" w:leader="dot" w:pos="8306"/>
            </w:tabs>
          </w:pPr>
          <w:hyperlink w:anchor="_Toc25301" w:history="1">
            <w:r>
              <w:rPr>
                <w:rFonts w:ascii="宋体" w:eastAsia="宋体" w:hAnsi="宋体" w:hint="eastAsia"/>
              </w:rPr>
              <w:t>（一）选手必须遵守以下指令：</w:t>
            </w:r>
            <w:r>
              <w:tab/>
            </w:r>
            <w:r>
              <w:fldChar w:fldCharType="begin"/>
            </w:r>
            <w:r>
              <w:instrText xml:space="preserve"> PAGEREF _Toc25301 \h </w:instrText>
            </w:r>
            <w:r>
              <w:fldChar w:fldCharType="separate"/>
            </w:r>
            <w:r>
              <w:t>7</w:t>
            </w:r>
            <w:r>
              <w:fldChar w:fldCharType="end"/>
            </w:r>
          </w:hyperlink>
        </w:p>
        <w:p>
          <w:pPr>
            <w:pStyle w:val="TOC2"/>
            <w:tabs>
              <w:tab w:val="right" w:leader="dot" w:pos="8306"/>
            </w:tabs>
          </w:pPr>
          <w:hyperlink w:anchor="_Toc19307" w:history="1">
            <w:r>
              <w:rPr>
                <w:rFonts w:ascii="宋体" w:eastAsia="宋体" w:hAnsi="宋体"/>
              </w:rPr>
              <w:t>（二）</w:t>
            </w:r>
            <w:r>
              <w:rPr>
                <w:rFonts w:ascii="宋体" w:eastAsia="宋体" w:hAnsi="宋体" w:hint="eastAsia"/>
                <w:lang w:val="en-US" w:eastAsia="zh-CN"/>
              </w:rPr>
              <w:t>操作过程</w:t>
            </w:r>
            <w:r>
              <w:tab/>
            </w:r>
            <w:r>
              <w:fldChar w:fldCharType="begin"/>
            </w:r>
            <w:r>
              <w:instrText xml:space="preserve"> PAGEREF _Toc19307 \h </w:instrText>
            </w:r>
            <w:r>
              <w:fldChar w:fldCharType="separate"/>
            </w:r>
            <w:r>
              <w:t>8</w:t>
            </w:r>
            <w:r>
              <w:fldChar w:fldCharType="end"/>
            </w:r>
          </w:hyperlink>
        </w:p>
        <w:p>
          <w:pPr>
            <w:pStyle w:val="TOC2"/>
            <w:tabs>
              <w:tab w:val="right" w:leader="dot" w:pos="8306"/>
            </w:tabs>
          </w:pPr>
          <w:hyperlink w:anchor="_Toc19595" w:history="1">
            <w:r>
              <w:rPr>
                <w:rFonts w:ascii="宋体" w:eastAsia="宋体" w:hAnsi="宋体"/>
              </w:rPr>
              <w:t>（二）测试说明</w:t>
            </w:r>
            <w:r>
              <w:tab/>
            </w:r>
            <w:r>
              <w:fldChar w:fldCharType="begin"/>
            </w:r>
            <w:r>
              <w:instrText xml:space="preserve"> PAGEREF _Toc19595 \h </w:instrText>
            </w:r>
            <w:r>
              <w:fldChar w:fldCharType="separate"/>
            </w:r>
            <w:r>
              <w:t>9</w:t>
            </w:r>
            <w:r>
              <w:fldChar w:fldCharType="end"/>
            </w:r>
          </w:hyperlink>
        </w:p>
        <w:p>
          <w:r>
            <w:rPr>
              <w:bCs/>
              <w:lang w:val="zh-CN"/>
            </w:rPr>
            <w:fldChar w:fldCharType="end"/>
          </w:r>
        </w:p>
      </w:sdtContent>
    </w:sdt>
    <w:p>
      <w:pPr>
        <w:widowControl/>
        <w:jc w:val="left"/>
        <w:rPr>
          <w:rFonts w:ascii="宋体" w:eastAsia="宋体" w:hAnsi="宋体"/>
          <w:sz w:val="48"/>
          <w:szCs w:val="48"/>
        </w:rPr>
      </w:pPr>
    </w:p>
    <w:p>
      <w:pPr>
        <w:spacing w:before="312" w:beforeLines="100" w:line="480" w:lineRule="auto"/>
        <w:outlineLvl w:val="0"/>
        <w:rPr>
          <w:rFonts w:ascii="宋体" w:eastAsia="宋体" w:hAnsi="宋体"/>
          <w:b/>
          <w:sz w:val="28"/>
          <w:szCs w:val="28"/>
        </w:rPr>
        <w:sectPr>
          <w:headerReference w:type="default" r:id="rId8"/>
          <w:footerReference w:type="default" r:id="rId9"/>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lowerRoman" w:start="2"/>
          <w:cols w:num="1" w:space="425"/>
          <w:titlePg w:val="0"/>
          <w:docGrid w:type="lines" w:linePitch="312" w:charSpace="0"/>
        </w:sectPr>
      </w:pPr>
    </w:p>
    <w:p>
      <w:pPr>
        <w:spacing w:before="312" w:beforeLines="100" w:line="480" w:lineRule="auto"/>
        <w:outlineLvl w:val="0"/>
        <w:rPr>
          <w:rFonts w:ascii="宋体" w:eastAsia="宋体" w:hAnsi="宋体"/>
          <w:b/>
          <w:sz w:val="28"/>
          <w:szCs w:val="28"/>
        </w:rPr>
      </w:pPr>
      <w:bookmarkStart w:id="1" w:name="_Toc17639"/>
      <w:r>
        <w:rPr>
          <w:rFonts w:ascii="宋体" w:eastAsia="宋体" w:hAnsi="宋体" w:hint="eastAsia"/>
          <w:b/>
          <w:sz w:val="28"/>
          <w:szCs w:val="28"/>
        </w:rPr>
        <w:t>一、简介</w:t>
      </w:r>
      <w:bookmarkEnd w:id="1"/>
    </w:p>
    <w:p>
      <w:pPr>
        <w:rPr>
          <w:rFonts w:ascii="宋体" w:eastAsia="宋体" w:hAnsi="宋体"/>
          <w:szCs w:val="21"/>
        </w:rPr>
      </w:pPr>
      <w:r>
        <w:rPr>
          <w:rFonts w:ascii="宋体" w:eastAsia="宋体" w:hAnsi="宋体" w:hint="eastAsia"/>
          <w:szCs w:val="21"/>
        </w:rPr>
        <w:t>此测试项目由以下文档/文件组成:</w:t>
      </w:r>
    </w:p>
    <w:p>
      <w:pPr>
        <w:pStyle w:val="ListParagraph"/>
        <w:numPr>
          <w:ilvl w:val="0"/>
          <w:numId w:val="1"/>
        </w:numPr>
        <w:ind w:firstLineChars="0"/>
        <w:rPr>
          <w:rFonts w:ascii="宋体" w:eastAsia="宋体" w:hAnsi="宋体"/>
          <w:szCs w:val="21"/>
        </w:rPr>
      </w:pPr>
      <w:r>
        <w:rPr>
          <w:rFonts w:ascii="宋体" w:eastAsia="宋体" w:hAnsi="宋体" w:hint="eastAsia"/>
          <w:szCs w:val="21"/>
        </w:rPr>
        <w:t>信息网络布线项目（精选组）江苏省选拔赛模块</w:t>
      </w:r>
      <w:r>
        <w:rPr>
          <w:rFonts w:ascii="宋体" w:eastAsia="宋体" w:hAnsi="宋体" w:hint="eastAsia"/>
          <w:szCs w:val="21"/>
          <w:lang w:val="en-US" w:eastAsia="zh-CN"/>
        </w:rPr>
        <w:t>B</w:t>
      </w:r>
      <w:r>
        <w:rPr>
          <w:rFonts w:ascii="宋体" w:eastAsia="宋体" w:hAnsi="宋体" w:hint="eastAsia"/>
          <w:szCs w:val="21"/>
        </w:rPr>
        <w:t>样题(此文档)；</w:t>
      </w:r>
    </w:p>
    <w:p>
      <w:pPr>
        <w:pStyle w:val="ListParagraph"/>
        <w:numPr>
          <w:ilvl w:val="0"/>
          <w:numId w:val="1"/>
        </w:numPr>
        <w:ind w:firstLineChars="0"/>
        <w:rPr>
          <w:rFonts w:ascii="宋体" w:eastAsia="宋体" w:hAnsi="宋体"/>
          <w:szCs w:val="21"/>
        </w:rPr>
      </w:pPr>
      <w:r>
        <w:rPr>
          <w:rFonts w:ascii="宋体" w:eastAsia="宋体" w:hAnsi="宋体" w:hint="eastAsia"/>
          <w:szCs w:val="21"/>
        </w:rPr>
        <w:t>工作计划&amp;日常工作报告（</w:t>
      </w:r>
      <w:r>
        <w:rPr>
          <w:rFonts w:ascii="宋体" w:eastAsia="宋体" w:hAnsi="宋体" w:hint="eastAsia"/>
          <w:szCs w:val="21"/>
          <w:lang w:val="en-US" w:eastAsia="zh-CN"/>
        </w:rPr>
        <w:t>表</w:t>
      </w:r>
      <w:r>
        <w:rPr>
          <w:rFonts w:ascii="宋体" w:eastAsia="宋体" w:hAnsi="宋体" w:hint="eastAsia"/>
          <w:szCs w:val="21"/>
        </w:rPr>
        <w:t>1）；</w:t>
      </w:r>
    </w:p>
    <w:p>
      <w:pPr>
        <w:pStyle w:val="ListParagraph"/>
        <w:numPr>
          <w:ilvl w:val="0"/>
          <w:numId w:val="1"/>
        </w:numPr>
        <w:ind w:firstLineChars="0"/>
        <w:rPr>
          <w:rFonts w:ascii="宋体" w:eastAsia="宋体" w:hAnsi="宋体"/>
          <w:szCs w:val="21"/>
        </w:rPr>
      </w:pPr>
      <w:r>
        <w:rPr>
          <w:rFonts w:ascii="宋体" w:eastAsia="宋体" w:hAnsi="宋体" w:hint="eastAsia"/>
          <w:szCs w:val="21"/>
        </w:rPr>
        <w:t>工作完成报告（</w:t>
      </w:r>
      <w:r>
        <w:rPr>
          <w:rFonts w:ascii="宋体" w:eastAsia="宋体" w:hAnsi="宋体" w:hint="eastAsia"/>
          <w:szCs w:val="21"/>
          <w:lang w:val="en-US" w:eastAsia="zh-CN"/>
        </w:rPr>
        <w:t>表</w:t>
      </w:r>
      <w:r>
        <w:rPr>
          <w:rFonts w:ascii="宋体" w:eastAsia="宋体" w:hAnsi="宋体" w:hint="eastAsia"/>
          <w:szCs w:val="21"/>
        </w:rPr>
        <w:t>2）；</w:t>
      </w:r>
    </w:p>
    <w:p>
      <w:pPr>
        <w:pStyle w:val="ListParagraph"/>
        <w:numPr>
          <w:ilvl w:val="0"/>
          <w:numId w:val="1"/>
        </w:numPr>
        <w:ind w:firstLineChars="0"/>
        <w:rPr>
          <w:rFonts w:ascii="宋体" w:eastAsia="宋体" w:hAnsi="宋体"/>
          <w:szCs w:val="21"/>
        </w:rPr>
      </w:pPr>
      <w:r>
        <w:rPr>
          <w:rFonts w:ascii="宋体" w:eastAsia="宋体" w:hAnsi="宋体" w:hint="eastAsia"/>
          <w:szCs w:val="21"/>
        </w:rPr>
        <w:t>测试结果（</w:t>
      </w:r>
      <w:r>
        <w:rPr>
          <w:rFonts w:ascii="宋体" w:eastAsia="宋体" w:hAnsi="宋体" w:hint="eastAsia"/>
          <w:szCs w:val="21"/>
          <w:lang w:val="en-US" w:eastAsia="zh-CN"/>
        </w:rPr>
        <w:t>表</w:t>
      </w:r>
      <w:r>
        <w:rPr>
          <w:rFonts w:ascii="宋体" w:eastAsia="宋体" w:hAnsi="宋体" w:hint="eastAsia"/>
          <w:szCs w:val="21"/>
        </w:rPr>
        <w:t>3）；</w:t>
      </w:r>
    </w:p>
    <w:p>
      <w:pPr>
        <w:pStyle w:val="ListParagraph"/>
        <w:numPr>
          <w:ilvl w:val="0"/>
          <w:numId w:val="1"/>
        </w:numPr>
        <w:ind w:firstLineChars="0"/>
        <w:rPr>
          <w:rFonts w:ascii="宋体" w:eastAsia="宋体" w:hAnsi="宋体"/>
          <w:szCs w:val="21"/>
        </w:rPr>
      </w:pPr>
      <w:r>
        <w:rPr>
          <w:rFonts w:ascii="宋体" w:eastAsia="宋体" w:hAnsi="宋体" w:hint="eastAsia"/>
          <w:szCs w:val="21"/>
        </w:rPr>
        <w:t>连接报告（</w:t>
      </w:r>
      <w:r>
        <w:rPr>
          <w:rFonts w:ascii="宋体" w:eastAsia="宋体" w:hAnsi="宋体" w:hint="eastAsia"/>
          <w:szCs w:val="21"/>
          <w:lang w:val="en-US" w:eastAsia="zh-CN"/>
        </w:rPr>
        <w:t>表</w:t>
      </w:r>
      <w:r>
        <w:rPr>
          <w:rFonts w:ascii="宋体" w:eastAsia="宋体" w:hAnsi="宋体" w:hint="eastAsia"/>
          <w:szCs w:val="21"/>
        </w:rPr>
        <w:t>4）；</w:t>
      </w:r>
    </w:p>
    <w:p>
      <w:pPr>
        <w:spacing w:before="312" w:beforeLines="100" w:line="480" w:lineRule="auto"/>
        <w:outlineLvl w:val="0"/>
        <w:rPr>
          <w:rFonts w:ascii="宋体" w:eastAsia="宋体" w:hAnsi="宋体"/>
          <w:b/>
          <w:sz w:val="28"/>
          <w:szCs w:val="28"/>
        </w:rPr>
      </w:pPr>
      <w:bookmarkStart w:id="2" w:name="_Toc3408"/>
      <w:r>
        <w:rPr>
          <w:rFonts w:ascii="宋体" w:eastAsia="宋体" w:hAnsi="宋体" w:hint="eastAsia"/>
          <w:b/>
          <w:sz w:val="28"/>
          <w:szCs w:val="28"/>
        </w:rPr>
        <w:t>二、项目和任务说明</w:t>
      </w:r>
      <w:bookmarkEnd w:id="2"/>
    </w:p>
    <w:p>
      <w:pPr>
        <w:spacing w:line="360" w:lineRule="auto"/>
        <w:ind w:firstLine="480" w:firstLineChars="200"/>
        <w:rPr>
          <w:rFonts w:ascii="宋体" w:eastAsia="宋体" w:hAnsi="宋体"/>
          <w:sz w:val="24"/>
        </w:rPr>
      </w:pPr>
      <w:r>
        <w:rPr>
          <w:rFonts w:ascii="宋体" w:eastAsia="宋体" w:hAnsi="宋体" w:hint="eastAsia"/>
          <w:sz w:val="24"/>
        </w:rPr>
        <w:t>模块B是模拟客户端所属的小型数据中心中的信息网络布线系统的任务。客户的目标是在将来扩展机架配置服务。这里假设的信息布线系统规模较小，由机房内的一个32U以上的主机架和另一个机房内的一个12U子机架构成。12U机架连接到大厦租户空间内设置的电信插座。</w:t>
      </w:r>
    </w:p>
    <w:p>
      <w:pPr>
        <w:spacing w:before="312" w:beforeLines="100" w:line="480" w:lineRule="auto"/>
        <w:outlineLvl w:val="0"/>
        <w:rPr>
          <w:rFonts w:ascii="宋体" w:eastAsia="宋体" w:hAnsi="宋体"/>
          <w:b/>
          <w:sz w:val="28"/>
          <w:szCs w:val="28"/>
        </w:rPr>
      </w:pPr>
      <w:bookmarkStart w:id="3" w:name="_Toc32069"/>
      <w:r>
        <w:rPr>
          <w:rFonts w:ascii="宋体" w:eastAsia="宋体" w:hAnsi="宋体"/>
          <w:b/>
          <w:sz w:val="28"/>
          <w:szCs w:val="28"/>
        </w:rPr>
        <w:t>三、选手指南</w:t>
      </w:r>
      <w:bookmarkEnd w:id="3"/>
    </w:p>
    <w:p>
      <w:pPr>
        <w:spacing w:line="360" w:lineRule="auto"/>
        <w:outlineLvl w:val="1"/>
        <w:rPr>
          <w:rFonts w:ascii="宋体" w:eastAsia="宋体" w:hAnsi="宋体"/>
          <w:b/>
          <w:sz w:val="24"/>
        </w:rPr>
      </w:pPr>
      <w:bookmarkStart w:id="4" w:name="_Toc21258"/>
      <w:r>
        <w:rPr>
          <w:rFonts w:ascii="宋体" w:eastAsia="宋体" w:hAnsi="宋体" w:hint="eastAsia"/>
          <w:b/>
          <w:sz w:val="24"/>
        </w:rPr>
        <w:t>（一）比赛时间</w:t>
      </w:r>
      <w:bookmarkEnd w:id="4"/>
    </w:p>
    <w:p>
      <w:pPr>
        <w:spacing w:line="360" w:lineRule="auto"/>
        <w:ind w:firstLine="480" w:firstLineChars="200"/>
        <w:rPr>
          <w:rFonts w:ascii="宋体" w:eastAsia="宋体" w:hAnsi="宋体" w:hint="default"/>
          <w:sz w:val="24"/>
        </w:rPr>
      </w:pPr>
      <w:r>
        <w:rPr>
          <w:rFonts w:ascii="宋体" w:eastAsia="宋体" w:hAnsi="宋体" w:hint="eastAsia"/>
          <w:sz w:val="24"/>
        </w:rPr>
        <w:t>1、比赛时间为</w:t>
      </w:r>
      <w:r>
        <w:rPr>
          <w:rFonts w:ascii="宋体" w:eastAsia="宋体" w:hAnsi="宋体" w:hint="eastAsia"/>
          <w:sz w:val="24"/>
          <w:lang w:val="en-US" w:eastAsia="zh-CN"/>
        </w:rPr>
        <w:t>4.5</w:t>
      </w:r>
      <w:r>
        <w:rPr>
          <w:rFonts w:ascii="宋体" w:eastAsia="宋体" w:hAnsi="宋体" w:hint="eastAsia"/>
          <w:sz w:val="24"/>
        </w:rPr>
        <w:t>小时。该模块将进行一天。上午</w:t>
      </w:r>
      <w:r>
        <w:rPr>
          <w:rFonts w:ascii="宋体" w:eastAsia="宋体" w:hAnsi="宋体" w:hint="eastAsia"/>
          <w:sz w:val="24"/>
          <w:lang w:val="en-US" w:eastAsia="zh-CN"/>
        </w:rPr>
        <w:t>2</w:t>
      </w:r>
      <w:r>
        <w:rPr>
          <w:rFonts w:ascii="宋体" w:eastAsia="宋体" w:hAnsi="宋体" w:hint="eastAsia"/>
          <w:sz w:val="24"/>
        </w:rPr>
        <w:t>小时，下午</w:t>
      </w:r>
      <w:r>
        <w:rPr>
          <w:rFonts w:ascii="宋体" w:eastAsia="宋体" w:hAnsi="宋体"/>
          <w:sz w:val="24"/>
        </w:rPr>
        <w:t>2</w:t>
      </w:r>
      <w:r>
        <w:rPr>
          <w:rFonts w:ascii="宋体" w:eastAsia="宋体" w:hAnsi="宋体" w:hint="eastAsia"/>
          <w:sz w:val="24"/>
          <w:lang w:val="en-US" w:eastAsia="zh-CN"/>
        </w:rPr>
        <w:t>.5</w:t>
      </w:r>
      <w:r>
        <w:rPr>
          <w:rFonts w:ascii="宋体" w:eastAsia="宋体" w:hAnsi="宋体" w:hint="eastAsia"/>
          <w:sz w:val="24"/>
        </w:rPr>
        <w:t>小时。上午的工作将在下午继续进行。这就意味着，上午出现的错误，如果有的话，下午可以改正</w:t>
      </w:r>
      <w:r>
        <w:rPr>
          <w:rFonts w:ascii="宋体" w:eastAsia="宋体" w:hAnsi="宋体" w:hint="eastAsia"/>
          <w:sz w:val="24"/>
          <w:lang w:eastAsia="zh-CN"/>
        </w:rPr>
        <w:t>，</w:t>
      </w:r>
      <w:r>
        <w:rPr>
          <w:rFonts w:ascii="宋体" w:eastAsia="宋体" w:hAnsi="宋体" w:hint="eastAsia"/>
          <w:sz w:val="24"/>
          <w:lang w:val="en-US" w:eastAsia="zh-CN"/>
        </w:rPr>
        <w:t>但不能违反施工过程规定。</w:t>
      </w:r>
    </w:p>
    <w:p>
      <w:pPr>
        <w:spacing w:line="360" w:lineRule="auto"/>
        <w:ind w:firstLine="480" w:firstLineChars="200"/>
        <w:rPr>
          <w:rFonts w:ascii="宋体" w:eastAsia="宋体" w:hAnsi="宋体"/>
          <w:sz w:val="24"/>
        </w:rPr>
      </w:pPr>
      <w:r>
        <w:rPr>
          <w:rFonts w:ascii="宋体" w:eastAsia="宋体" w:hAnsi="宋体" w:hint="eastAsia"/>
          <w:sz w:val="24"/>
        </w:rPr>
        <w:t>2、准备时间</w:t>
      </w:r>
      <w:r>
        <w:rPr>
          <w:rFonts w:ascii="宋体" w:eastAsia="宋体" w:hAnsi="宋体" w:hint="eastAsia"/>
          <w:sz w:val="24"/>
          <w:lang w:val="en-US" w:eastAsia="zh-CN"/>
        </w:rPr>
        <w:t>上午</w:t>
      </w:r>
      <w:r>
        <w:rPr>
          <w:rFonts w:ascii="宋体" w:eastAsia="宋体" w:hAnsi="宋体"/>
          <w:sz w:val="24"/>
        </w:rPr>
        <w:t>30分钟</w:t>
      </w:r>
      <w:r>
        <w:rPr>
          <w:rFonts w:ascii="宋体" w:eastAsia="宋体" w:hAnsi="宋体" w:hint="eastAsia"/>
          <w:sz w:val="24"/>
          <w:lang w:eastAsia="zh-CN"/>
        </w:rPr>
        <w:t>，</w:t>
      </w:r>
      <w:r>
        <w:rPr>
          <w:rFonts w:ascii="宋体" w:eastAsia="宋体" w:hAnsi="宋体" w:hint="eastAsia"/>
          <w:sz w:val="24"/>
          <w:lang w:val="en-US" w:eastAsia="zh-CN"/>
        </w:rPr>
        <w:t>下午提前五分钟在工位外等候开始</w:t>
      </w:r>
      <w:r>
        <w:rPr>
          <w:rFonts w:ascii="宋体" w:eastAsia="宋体" w:hAnsi="宋体"/>
          <w:sz w:val="24"/>
        </w:rPr>
        <w:t>。</w:t>
      </w:r>
    </w:p>
    <w:p>
      <w:pPr>
        <w:spacing w:line="360" w:lineRule="auto"/>
        <w:outlineLvl w:val="1"/>
        <w:rPr>
          <w:rFonts w:ascii="宋体" w:eastAsia="宋体" w:hAnsi="宋体"/>
          <w:b/>
          <w:sz w:val="24"/>
        </w:rPr>
      </w:pPr>
      <w:bookmarkStart w:id="5" w:name="_Toc7485"/>
      <w:r>
        <w:rPr>
          <w:rFonts w:ascii="宋体" w:eastAsia="宋体" w:hAnsi="宋体" w:hint="eastAsia"/>
          <w:b/>
          <w:sz w:val="24"/>
        </w:rPr>
        <w:t>（二）通则</w:t>
      </w:r>
      <w:bookmarkEnd w:id="5"/>
    </w:p>
    <w:p>
      <w:pPr>
        <w:spacing w:line="360" w:lineRule="auto"/>
        <w:ind w:firstLine="480" w:firstLineChars="200"/>
        <w:rPr>
          <w:rFonts w:ascii="宋体" w:eastAsia="宋体" w:hAnsi="宋体"/>
          <w:sz w:val="24"/>
        </w:rPr>
      </w:pPr>
      <w:r>
        <w:rPr>
          <w:rFonts w:ascii="宋体" w:eastAsia="宋体" w:hAnsi="宋体" w:hint="eastAsia"/>
          <w:sz w:val="24"/>
        </w:rPr>
        <w:t>设计/技术规范（第3页）和安装规范（第</w:t>
      </w:r>
      <w:r>
        <w:rPr>
          <w:rFonts w:ascii="宋体" w:eastAsia="宋体" w:hAnsi="宋体" w:hint="eastAsia"/>
          <w:sz w:val="24"/>
          <w:lang w:val="en-US" w:eastAsia="zh-CN"/>
        </w:rPr>
        <w:t>5</w:t>
      </w:r>
      <w:r>
        <w:rPr>
          <w:rFonts w:ascii="宋体" w:eastAsia="宋体" w:hAnsi="宋体" w:hint="eastAsia"/>
          <w:sz w:val="24"/>
        </w:rPr>
        <w:t>页）由客户提供。请按照这些规范进行设计和安装。</w:t>
      </w:r>
    </w:p>
    <w:p>
      <w:pPr>
        <w:spacing w:line="360" w:lineRule="auto"/>
        <w:outlineLvl w:val="1"/>
        <w:rPr>
          <w:rFonts w:ascii="宋体" w:eastAsia="宋体" w:hAnsi="宋体"/>
          <w:b/>
          <w:sz w:val="24"/>
        </w:rPr>
      </w:pPr>
      <w:bookmarkStart w:id="6" w:name="_Toc26315"/>
      <w:r>
        <w:rPr>
          <w:rFonts w:ascii="宋体" w:eastAsia="宋体" w:hAnsi="宋体"/>
          <w:b/>
          <w:sz w:val="24"/>
        </w:rPr>
        <w:t>（三）工作组织和管理</w:t>
      </w:r>
      <w:bookmarkEnd w:id="6"/>
    </w:p>
    <w:p>
      <w:pPr>
        <w:spacing w:line="360" w:lineRule="auto"/>
        <w:ind w:firstLine="480" w:firstLineChars="200"/>
        <w:rPr>
          <w:rFonts w:ascii="宋体" w:eastAsia="宋体" w:hAnsi="宋体"/>
          <w:sz w:val="24"/>
        </w:rPr>
      </w:pPr>
      <w:r>
        <w:rPr>
          <w:rFonts w:ascii="宋体" w:eastAsia="宋体" w:hAnsi="宋体" w:hint="eastAsia"/>
          <w:sz w:val="24"/>
        </w:rPr>
        <w:t>1、选手</w:t>
      </w:r>
      <w:r>
        <w:rPr>
          <w:rFonts w:ascii="宋体" w:eastAsia="宋体" w:hAnsi="宋体" w:hint="eastAsia"/>
          <w:sz w:val="24"/>
          <w:lang w:val="en-US" w:eastAsia="zh-CN"/>
        </w:rPr>
        <w:t>必须为</w:t>
      </w:r>
      <w:r>
        <w:rPr>
          <w:rFonts w:ascii="宋体" w:eastAsia="宋体" w:hAnsi="宋体" w:hint="eastAsia"/>
          <w:sz w:val="24"/>
        </w:rPr>
        <w:t>完成</w:t>
      </w:r>
      <w:r>
        <w:rPr>
          <w:rFonts w:ascii="宋体" w:eastAsia="宋体" w:hAnsi="宋体" w:hint="eastAsia"/>
          <w:sz w:val="24"/>
          <w:lang w:val="en-US" w:eastAsia="zh-CN"/>
        </w:rPr>
        <w:t>指定</w:t>
      </w:r>
      <w:r>
        <w:rPr>
          <w:rFonts w:ascii="宋体" w:eastAsia="宋体" w:hAnsi="宋体" w:hint="eastAsia"/>
          <w:sz w:val="24"/>
        </w:rPr>
        <w:t>结果所需的工作制定计划，并在工作计划和报告中描述该计划。描述的工作计划必须在开始所有工作之前完成。除工作计划中规定的工作外，不得从事其他工作。工作计划必须在描述完成后立即提交给专家裁判。</w:t>
      </w:r>
    </w:p>
    <w:p>
      <w:pPr>
        <w:spacing w:line="360" w:lineRule="auto"/>
        <w:ind w:firstLine="480" w:firstLineChars="200"/>
        <w:rPr>
          <w:rFonts w:ascii="宋体" w:eastAsia="宋体" w:hAnsi="宋体"/>
          <w:sz w:val="24"/>
        </w:rPr>
      </w:pPr>
      <w:r>
        <w:rPr>
          <w:rFonts w:ascii="宋体" w:eastAsia="宋体" w:hAnsi="宋体" w:hint="eastAsia"/>
          <w:sz w:val="24"/>
        </w:rPr>
        <w:t>2、工作计划必须有以下说明：</w:t>
      </w:r>
    </w:p>
    <w:p>
      <w:pPr>
        <w:pStyle w:val="ListParagraph"/>
        <w:numPr>
          <w:ilvl w:val="0"/>
          <w:numId w:val="2"/>
        </w:numPr>
        <w:spacing w:line="360" w:lineRule="auto"/>
        <w:ind w:firstLineChars="0"/>
        <w:rPr>
          <w:rFonts w:ascii="宋体" w:eastAsia="宋体" w:hAnsi="宋体"/>
          <w:sz w:val="24"/>
        </w:rPr>
      </w:pPr>
      <w:r>
        <w:rPr>
          <w:rFonts w:ascii="宋体" w:eastAsia="宋体" w:hAnsi="宋体" w:hint="eastAsia"/>
          <w:sz w:val="24"/>
        </w:rPr>
        <w:t>整个过程的工作大纲和进度安排；</w:t>
      </w:r>
    </w:p>
    <w:p>
      <w:pPr>
        <w:pStyle w:val="ListParagraph"/>
        <w:numPr>
          <w:ilvl w:val="0"/>
          <w:numId w:val="2"/>
        </w:numPr>
        <w:spacing w:line="360" w:lineRule="auto"/>
        <w:ind w:firstLineChars="0"/>
        <w:rPr>
          <w:rFonts w:ascii="宋体" w:eastAsia="宋体" w:hAnsi="宋体"/>
          <w:sz w:val="24"/>
        </w:rPr>
        <w:sectPr>
          <w:headerReference w:type="default" r:id="rId10"/>
          <w:footerReference w:type="default" r:id="rId11"/>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1"/>
          <w:cols w:num="1" w:space="425"/>
          <w:docGrid w:type="lines" w:linePitch="312" w:charSpace="0"/>
        </w:sectPr>
      </w:pPr>
      <w:r>
        <w:rPr>
          <w:rFonts w:ascii="宋体" w:eastAsia="宋体" w:hAnsi="宋体" w:hint="eastAsia"/>
          <w:sz w:val="24"/>
        </w:rPr>
        <w:t>材料等短缺等等</w:t>
      </w:r>
      <w:r>
        <w:rPr>
          <w:rFonts w:ascii="宋体" w:eastAsia="宋体" w:hAnsi="宋体" w:hint="eastAsia"/>
          <w:sz w:val="24"/>
          <w:lang w:eastAsia="zh-CN"/>
        </w:rPr>
        <w:t>。</w:t>
      </w:r>
    </w:p>
    <w:p>
      <w:pPr>
        <w:spacing w:line="360" w:lineRule="auto"/>
        <w:ind w:firstLine="480" w:firstLineChars="200"/>
        <w:rPr>
          <w:rFonts w:ascii="宋体" w:eastAsia="宋体" w:hAnsi="宋体"/>
          <w:sz w:val="24"/>
        </w:rPr>
      </w:pPr>
      <w:r>
        <w:rPr>
          <w:rFonts w:ascii="宋体" w:eastAsia="宋体" w:hAnsi="宋体" w:hint="eastAsia"/>
          <w:sz w:val="24"/>
        </w:rPr>
        <w:t>3、必须在工作开始和结束时</w:t>
      </w:r>
      <w:r>
        <w:rPr>
          <w:rFonts w:ascii="宋体" w:eastAsia="宋体" w:hAnsi="宋体" w:hint="eastAsia"/>
          <w:sz w:val="24"/>
          <w:lang w:eastAsia="zh-CN"/>
        </w:rPr>
        <w:t>（</w:t>
      </w:r>
      <w:r>
        <w:rPr>
          <w:rFonts w:ascii="宋体" w:eastAsia="宋体" w:hAnsi="宋体" w:hint="eastAsia"/>
          <w:sz w:val="24"/>
          <w:lang w:val="en-US" w:eastAsia="zh-CN"/>
        </w:rPr>
        <w:t>每次工作完成后</w:t>
      </w:r>
      <w:r>
        <w:rPr>
          <w:rFonts w:ascii="宋体" w:eastAsia="宋体" w:hAnsi="宋体" w:hint="eastAsia"/>
          <w:sz w:val="24"/>
          <w:lang w:eastAsia="zh-CN"/>
        </w:rPr>
        <w:t>）</w:t>
      </w:r>
      <w:r>
        <w:rPr>
          <w:rFonts w:ascii="宋体" w:eastAsia="宋体" w:hAnsi="宋体" w:hint="eastAsia"/>
          <w:sz w:val="24"/>
        </w:rPr>
        <w:t>采取必要的安全措施。</w:t>
      </w:r>
    </w:p>
    <w:p>
      <w:pPr>
        <w:spacing w:line="360" w:lineRule="auto"/>
        <w:ind w:firstLine="480" w:firstLineChars="200"/>
        <w:rPr>
          <w:rFonts w:ascii="宋体" w:eastAsia="宋体" w:hAnsi="宋体"/>
          <w:sz w:val="24"/>
        </w:rPr>
      </w:pPr>
      <w:r>
        <w:rPr>
          <w:rFonts w:ascii="宋体" w:eastAsia="宋体" w:hAnsi="宋体" w:hint="eastAsia"/>
          <w:sz w:val="24"/>
        </w:rPr>
        <w:t>4、必须在工作结束时（上午和下午）提交每日工作报告。工作报告必须在上、下午结束时提交给专家裁判。</w:t>
      </w:r>
    </w:p>
    <w:p>
      <w:pPr>
        <w:spacing w:line="360" w:lineRule="auto"/>
        <w:ind w:firstLine="480" w:firstLineChars="200"/>
        <w:rPr>
          <w:rFonts w:ascii="宋体" w:eastAsia="宋体" w:hAnsi="宋体"/>
          <w:sz w:val="24"/>
        </w:rPr>
      </w:pPr>
      <w:r>
        <w:rPr>
          <w:rFonts w:ascii="宋体" w:eastAsia="宋体" w:hAnsi="宋体" w:hint="eastAsia"/>
          <w:sz w:val="24"/>
        </w:rPr>
        <w:t>5、工作报告必须有以下描述：</w:t>
      </w:r>
    </w:p>
    <w:p>
      <w:pPr>
        <w:pStyle w:val="ListParagraph"/>
        <w:numPr>
          <w:ilvl w:val="0"/>
          <w:numId w:val="3"/>
        </w:numPr>
        <w:spacing w:line="360" w:lineRule="auto"/>
        <w:ind w:firstLineChars="0"/>
        <w:rPr>
          <w:rFonts w:ascii="宋体" w:eastAsia="宋体" w:hAnsi="宋体"/>
          <w:sz w:val="24"/>
        </w:rPr>
      </w:pPr>
      <w:r>
        <w:rPr>
          <w:rFonts w:ascii="宋体" w:eastAsia="宋体" w:hAnsi="宋体" w:hint="eastAsia"/>
          <w:sz w:val="24"/>
        </w:rPr>
        <w:t>工作期间发生的健康与安全相关事项；</w:t>
      </w:r>
    </w:p>
    <w:p>
      <w:pPr>
        <w:pStyle w:val="ListParagraph"/>
        <w:numPr>
          <w:ilvl w:val="0"/>
          <w:numId w:val="3"/>
        </w:numPr>
        <w:spacing w:line="360" w:lineRule="auto"/>
        <w:ind w:firstLineChars="0"/>
        <w:rPr>
          <w:rFonts w:ascii="宋体" w:eastAsia="宋体" w:hAnsi="宋体"/>
          <w:sz w:val="24"/>
        </w:rPr>
      </w:pPr>
      <w:r>
        <w:rPr>
          <w:rFonts w:ascii="宋体" w:eastAsia="宋体" w:hAnsi="宋体" w:hint="eastAsia"/>
          <w:sz w:val="24"/>
        </w:rPr>
        <w:t>工作进展情况；</w:t>
      </w:r>
    </w:p>
    <w:p>
      <w:pPr>
        <w:pStyle w:val="ListParagraph"/>
        <w:numPr>
          <w:ilvl w:val="0"/>
          <w:numId w:val="3"/>
        </w:numPr>
        <w:spacing w:line="360" w:lineRule="auto"/>
        <w:ind w:firstLineChars="0"/>
        <w:rPr>
          <w:rFonts w:ascii="宋体" w:eastAsia="宋体" w:hAnsi="宋体"/>
          <w:sz w:val="24"/>
        </w:rPr>
      </w:pPr>
      <w:r>
        <w:rPr>
          <w:rFonts w:ascii="宋体" w:eastAsia="宋体" w:hAnsi="宋体" w:hint="eastAsia"/>
          <w:sz w:val="24"/>
        </w:rPr>
        <w:t>下午的工作计划（上午结束时）。此工作计划中未描述的任务工作不能在下午执行。；</w:t>
      </w:r>
    </w:p>
    <w:p>
      <w:pPr>
        <w:pStyle w:val="ListParagraph"/>
        <w:numPr>
          <w:ilvl w:val="0"/>
          <w:numId w:val="3"/>
        </w:numPr>
        <w:spacing w:line="360" w:lineRule="auto"/>
        <w:ind w:firstLineChars="0"/>
        <w:rPr>
          <w:rFonts w:ascii="宋体" w:eastAsia="宋体" w:hAnsi="宋体"/>
          <w:sz w:val="24"/>
        </w:rPr>
      </w:pPr>
      <w:r>
        <w:rPr>
          <w:rFonts w:ascii="宋体" w:eastAsia="宋体" w:hAnsi="宋体" w:hint="eastAsia"/>
          <w:sz w:val="24"/>
        </w:rPr>
        <w:t>需报告的事宜等。</w:t>
      </w:r>
    </w:p>
    <w:p>
      <w:pPr>
        <w:spacing w:line="360" w:lineRule="auto"/>
        <w:ind w:firstLine="480" w:firstLineChars="200"/>
        <w:rPr>
          <w:rFonts w:ascii="宋体" w:eastAsia="宋体" w:hAnsi="宋体"/>
          <w:sz w:val="24"/>
        </w:rPr>
      </w:pPr>
      <w:r>
        <w:rPr>
          <w:rFonts w:ascii="宋体" w:eastAsia="宋体" w:hAnsi="宋体" w:hint="eastAsia"/>
          <w:sz w:val="24"/>
        </w:rPr>
        <w:t>6、所有工作完成后，必须填写工作完成报告并提交给专家裁判。</w:t>
      </w:r>
    </w:p>
    <w:p>
      <w:pPr>
        <w:spacing w:line="360" w:lineRule="auto"/>
        <w:ind w:firstLine="480" w:firstLineChars="200"/>
        <w:rPr>
          <w:rFonts w:ascii="宋体" w:eastAsia="宋体" w:hAnsi="宋体"/>
          <w:sz w:val="24"/>
        </w:rPr>
      </w:pPr>
      <w:r>
        <w:rPr>
          <w:rFonts w:ascii="宋体" w:eastAsia="宋体" w:hAnsi="宋体" w:hint="eastAsia"/>
          <w:sz w:val="24"/>
        </w:rPr>
        <w:t>7、工作完成报告必须具有以下说明：</w:t>
      </w:r>
    </w:p>
    <w:p>
      <w:pPr>
        <w:pStyle w:val="ListParagraph"/>
        <w:numPr>
          <w:ilvl w:val="0"/>
          <w:numId w:val="4"/>
        </w:numPr>
        <w:spacing w:line="360" w:lineRule="auto"/>
        <w:ind w:firstLineChars="0"/>
        <w:rPr>
          <w:rFonts w:ascii="宋体" w:eastAsia="宋体" w:hAnsi="宋体"/>
          <w:sz w:val="24"/>
        </w:rPr>
      </w:pPr>
      <w:r>
        <w:rPr>
          <w:rFonts w:ascii="宋体" w:eastAsia="宋体" w:hAnsi="宋体" w:hint="eastAsia"/>
          <w:sz w:val="24"/>
        </w:rPr>
        <w:t>工作总小时数；</w:t>
      </w:r>
    </w:p>
    <w:p>
      <w:pPr>
        <w:pStyle w:val="ListParagraph"/>
        <w:numPr>
          <w:ilvl w:val="0"/>
          <w:numId w:val="4"/>
        </w:numPr>
        <w:spacing w:line="360" w:lineRule="auto"/>
        <w:ind w:firstLineChars="0"/>
        <w:rPr>
          <w:rFonts w:ascii="宋体" w:eastAsia="宋体" w:hAnsi="宋体"/>
          <w:sz w:val="24"/>
        </w:rPr>
      </w:pPr>
      <w:r>
        <w:rPr>
          <w:rFonts w:ascii="宋体" w:eastAsia="宋体" w:hAnsi="宋体" w:hint="eastAsia"/>
          <w:sz w:val="24"/>
        </w:rPr>
        <w:t>与工作计划的差异；</w:t>
      </w:r>
    </w:p>
    <w:p>
      <w:pPr>
        <w:pStyle w:val="ListParagraph"/>
        <w:numPr>
          <w:ilvl w:val="0"/>
          <w:numId w:val="4"/>
        </w:numPr>
        <w:spacing w:line="360" w:lineRule="auto"/>
        <w:ind w:firstLineChars="0"/>
        <w:rPr>
          <w:rFonts w:ascii="宋体" w:eastAsia="宋体" w:hAnsi="宋体"/>
          <w:sz w:val="24"/>
        </w:rPr>
      </w:pPr>
      <w:r>
        <w:rPr>
          <w:rFonts w:ascii="宋体" w:eastAsia="宋体" w:hAnsi="宋体" w:hint="eastAsia"/>
          <w:sz w:val="24"/>
        </w:rPr>
        <w:t>工作期间发生的健康与安全相关事项；</w:t>
      </w:r>
    </w:p>
    <w:p>
      <w:pPr>
        <w:pStyle w:val="ListParagraph"/>
        <w:numPr>
          <w:ilvl w:val="0"/>
          <w:numId w:val="4"/>
        </w:numPr>
        <w:spacing w:line="360" w:lineRule="auto"/>
        <w:ind w:firstLineChars="0"/>
        <w:rPr>
          <w:rFonts w:ascii="宋体" w:eastAsia="宋体" w:hAnsi="宋体"/>
          <w:sz w:val="24"/>
        </w:rPr>
      </w:pPr>
      <w:r>
        <w:rPr>
          <w:rFonts w:ascii="宋体" w:eastAsia="宋体" w:hAnsi="宋体" w:hint="eastAsia"/>
          <w:sz w:val="24"/>
        </w:rPr>
        <w:t>为恢复或纠正任何不当的建造而采取的措施的解释说明等。</w:t>
      </w:r>
    </w:p>
    <w:p>
      <w:pPr>
        <w:spacing w:line="360" w:lineRule="auto"/>
        <w:ind w:firstLine="480" w:firstLineChars="200"/>
        <w:rPr>
          <w:rFonts w:ascii="宋体" w:eastAsia="宋体" w:hAnsi="宋体"/>
          <w:sz w:val="24"/>
        </w:rPr>
      </w:pPr>
      <w:r>
        <w:rPr>
          <w:rFonts w:ascii="宋体" w:eastAsia="宋体" w:hAnsi="宋体" w:hint="eastAsia"/>
          <w:sz w:val="24"/>
        </w:rPr>
        <w:t>8、以下文件和项目必须附在工作完成报告中:</w:t>
      </w:r>
    </w:p>
    <w:p>
      <w:pPr>
        <w:pStyle w:val="ListParagraph"/>
        <w:numPr>
          <w:ilvl w:val="0"/>
          <w:numId w:val="5"/>
        </w:numPr>
        <w:spacing w:line="360" w:lineRule="auto"/>
        <w:ind w:firstLineChars="0"/>
        <w:rPr>
          <w:rFonts w:ascii="宋体" w:eastAsia="宋体" w:hAnsi="宋体"/>
          <w:sz w:val="24"/>
        </w:rPr>
      </w:pPr>
      <w:r>
        <w:rPr>
          <w:rFonts w:ascii="宋体" w:eastAsia="宋体" w:hAnsi="宋体" w:hint="eastAsia"/>
          <w:sz w:val="24"/>
          <w:lang w:val="en-US" w:eastAsia="zh-CN"/>
        </w:rPr>
        <w:t>福禄克</w:t>
      </w:r>
      <w:r>
        <w:rPr>
          <w:rFonts w:ascii="宋体" w:eastAsia="宋体" w:hAnsi="宋体" w:hint="eastAsia"/>
          <w:sz w:val="24"/>
        </w:rPr>
        <w:t>测试结果</w:t>
      </w:r>
      <w:r>
        <w:rPr>
          <w:rFonts w:ascii="宋体" w:eastAsia="宋体" w:hAnsi="宋体" w:hint="eastAsia"/>
          <w:sz w:val="24"/>
          <w:lang w:val="en-US" w:eastAsia="zh-CN"/>
        </w:rPr>
        <w:t>存储在</w:t>
      </w:r>
      <w:r>
        <w:rPr>
          <w:rFonts w:ascii="宋体" w:eastAsia="宋体" w:hAnsi="宋体" w:hint="eastAsia"/>
          <w:sz w:val="24"/>
        </w:rPr>
        <w:t>USB闪存。</w:t>
      </w:r>
    </w:p>
    <w:p>
      <w:pPr>
        <w:spacing w:line="360" w:lineRule="auto"/>
        <w:ind w:firstLine="480" w:firstLineChars="200"/>
        <w:rPr>
          <w:rFonts w:ascii="宋体" w:eastAsia="宋体" w:hAnsi="宋体"/>
          <w:sz w:val="24"/>
        </w:rPr>
      </w:pPr>
      <w:r>
        <w:rPr>
          <w:rFonts w:ascii="宋体" w:eastAsia="宋体" w:hAnsi="宋体" w:hint="eastAsia"/>
          <w:sz w:val="24"/>
        </w:rPr>
        <w:t>9、在工作期间，选手必须尊重客户的设施，保持工作环境清洁。</w:t>
      </w:r>
    </w:p>
    <w:p>
      <w:pPr>
        <w:spacing w:line="360" w:lineRule="auto"/>
        <w:ind w:firstLine="480" w:firstLineChars="200"/>
        <w:rPr>
          <w:rFonts w:ascii="宋体" w:eastAsia="宋体" w:hAnsi="宋体"/>
          <w:sz w:val="24"/>
        </w:rPr>
      </w:pPr>
      <w:r>
        <w:rPr>
          <w:rFonts w:ascii="宋体" w:eastAsia="宋体" w:hAnsi="宋体" w:hint="eastAsia"/>
          <w:sz w:val="24"/>
        </w:rPr>
        <w:t>10、必须考虑对所有产生的剩余物品和废弃物料并实施清理和处置或回收。</w:t>
      </w:r>
    </w:p>
    <w:p>
      <w:pPr>
        <w:spacing w:line="360" w:lineRule="auto"/>
        <w:ind w:firstLine="480" w:firstLineChars="200"/>
        <w:rPr>
          <w:rFonts w:ascii="宋体" w:eastAsia="宋体" w:hAnsi="宋体"/>
          <w:sz w:val="24"/>
        </w:rPr>
      </w:pPr>
      <w:r>
        <w:rPr>
          <w:rFonts w:ascii="宋体" w:eastAsia="宋体" w:hAnsi="宋体" w:hint="eastAsia"/>
          <w:sz w:val="24"/>
        </w:rPr>
        <w:t>11、必须遵从健康与安全相关法律/规则和指令说明。</w:t>
      </w:r>
    </w:p>
    <w:p>
      <w:pPr>
        <w:spacing w:line="360" w:lineRule="auto"/>
        <w:outlineLvl w:val="1"/>
        <w:rPr>
          <w:rFonts w:ascii="宋体" w:eastAsia="宋体" w:hAnsi="宋体"/>
          <w:b/>
          <w:sz w:val="24"/>
        </w:rPr>
      </w:pPr>
      <w:bookmarkStart w:id="7" w:name="_Toc12699"/>
      <w:r>
        <w:rPr>
          <w:rFonts w:ascii="宋体" w:eastAsia="宋体" w:hAnsi="宋体"/>
          <w:b/>
          <w:sz w:val="24"/>
        </w:rPr>
        <w:t>（四）设计</w:t>
      </w:r>
      <w:bookmarkEnd w:id="7"/>
    </w:p>
    <w:p>
      <w:pPr>
        <w:spacing w:line="360" w:lineRule="auto"/>
        <w:ind w:firstLine="480" w:firstLineChars="200"/>
        <w:rPr>
          <w:rFonts w:ascii="宋体" w:eastAsia="宋体" w:hAnsi="宋体"/>
          <w:sz w:val="24"/>
        </w:rPr>
      </w:pPr>
      <w:r>
        <w:rPr>
          <w:rFonts w:ascii="宋体" w:eastAsia="宋体" w:hAnsi="宋体" w:hint="eastAsia"/>
          <w:sz w:val="24"/>
        </w:rPr>
        <w:t>1、</w:t>
      </w:r>
      <w:r>
        <w:rPr>
          <w:rFonts w:ascii="宋体" w:eastAsia="宋体" w:hAnsi="宋体" w:hint="eastAsia"/>
          <w:sz w:val="24"/>
          <w:lang w:val="en-US" w:eastAsia="zh-CN"/>
        </w:rPr>
        <w:t>安装人员需对本项目光纤连接设计图进行光纤路由的设计</w:t>
      </w:r>
      <w:r>
        <w:rPr>
          <w:rFonts w:ascii="宋体" w:eastAsia="宋体" w:hAnsi="宋体" w:hint="eastAsia"/>
          <w:sz w:val="24"/>
        </w:rPr>
        <w:t>，安装人员必须考虑在规定的工作时间内完成的可能性，决定是否进行。</w:t>
      </w:r>
    </w:p>
    <w:p>
      <w:pPr>
        <w:spacing w:line="360" w:lineRule="auto"/>
        <w:ind w:firstLine="480" w:firstLineChars="200"/>
        <w:rPr>
          <w:rFonts w:ascii="宋体" w:eastAsia="宋体" w:hAnsi="宋体"/>
          <w:sz w:val="24"/>
        </w:rPr>
      </w:pPr>
      <w:r>
        <w:rPr>
          <w:rFonts w:ascii="宋体" w:eastAsia="宋体" w:hAnsi="宋体" w:hint="eastAsia"/>
          <w:sz w:val="24"/>
        </w:rPr>
        <w:t>2、</w:t>
      </w:r>
      <w:r>
        <w:rPr>
          <w:rFonts w:ascii="宋体" w:eastAsia="宋体" w:hAnsi="宋体" w:hint="eastAsia"/>
          <w:sz w:val="24"/>
          <w:lang w:val="en-US" w:eastAsia="zh-CN"/>
        </w:rPr>
        <w:t>线缆数量</w:t>
      </w:r>
      <w:r>
        <w:rPr>
          <w:rFonts w:ascii="宋体" w:eastAsia="宋体" w:hAnsi="宋体" w:hint="eastAsia"/>
          <w:sz w:val="24"/>
        </w:rPr>
        <w:t>在布线连接图中已经进行了说明</w:t>
      </w:r>
      <w:r>
        <w:rPr>
          <w:rFonts w:ascii="宋体" w:eastAsia="宋体" w:hAnsi="宋体" w:hint="eastAsia"/>
          <w:sz w:val="24"/>
          <w:lang w:eastAsia="zh-CN"/>
        </w:rPr>
        <w:t>。</w:t>
      </w:r>
      <w:r>
        <w:rPr>
          <w:rFonts w:ascii="宋体" w:eastAsia="宋体" w:hAnsi="宋体" w:hint="eastAsia"/>
          <w:sz w:val="24"/>
        </w:rPr>
        <w:t>这些设计主要是线缆路径和线缆长度设计的决策。这些设计必须在实际布线之前完成。</w:t>
      </w:r>
    </w:p>
    <w:p>
      <w:pPr>
        <w:spacing w:line="360" w:lineRule="auto"/>
        <w:ind w:firstLine="480" w:firstLineChars="200"/>
        <w:rPr>
          <w:rFonts w:ascii="宋体" w:eastAsia="宋体" w:hAnsi="宋体" w:hint="eastAsia"/>
          <w:sz w:val="24"/>
        </w:rPr>
      </w:pPr>
      <w:r>
        <w:rPr>
          <w:rFonts w:ascii="宋体" w:eastAsia="宋体" w:hAnsi="宋体" w:hint="eastAsia"/>
          <w:sz w:val="24"/>
        </w:rPr>
        <w:t>3、</w:t>
      </w:r>
      <w:r>
        <w:rPr>
          <w:rFonts w:ascii="宋体" w:eastAsia="宋体" w:hAnsi="宋体" w:hint="eastAsia"/>
          <w:sz w:val="24"/>
          <w:lang w:val="en-US" w:eastAsia="zh-CN"/>
        </w:rPr>
        <w:t>在配线架安装图中</w:t>
      </w:r>
      <w:r>
        <w:rPr>
          <w:rFonts w:ascii="宋体" w:eastAsia="宋体" w:hAnsi="宋体" w:hint="eastAsia"/>
          <w:sz w:val="24"/>
        </w:rPr>
        <w:t>含有绘图设计，该设计依据对未来机架配置服务的假设。</w:t>
      </w:r>
    </w:p>
    <w:p>
      <w:pPr>
        <w:spacing w:line="360" w:lineRule="auto"/>
        <w:ind w:firstLine="480" w:firstLineChars="200"/>
        <w:rPr>
          <w:rFonts w:ascii="宋体" w:eastAsia="宋体" w:hAnsi="宋体" w:hint="eastAsia"/>
          <w:sz w:val="24"/>
        </w:rPr>
      </w:pPr>
      <w:r>
        <w:rPr>
          <w:rFonts w:ascii="宋体" w:eastAsia="宋体" w:hAnsi="宋体" w:hint="eastAsia"/>
          <w:sz w:val="24"/>
          <w:lang w:val="en-US" w:eastAsia="zh-CN"/>
        </w:rPr>
        <w:t>4</w:t>
      </w:r>
      <w:r>
        <w:rPr>
          <w:rFonts w:ascii="宋体" w:eastAsia="宋体" w:hAnsi="宋体" w:hint="eastAsia"/>
          <w:sz w:val="24"/>
        </w:rPr>
        <w:t>、</w:t>
      </w:r>
      <w:r>
        <w:rPr>
          <w:rFonts w:ascii="宋体" w:eastAsia="宋体" w:hAnsi="宋体" w:hint="eastAsia"/>
          <w:sz w:val="24"/>
          <w:lang w:val="en-US" w:eastAsia="zh-CN"/>
        </w:rPr>
        <w:t>在光纤连接图中</w:t>
      </w:r>
      <w:r>
        <w:rPr>
          <w:rFonts w:ascii="宋体" w:eastAsia="宋体" w:hAnsi="宋体" w:hint="eastAsia"/>
          <w:sz w:val="24"/>
        </w:rPr>
        <w:t>含有绘图设计，这些设计必须在实际布线之前完成。</w:t>
      </w:r>
    </w:p>
    <w:p>
      <w:pPr>
        <w:spacing w:line="360" w:lineRule="auto"/>
        <w:ind w:firstLine="480" w:firstLineChars="200"/>
        <w:rPr>
          <w:rFonts w:ascii="宋体" w:eastAsia="宋体" w:hAnsi="宋体"/>
          <w:sz w:val="24"/>
        </w:rPr>
        <w:sectPr>
          <w:headerReference w:type="default" r:id="rId12"/>
          <w:footerReference w:type="default" r:id="rId13"/>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2"/>
          <w:cols w:num="1" w:space="425"/>
          <w:titlePg w:val="0"/>
          <w:docGrid w:type="lines" w:linePitch="312" w:charSpace="0"/>
        </w:sectPr>
      </w:pPr>
      <w:r>
        <w:rPr>
          <w:rFonts w:ascii="宋体" w:eastAsia="宋体" w:hAnsi="宋体" w:hint="eastAsia"/>
          <w:sz w:val="24"/>
          <w:lang w:val="en-US" w:eastAsia="zh-CN"/>
        </w:rPr>
        <w:t>5</w:t>
      </w:r>
      <w:r>
        <w:rPr>
          <w:rFonts w:ascii="宋体" w:eastAsia="宋体" w:hAnsi="宋体" w:hint="eastAsia"/>
          <w:sz w:val="24"/>
        </w:rPr>
        <w:t>、必须考虑可持续性和可维护性。</w:t>
      </w:r>
    </w:p>
    <w:p>
      <w:pPr>
        <w:spacing w:line="360" w:lineRule="auto"/>
        <w:ind w:firstLine="480" w:firstLineChars="200"/>
        <w:rPr>
          <w:rFonts w:ascii="宋体" w:eastAsia="宋体" w:hAnsi="宋体"/>
          <w:sz w:val="24"/>
        </w:rPr>
      </w:pPr>
      <w:r>
        <w:rPr>
          <w:rFonts w:ascii="宋体" w:eastAsia="宋体" w:hAnsi="宋体" w:hint="eastAsia"/>
          <w:sz w:val="24"/>
          <w:lang w:val="en-US" w:eastAsia="zh-CN"/>
        </w:rPr>
        <w:t>6</w:t>
      </w:r>
      <w:r>
        <w:rPr>
          <w:rFonts w:ascii="宋体" w:eastAsia="宋体" w:hAnsi="宋体" w:hint="eastAsia"/>
          <w:sz w:val="24"/>
        </w:rPr>
        <w:t>、设计必须根据设计和技术规范和安装规范进行。</w:t>
      </w:r>
    </w:p>
    <w:p>
      <w:pPr>
        <w:spacing w:line="360" w:lineRule="auto"/>
        <w:outlineLvl w:val="1"/>
        <w:rPr>
          <w:rFonts w:ascii="宋体" w:eastAsia="宋体" w:hAnsi="宋体"/>
          <w:b/>
          <w:sz w:val="24"/>
        </w:rPr>
      </w:pPr>
      <w:bookmarkStart w:id="8" w:name="_Toc15085"/>
      <w:r>
        <w:rPr>
          <w:rFonts w:ascii="宋体" w:eastAsia="宋体" w:hAnsi="宋体" w:hint="eastAsia"/>
          <w:b/>
          <w:sz w:val="24"/>
        </w:rPr>
        <w:t>（五）安装</w:t>
      </w:r>
      <w:bookmarkEnd w:id="8"/>
    </w:p>
    <w:p>
      <w:pPr>
        <w:spacing w:line="360" w:lineRule="auto"/>
        <w:ind w:firstLine="480" w:firstLineChars="200"/>
        <w:rPr>
          <w:rFonts w:ascii="宋体" w:eastAsia="宋体" w:hAnsi="宋体"/>
          <w:sz w:val="24"/>
        </w:rPr>
      </w:pPr>
      <w:r>
        <w:rPr>
          <w:rFonts w:ascii="宋体" w:eastAsia="宋体" w:hAnsi="宋体" w:hint="eastAsia"/>
          <w:sz w:val="24"/>
        </w:rPr>
        <w:t>1、必须按照设计和技术规范以及</w:t>
      </w:r>
      <w:r>
        <w:rPr>
          <w:rFonts w:ascii="宋体" w:eastAsia="宋体" w:hAnsi="宋体" w:hint="eastAsia"/>
          <w:sz w:val="24"/>
          <w:lang w:val="en-US" w:eastAsia="zh-CN"/>
        </w:rPr>
        <w:t>提供的施工图</w:t>
      </w:r>
      <w:r>
        <w:rPr>
          <w:rFonts w:ascii="宋体" w:eastAsia="宋体" w:hAnsi="宋体" w:hint="eastAsia"/>
          <w:sz w:val="24"/>
        </w:rPr>
        <w:t>进行安装。</w:t>
      </w:r>
    </w:p>
    <w:p>
      <w:pPr>
        <w:spacing w:line="360" w:lineRule="auto"/>
        <w:ind w:firstLine="480" w:firstLineChars="200"/>
        <w:rPr>
          <w:rFonts w:ascii="宋体" w:eastAsia="宋体" w:hAnsi="宋体" w:hint="eastAsia"/>
          <w:sz w:val="24"/>
        </w:rPr>
      </w:pPr>
      <w:r>
        <w:rPr>
          <w:rFonts w:ascii="宋体" w:eastAsia="宋体" w:hAnsi="宋体" w:hint="eastAsia"/>
          <w:sz w:val="24"/>
        </w:rPr>
        <w:t>2、必须根据施工图纸所表示的线缆长度进行敷设。(福禄克长度测量为准)。</w:t>
      </w:r>
    </w:p>
    <w:p>
      <w:pPr>
        <w:spacing w:line="360" w:lineRule="auto"/>
        <w:ind w:firstLine="480" w:firstLineChars="200"/>
        <w:rPr>
          <w:rFonts w:ascii="宋体" w:eastAsia="宋体" w:hAnsi="宋体"/>
          <w:sz w:val="24"/>
        </w:rPr>
      </w:pPr>
      <w:r>
        <w:rPr>
          <w:rFonts w:ascii="宋体" w:eastAsia="宋体" w:hAnsi="宋体" w:hint="eastAsia"/>
          <w:sz w:val="24"/>
        </w:rPr>
        <w:t>3、必须在</w:t>
      </w:r>
      <w:r>
        <w:rPr>
          <w:rFonts w:ascii="宋体" w:eastAsia="宋体" w:hAnsi="宋体" w:hint="eastAsia"/>
          <w:sz w:val="24"/>
          <w:lang w:val="en-US" w:eastAsia="zh-CN"/>
        </w:rPr>
        <w:t>铜缆</w:t>
      </w:r>
      <w:r>
        <w:rPr>
          <w:rFonts w:ascii="宋体" w:eastAsia="宋体" w:hAnsi="宋体" w:hint="eastAsia"/>
          <w:sz w:val="24"/>
        </w:rPr>
        <w:t>连接图</w:t>
      </w:r>
      <w:r>
        <w:rPr>
          <w:rFonts w:ascii="宋体" w:eastAsia="宋体" w:hAnsi="宋体" w:hint="eastAsia"/>
          <w:sz w:val="24"/>
          <w:lang w:val="en-US" w:eastAsia="zh-CN"/>
        </w:rPr>
        <w:t>和光纤连接图</w:t>
      </w:r>
      <w:r>
        <w:rPr>
          <w:rFonts w:ascii="宋体" w:eastAsia="宋体" w:hAnsi="宋体" w:hint="eastAsia"/>
          <w:sz w:val="24"/>
        </w:rPr>
        <w:t>中描述各个路线所需的线缆长度测量值。</w:t>
      </w:r>
    </w:p>
    <w:p>
      <w:pPr>
        <w:spacing w:line="360" w:lineRule="auto"/>
        <w:ind w:firstLine="480" w:firstLineChars="200"/>
        <w:rPr>
          <w:rFonts w:ascii="宋体" w:eastAsia="宋体" w:hAnsi="宋体"/>
          <w:sz w:val="24"/>
        </w:rPr>
      </w:pPr>
      <w:r>
        <w:rPr>
          <w:rFonts w:ascii="宋体" w:eastAsia="宋体" w:hAnsi="宋体" w:hint="eastAsia"/>
          <w:sz w:val="24"/>
        </w:rPr>
        <w:t>4、安装必须根据安装规范和选手指南进行。</w:t>
      </w:r>
    </w:p>
    <w:p>
      <w:pPr>
        <w:spacing w:line="360" w:lineRule="auto"/>
        <w:ind w:firstLine="480" w:firstLineChars="200"/>
        <w:rPr>
          <w:rFonts w:ascii="宋体" w:eastAsia="宋体" w:hAnsi="宋体"/>
          <w:sz w:val="24"/>
        </w:rPr>
      </w:pPr>
      <w:r>
        <w:rPr>
          <w:rFonts w:ascii="宋体" w:eastAsia="宋体" w:hAnsi="宋体" w:hint="eastAsia"/>
          <w:sz w:val="24"/>
        </w:rPr>
        <w:t>5、如果在每个配线架上或光纤连接盒中完成了连接和/或端接，则必须在连接报告中进行描述。连接图上的线条必须是由自带的模板尺子绘制，使用水平、垂直或完美的圆圈线绘制。配线架或光纤连接盒不需要附加连接图。</w:t>
      </w:r>
    </w:p>
    <w:p>
      <w:pPr>
        <w:spacing w:line="360" w:lineRule="auto"/>
        <w:ind w:firstLine="480" w:firstLineChars="200"/>
        <w:rPr>
          <w:rFonts w:ascii="宋体" w:eastAsia="宋体" w:hAnsi="宋体"/>
          <w:sz w:val="24"/>
        </w:rPr>
      </w:pPr>
      <w:r>
        <w:rPr>
          <w:rFonts w:ascii="宋体" w:eastAsia="宋体" w:hAnsi="宋体" w:hint="eastAsia"/>
          <w:sz w:val="24"/>
        </w:rPr>
        <w:t>6、试题的所有填写内容和绘图使用黑或蓝色签字笔，铅笔书写和绘图无效。</w:t>
      </w:r>
    </w:p>
    <w:p>
      <w:pPr>
        <w:spacing w:line="360" w:lineRule="auto"/>
        <w:outlineLvl w:val="1"/>
        <w:rPr>
          <w:rFonts w:ascii="宋体" w:eastAsia="宋体" w:hAnsi="宋体"/>
          <w:b/>
          <w:sz w:val="24"/>
        </w:rPr>
      </w:pPr>
      <w:bookmarkStart w:id="9" w:name="_Toc293"/>
      <w:r>
        <w:rPr>
          <w:rFonts w:ascii="宋体" w:eastAsia="宋体" w:hAnsi="宋体" w:hint="eastAsia"/>
          <w:b/>
          <w:sz w:val="24"/>
        </w:rPr>
        <w:t>（六）检查</w:t>
      </w:r>
      <w:bookmarkEnd w:id="9"/>
    </w:p>
    <w:p>
      <w:pPr>
        <w:spacing w:line="360" w:lineRule="auto"/>
        <w:ind w:firstLine="480" w:firstLineChars="200"/>
        <w:rPr>
          <w:rFonts w:ascii="宋体" w:eastAsia="宋体" w:hAnsi="宋体"/>
          <w:sz w:val="24"/>
        </w:rPr>
      </w:pPr>
      <w:r>
        <w:rPr>
          <w:rFonts w:ascii="宋体" w:eastAsia="宋体" w:hAnsi="宋体" w:hint="eastAsia"/>
          <w:sz w:val="24"/>
        </w:rPr>
        <w:t>检测必须按照设计和技术规范和测量指南进行，数据必须保存在USB闪存中提交。</w:t>
      </w:r>
    </w:p>
    <w:p>
      <w:pPr>
        <w:spacing w:before="312" w:beforeLines="100" w:line="480" w:lineRule="auto"/>
        <w:outlineLvl w:val="0"/>
        <w:rPr>
          <w:rFonts w:ascii="宋体" w:eastAsia="宋体" w:hAnsi="宋体"/>
          <w:b/>
          <w:sz w:val="28"/>
          <w:szCs w:val="28"/>
        </w:rPr>
      </w:pPr>
      <w:bookmarkStart w:id="10" w:name="_Toc27046"/>
      <w:r>
        <w:rPr>
          <w:rFonts w:ascii="宋体" w:eastAsia="宋体" w:hAnsi="宋体"/>
          <w:b/>
          <w:sz w:val="28"/>
          <w:szCs w:val="28"/>
        </w:rPr>
        <w:t>四、设计和技术规范</w:t>
      </w:r>
      <w:bookmarkEnd w:id="10"/>
    </w:p>
    <w:p>
      <w:pPr>
        <w:spacing w:line="360" w:lineRule="auto"/>
        <w:outlineLvl w:val="1"/>
        <w:rPr>
          <w:rFonts w:ascii="宋体" w:eastAsia="宋体" w:hAnsi="宋体"/>
          <w:b/>
          <w:sz w:val="24"/>
        </w:rPr>
      </w:pPr>
      <w:bookmarkStart w:id="11" w:name="_Toc6550"/>
      <w:r>
        <w:rPr>
          <w:rFonts w:ascii="宋体" w:eastAsia="宋体" w:hAnsi="宋体" w:hint="eastAsia"/>
          <w:b/>
          <w:sz w:val="24"/>
        </w:rPr>
        <w:t>（一）要求</w:t>
      </w:r>
      <w:bookmarkEnd w:id="11"/>
    </w:p>
    <w:p>
      <w:pPr>
        <w:spacing w:line="360" w:lineRule="auto"/>
        <w:ind w:firstLine="480" w:firstLineChars="200"/>
        <w:rPr>
          <w:rFonts w:ascii="宋体" w:eastAsia="宋体" w:hAnsi="宋体"/>
          <w:sz w:val="24"/>
        </w:rPr>
      </w:pPr>
      <w:r>
        <w:rPr>
          <w:rFonts w:ascii="宋体" w:eastAsia="宋体" w:hAnsi="宋体" w:hint="eastAsia"/>
          <w:sz w:val="24"/>
        </w:rPr>
        <w:t>1、需要设计和安装备用线缆，预计未来租户的需求会增加。</w:t>
      </w:r>
    </w:p>
    <w:p>
      <w:pPr>
        <w:spacing w:line="360" w:lineRule="auto"/>
        <w:ind w:firstLine="480" w:firstLineChars="200"/>
        <w:rPr>
          <w:rFonts w:ascii="宋体" w:eastAsia="宋体" w:hAnsi="宋体"/>
          <w:sz w:val="24"/>
        </w:rPr>
      </w:pPr>
      <w:r>
        <w:rPr>
          <w:rFonts w:ascii="宋体" w:eastAsia="宋体" w:hAnsi="宋体" w:hint="eastAsia"/>
          <w:sz w:val="24"/>
        </w:rPr>
        <w:t>2、客户将利用这一信息布线系统，假设未来机架配置服务的延伸。为了提高系统的附加值，有以下要求：尽可能考虑可持续性和可维护性；保持设备从布线、外观到连接盒内部的干净整洁；并“始终”清理工作场所。</w:t>
      </w:r>
    </w:p>
    <w:p>
      <w:pPr>
        <w:spacing w:line="360" w:lineRule="auto"/>
        <w:ind w:firstLine="480" w:firstLineChars="200"/>
        <w:rPr>
          <w:rFonts w:ascii="宋体" w:eastAsia="宋体" w:hAnsi="宋体"/>
          <w:sz w:val="24"/>
        </w:rPr>
      </w:pPr>
      <w:r>
        <w:rPr>
          <w:rFonts w:ascii="宋体" w:eastAsia="宋体" w:hAnsi="宋体" w:hint="eastAsia"/>
          <w:sz w:val="24"/>
        </w:rPr>
        <w:t>3、考虑到布线系统的未来前景，客户要求有可预测的扩展。更具体地说，是关于走线和路由系统，机柜机架。</w:t>
      </w:r>
    </w:p>
    <w:p>
      <w:pPr>
        <w:spacing w:line="360" w:lineRule="auto"/>
        <w:ind w:firstLine="480" w:firstLineChars="200"/>
        <w:rPr>
          <w:rFonts w:ascii="宋体" w:eastAsia="宋体" w:hAnsi="宋体"/>
          <w:sz w:val="24"/>
        </w:rPr>
      </w:pPr>
      <w:r>
        <w:rPr>
          <w:rFonts w:ascii="宋体" w:eastAsia="宋体" w:hAnsi="宋体" w:hint="eastAsia"/>
          <w:sz w:val="24"/>
        </w:rPr>
        <w:t>4、计划和设计必须遵循ISO/IEC 14763-2。</w:t>
      </w:r>
    </w:p>
    <w:p>
      <w:pPr>
        <w:spacing w:line="360" w:lineRule="auto"/>
        <w:outlineLvl w:val="1"/>
        <w:rPr>
          <w:rFonts w:ascii="宋体" w:eastAsia="宋体" w:hAnsi="宋体"/>
          <w:b/>
          <w:sz w:val="24"/>
        </w:rPr>
      </w:pPr>
      <w:bookmarkStart w:id="12" w:name="_Toc15520"/>
      <w:r>
        <w:rPr>
          <w:rFonts w:ascii="宋体" w:eastAsia="宋体" w:hAnsi="宋体" w:hint="eastAsia"/>
          <w:b/>
          <w:sz w:val="24"/>
        </w:rPr>
        <w:t>（二）通则</w:t>
      </w:r>
      <w:bookmarkEnd w:id="12"/>
    </w:p>
    <w:p>
      <w:pPr>
        <w:spacing w:line="360" w:lineRule="auto"/>
        <w:ind w:firstLine="480" w:firstLineChars="200"/>
        <w:rPr>
          <w:rFonts w:ascii="宋体" w:eastAsia="宋体" w:hAnsi="宋体"/>
          <w:sz w:val="24"/>
        </w:rPr>
      </w:pPr>
      <w:r>
        <w:rPr>
          <w:rFonts w:ascii="宋体" w:eastAsia="宋体" w:hAnsi="宋体" w:hint="eastAsia"/>
          <w:sz w:val="24"/>
        </w:rPr>
        <w:t>1、应用于安装基础设施的管理系统级别为3级。</w:t>
      </w:r>
    </w:p>
    <w:p>
      <w:pPr>
        <w:spacing w:line="360" w:lineRule="auto"/>
        <w:ind w:firstLine="480" w:firstLineChars="200"/>
        <w:rPr>
          <w:rFonts w:ascii="宋体" w:eastAsia="宋体" w:hAnsi="宋体"/>
          <w:sz w:val="24"/>
        </w:rPr>
      </w:pPr>
      <w:r>
        <w:rPr>
          <w:rFonts w:ascii="宋体" w:eastAsia="宋体" w:hAnsi="宋体" w:hint="eastAsia"/>
          <w:sz w:val="24"/>
        </w:rPr>
        <w:t>2、应将ISO/IEC TR29106规定的M1I1C1E1引入线缆或材料安装的环境中。</w:t>
      </w:r>
    </w:p>
    <w:p>
      <w:pPr>
        <w:spacing w:line="360" w:lineRule="auto"/>
        <w:ind w:firstLine="480" w:firstLineChars="200"/>
        <w:rPr>
          <w:rFonts w:ascii="宋体" w:eastAsia="宋体" w:hAnsi="宋体"/>
          <w:sz w:val="24"/>
        </w:rPr>
      </w:pPr>
      <w:r>
        <w:rPr>
          <w:rFonts w:ascii="宋体" w:eastAsia="宋体" w:hAnsi="宋体" w:hint="eastAsia"/>
          <w:sz w:val="24"/>
        </w:rPr>
        <w:t>3、平衡双绞线链路必须保证在D级以。</w:t>
      </w:r>
    </w:p>
    <w:p>
      <w:pPr>
        <w:spacing w:line="360" w:lineRule="auto"/>
        <w:ind w:firstLine="480" w:firstLineChars="200"/>
        <w:rPr>
          <w:rFonts w:ascii="宋体" w:eastAsia="宋体" w:hAnsi="宋体"/>
          <w:sz w:val="24"/>
        </w:rPr>
      </w:pPr>
      <w:r>
        <w:rPr>
          <w:rFonts w:ascii="宋体" w:eastAsia="宋体" w:hAnsi="宋体" w:hint="eastAsia"/>
          <w:sz w:val="24"/>
        </w:rPr>
        <w:t>4、光纤信道必须保证OS1。</w:t>
      </w:r>
    </w:p>
    <w:p>
      <w:pPr>
        <w:spacing w:line="360" w:lineRule="auto"/>
        <w:ind w:firstLine="480" w:firstLineChars="200"/>
        <w:rPr>
          <w:rFonts w:ascii="宋体" w:eastAsia="宋体" w:hAnsi="宋体"/>
          <w:sz w:val="24"/>
        </w:rPr>
        <w:sectPr>
          <w:headerReference w:type="default" r:id="rId14"/>
          <w:footerReference w:type="default" r:id="rId15"/>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3"/>
          <w:cols w:num="1" w:space="425"/>
          <w:titlePg w:val="0"/>
          <w:docGrid w:type="lines" w:linePitch="312" w:charSpace="0"/>
        </w:sectPr>
      </w:pPr>
    </w:p>
    <w:p>
      <w:pPr>
        <w:spacing w:line="360" w:lineRule="auto"/>
        <w:ind w:firstLine="480" w:firstLineChars="200"/>
        <w:rPr>
          <w:rFonts w:ascii="宋体" w:eastAsia="宋体" w:hAnsi="宋体"/>
          <w:sz w:val="24"/>
        </w:rPr>
      </w:pPr>
      <w:r>
        <w:rPr>
          <w:rFonts w:ascii="宋体" w:eastAsia="宋体" w:hAnsi="宋体" w:hint="eastAsia"/>
          <w:sz w:val="24"/>
        </w:rPr>
        <w:t>5、必须填写并提交的文件有：每日工作计划和报告，工作完成报告，测试结果，连接报告。</w:t>
      </w:r>
    </w:p>
    <w:p>
      <w:pPr>
        <w:spacing w:line="360" w:lineRule="auto"/>
        <w:ind w:firstLine="480" w:firstLineChars="200"/>
        <w:rPr>
          <w:rFonts w:ascii="宋体" w:eastAsia="宋体" w:hAnsi="宋体"/>
          <w:sz w:val="24"/>
        </w:rPr>
      </w:pPr>
      <w:r>
        <w:rPr>
          <w:rFonts w:ascii="宋体" w:eastAsia="宋体" w:hAnsi="宋体" w:hint="eastAsia"/>
          <w:sz w:val="24"/>
        </w:rPr>
        <w:t>6、标签指示必须遵循选手指南和标签指南。跳线单独说明。</w:t>
      </w:r>
    </w:p>
    <w:p>
      <w:pPr>
        <w:spacing w:line="360" w:lineRule="auto"/>
        <w:ind w:firstLine="480" w:firstLineChars="200"/>
        <w:rPr>
          <w:rFonts w:ascii="宋体" w:eastAsia="宋体" w:hAnsi="宋体"/>
          <w:sz w:val="24"/>
        </w:rPr>
      </w:pPr>
      <w:r>
        <w:rPr>
          <w:rFonts w:ascii="宋体" w:eastAsia="宋体" w:hAnsi="宋体" w:hint="eastAsia"/>
          <w:sz w:val="24"/>
        </w:rPr>
        <w:t>7、</w:t>
      </w:r>
      <w:r>
        <w:rPr>
          <w:rFonts w:ascii="宋体" w:eastAsia="宋体" w:hAnsi="宋体" w:hint="eastAsia"/>
          <w:sz w:val="24"/>
          <w:lang w:val="en-US" w:eastAsia="zh-CN"/>
        </w:rPr>
        <w:t>所有的</w:t>
      </w:r>
      <w:r>
        <w:rPr>
          <w:rFonts w:ascii="宋体" w:eastAsia="宋体" w:hAnsi="宋体" w:hint="eastAsia"/>
          <w:sz w:val="24"/>
        </w:rPr>
        <w:t>链路必须</w:t>
      </w:r>
      <w:r>
        <w:rPr>
          <w:rFonts w:ascii="宋体" w:eastAsia="宋体" w:hAnsi="宋体" w:hint="eastAsia"/>
          <w:sz w:val="24"/>
          <w:lang w:val="en-US" w:eastAsia="zh-CN"/>
        </w:rPr>
        <w:t>先</w:t>
      </w:r>
      <w:r>
        <w:rPr>
          <w:rFonts w:ascii="宋体" w:eastAsia="宋体" w:hAnsi="宋体" w:hint="eastAsia"/>
          <w:sz w:val="24"/>
        </w:rPr>
        <w:t>满足1级的检验要求。一级检查是确认安装完成，基本连接性得到保证。就1级而言，需确认以下事项:</w:t>
      </w:r>
    </w:p>
    <w:p>
      <w:pPr>
        <w:pStyle w:val="ListParagraph"/>
        <w:numPr>
          <w:ilvl w:val="0"/>
          <w:numId w:val="6"/>
        </w:numPr>
        <w:spacing w:line="360" w:lineRule="auto"/>
        <w:ind w:firstLineChars="0"/>
        <w:rPr>
          <w:rFonts w:ascii="宋体" w:eastAsia="宋体" w:hAnsi="宋体"/>
          <w:sz w:val="24"/>
        </w:rPr>
      </w:pPr>
      <w:r>
        <w:rPr>
          <w:rFonts w:ascii="宋体" w:eastAsia="宋体" w:hAnsi="宋体" w:hint="eastAsia"/>
          <w:sz w:val="24"/>
        </w:rPr>
        <w:t>是否所安装的信息布线系统符合安装规范的物理要求(例如：插座位置、标签等)；</w:t>
      </w:r>
    </w:p>
    <w:p>
      <w:pPr>
        <w:pStyle w:val="ListParagraph"/>
        <w:numPr>
          <w:ilvl w:val="0"/>
          <w:numId w:val="6"/>
        </w:numPr>
        <w:spacing w:line="360" w:lineRule="auto"/>
        <w:ind w:firstLineChars="0"/>
        <w:rPr>
          <w:rFonts w:ascii="宋体" w:eastAsia="宋体" w:hAnsi="宋体"/>
          <w:sz w:val="24"/>
        </w:rPr>
      </w:pPr>
      <w:r>
        <w:rPr>
          <w:rFonts w:ascii="宋体" w:eastAsia="宋体" w:hAnsi="宋体" w:hint="eastAsia"/>
          <w:sz w:val="24"/>
        </w:rPr>
        <w:t>是否基本验证参数已完成；</w:t>
      </w:r>
    </w:p>
    <w:p>
      <w:pPr>
        <w:pStyle w:val="ListParagraph"/>
        <w:numPr>
          <w:ilvl w:val="0"/>
          <w:numId w:val="6"/>
        </w:numPr>
        <w:spacing w:line="360" w:lineRule="auto"/>
        <w:ind w:firstLineChars="0"/>
        <w:rPr>
          <w:rFonts w:ascii="宋体" w:eastAsia="宋体" w:hAnsi="宋体"/>
          <w:sz w:val="24"/>
        </w:rPr>
      </w:pPr>
      <w:r>
        <w:rPr>
          <w:rFonts w:ascii="宋体" w:eastAsia="宋体" w:hAnsi="宋体" w:hint="eastAsia"/>
          <w:sz w:val="24"/>
        </w:rPr>
        <w:t>是否线缆上有标签，请遵循安装规范。</w:t>
      </w:r>
    </w:p>
    <w:p>
      <w:pPr>
        <w:spacing w:line="360" w:lineRule="auto"/>
        <w:ind w:firstLine="480" w:firstLineChars="200"/>
        <w:rPr>
          <w:rFonts w:ascii="宋体" w:eastAsia="宋体" w:hAnsi="宋体"/>
          <w:sz w:val="24"/>
        </w:rPr>
      </w:pPr>
      <w:r>
        <w:rPr>
          <w:rFonts w:ascii="宋体" w:eastAsia="宋体" w:hAnsi="宋体" w:hint="eastAsia"/>
          <w:sz w:val="24"/>
        </w:rPr>
        <w:t>8、</w:t>
      </w:r>
      <w:r>
        <w:rPr>
          <w:rFonts w:ascii="宋体" w:eastAsia="宋体" w:hAnsi="宋体" w:hint="eastAsia"/>
          <w:sz w:val="24"/>
          <w:lang w:val="en-US" w:eastAsia="zh-CN"/>
        </w:rPr>
        <w:t>所有</w:t>
      </w:r>
      <w:r>
        <w:rPr>
          <w:rFonts w:ascii="宋体" w:eastAsia="宋体" w:hAnsi="宋体" w:hint="eastAsia"/>
          <w:sz w:val="24"/>
        </w:rPr>
        <w:t>的链路必须满足检验要求三级。三级检查提供了最高水平的可靠性，以满足所选线缆设计标准的传输要求。就三级而言，需确认以下事项:</w:t>
      </w:r>
    </w:p>
    <w:p>
      <w:pPr>
        <w:pStyle w:val="ListParagraph"/>
        <w:numPr>
          <w:ilvl w:val="0"/>
          <w:numId w:val="7"/>
        </w:numPr>
        <w:spacing w:line="360" w:lineRule="auto"/>
        <w:ind w:firstLineChars="0"/>
        <w:rPr>
          <w:rFonts w:ascii="宋体" w:eastAsia="宋体" w:hAnsi="宋体"/>
          <w:sz w:val="24"/>
        </w:rPr>
      </w:pPr>
      <w:r>
        <w:rPr>
          <w:rFonts w:ascii="宋体" w:eastAsia="宋体" w:hAnsi="宋体" w:hint="eastAsia"/>
          <w:sz w:val="24"/>
        </w:rPr>
        <w:t>布线中线缆连接组件在安装规范中是否有具体说明；</w:t>
      </w:r>
    </w:p>
    <w:p>
      <w:pPr>
        <w:pStyle w:val="ListParagraph"/>
        <w:numPr>
          <w:ilvl w:val="0"/>
          <w:numId w:val="7"/>
        </w:numPr>
        <w:spacing w:line="360" w:lineRule="auto"/>
        <w:ind w:firstLineChars="0"/>
        <w:rPr>
          <w:rFonts w:ascii="宋体" w:eastAsia="宋体" w:hAnsi="宋体"/>
          <w:sz w:val="24"/>
        </w:rPr>
      </w:pPr>
      <w:r>
        <w:rPr>
          <w:rFonts w:ascii="宋体" w:eastAsia="宋体" w:hAnsi="宋体" w:hint="eastAsia"/>
          <w:sz w:val="24"/>
        </w:rPr>
        <w:t>如有平行光缆链路；技术规范中有关传输等级(信道或链路)的要求是否满足。这就是EIC61935的“认证”测试；</w:t>
      </w:r>
    </w:p>
    <w:p>
      <w:pPr>
        <w:pStyle w:val="ListParagraph"/>
        <w:numPr>
          <w:ilvl w:val="0"/>
          <w:numId w:val="7"/>
        </w:numPr>
        <w:spacing w:line="360" w:lineRule="auto"/>
        <w:ind w:firstLineChars="0"/>
        <w:rPr>
          <w:rFonts w:ascii="宋体" w:eastAsia="宋体" w:hAnsi="宋体"/>
          <w:sz w:val="24"/>
        </w:rPr>
      </w:pPr>
      <w:r>
        <w:rPr>
          <w:rFonts w:ascii="宋体" w:eastAsia="宋体" w:hAnsi="宋体" w:hint="eastAsia"/>
          <w:sz w:val="24"/>
        </w:rPr>
        <w:t>如有光缆链路；技术规范中有关传输等级(信道或链路)的要求是否满足。</w:t>
      </w:r>
    </w:p>
    <w:p>
      <w:pPr>
        <w:spacing w:line="360" w:lineRule="auto"/>
        <w:ind w:firstLine="480" w:firstLineChars="200"/>
        <w:rPr>
          <w:rFonts w:ascii="宋体" w:eastAsia="宋体" w:hAnsi="宋体"/>
          <w:sz w:val="24"/>
        </w:rPr>
      </w:pPr>
      <w:r>
        <w:rPr>
          <w:rFonts w:ascii="宋体" w:eastAsia="宋体" w:hAnsi="宋体" w:hint="eastAsia"/>
          <w:sz w:val="24"/>
          <w:lang w:val="en-US" w:eastAsia="zh-CN"/>
        </w:rPr>
        <w:t>9</w:t>
      </w:r>
      <w:r>
        <w:rPr>
          <w:rFonts w:ascii="宋体" w:eastAsia="宋体" w:hAnsi="宋体" w:hint="eastAsia"/>
          <w:sz w:val="24"/>
        </w:rPr>
        <w:t>、所有的布线材料必须根据</w:t>
      </w:r>
      <w:r>
        <w:rPr>
          <w:rFonts w:ascii="宋体" w:eastAsia="宋体" w:hAnsi="宋体" w:hint="eastAsia"/>
          <w:sz w:val="24"/>
          <w:lang w:val="en-US" w:eastAsia="zh-CN"/>
        </w:rPr>
        <w:t>图1至图6</w:t>
      </w:r>
      <w:r>
        <w:rPr>
          <w:rFonts w:ascii="宋体" w:eastAsia="宋体" w:hAnsi="宋体" w:hint="eastAsia"/>
          <w:sz w:val="24"/>
        </w:rPr>
        <w:t>进行安装。</w:t>
      </w:r>
    </w:p>
    <w:p>
      <w:pPr>
        <w:spacing w:line="360" w:lineRule="auto"/>
        <w:ind w:firstLine="480" w:firstLineChars="200"/>
        <w:rPr>
          <w:rFonts w:ascii="宋体" w:eastAsia="宋体" w:hAnsi="宋体"/>
          <w:sz w:val="24"/>
        </w:rPr>
      </w:pPr>
      <w:r>
        <w:rPr>
          <w:rFonts w:ascii="宋体" w:eastAsia="宋体" w:hAnsi="宋体" w:hint="eastAsia"/>
          <w:sz w:val="24"/>
          <w:lang w:val="en-US" w:eastAsia="zh-CN"/>
        </w:rPr>
        <w:t>10</w:t>
      </w:r>
      <w:r>
        <w:rPr>
          <w:rFonts w:ascii="宋体" w:eastAsia="宋体" w:hAnsi="宋体" w:hint="eastAsia"/>
          <w:sz w:val="24"/>
        </w:rPr>
        <w:t>、机架上配线架的安装位置必须满足客户的要求。</w:t>
      </w:r>
    </w:p>
    <w:p>
      <w:pPr>
        <w:spacing w:line="360" w:lineRule="auto"/>
        <w:ind w:firstLine="480" w:firstLineChars="200"/>
        <w:rPr>
          <w:rFonts w:ascii="宋体" w:eastAsia="宋体" w:hAnsi="宋体"/>
          <w:sz w:val="24"/>
        </w:rPr>
      </w:pPr>
      <w:r>
        <w:rPr>
          <w:rFonts w:ascii="宋体" w:eastAsia="宋体" w:hAnsi="宋体" w:hint="eastAsia"/>
          <w:sz w:val="24"/>
          <w:lang w:val="en-US" w:eastAsia="zh-CN"/>
        </w:rPr>
        <w:t>11</w:t>
      </w:r>
      <w:r>
        <w:rPr>
          <w:rFonts w:ascii="宋体" w:eastAsia="宋体" w:hAnsi="宋体" w:hint="eastAsia"/>
          <w:sz w:val="24"/>
        </w:rPr>
        <w:t>、主机架安装在房间深度x宽度为：D3.2 m</w:t>
      </w:r>
      <w:r>
        <w:rPr>
          <w:rFonts w:ascii="宋体" w:eastAsia="宋体" w:hAnsi="宋体"/>
          <w:sz w:val="24"/>
        </w:rPr>
        <w:t xml:space="preserve"> </w:t>
      </w:r>
      <w:r>
        <w:rPr>
          <w:rFonts w:ascii="宋体" w:eastAsia="宋体" w:hAnsi="宋体" w:hint="eastAsia"/>
          <w:sz w:val="24"/>
        </w:rPr>
        <w:t>x W3 m的机房中，如图所示。</w:t>
      </w:r>
    </w:p>
    <w:p>
      <w:pPr>
        <w:spacing w:line="360" w:lineRule="auto"/>
        <w:ind w:firstLine="480" w:firstLineChars="200"/>
        <w:rPr>
          <w:rFonts w:ascii="宋体" w:eastAsia="宋体" w:hAnsi="宋体"/>
          <w:sz w:val="24"/>
        </w:rPr>
      </w:pPr>
      <w:r>
        <w:rPr>
          <w:rFonts w:ascii="宋体" w:eastAsia="宋体" w:hAnsi="宋体" w:hint="eastAsia"/>
          <w:sz w:val="24"/>
        </w:rPr>
        <w:t>（机架RC1两旁还有RC11和RC33，要按照房间布局实际情况进行设计与施工）。</w:t>
      </w:r>
    </w:p>
    <w:p>
      <w:pPr>
        <w:spacing w:line="360" w:lineRule="auto"/>
        <w:jc w:val="center"/>
        <w:rPr>
          <w:rFonts w:ascii="宋体" w:eastAsia="宋体" w:hAnsi="宋体"/>
          <w:sz w:val="24"/>
        </w:rPr>
      </w:pPr>
      <w:r>
        <w:drawing>
          <wp:inline distT="0" distB="0" distL="0" distR="0">
            <wp:extent cx="3655695" cy="2835910"/>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16"/>
                    <a:stretch>
                      <a:fillRect/>
                    </a:stretch>
                  </pic:blipFill>
                  <pic:spPr>
                    <a:xfrm>
                      <a:off x="0" y="0"/>
                      <a:ext cx="3656075" cy="2836164"/>
                    </a:xfrm>
                    <a:prstGeom prst="rect">
                      <a:avLst/>
                    </a:prstGeom>
                  </pic:spPr>
                </pic:pic>
              </a:graphicData>
            </a:graphic>
          </wp:inline>
        </w:drawing>
      </w:r>
    </w:p>
    <w:p>
      <w:pPr>
        <w:jc w:val="center"/>
        <w:rPr>
          <w:rFonts w:ascii="宋体" w:eastAsia="宋体" w:hAnsi="宋体"/>
          <w:szCs w:val="21"/>
        </w:rPr>
        <w:sectPr>
          <w:headerReference w:type="default" r:id="rId17"/>
          <w:footerReference w:type="default" r:id="rId18"/>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4"/>
          <w:cols w:num="1" w:space="425"/>
          <w:titlePg w:val="0"/>
          <w:docGrid w:type="lines" w:linePitch="312" w:charSpace="0"/>
        </w:sectPr>
      </w:pPr>
      <w:r>
        <w:rPr>
          <w:rFonts w:ascii="宋体" w:eastAsia="宋体" w:hAnsi="宋体" w:hint="eastAsia"/>
          <w:szCs w:val="21"/>
        </w:rPr>
        <w:t>设备间内部维度（俯视图）</w:t>
      </w:r>
    </w:p>
    <w:p>
      <w:pPr>
        <w:spacing w:line="360" w:lineRule="auto"/>
        <w:outlineLvl w:val="1"/>
        <w:rPr>
          <w:rFonts w:ascii="宋体" w:eastAsia="宋体" w:hAnsi="宋体"/>
          <w:b/>
          <w:sz w:val="24"/>
        </w:rPr>
      </w:pPr>
      <w:bookmarkStart w:id="13" w:name="_Toc11619"/>
      <w:r>
        <w:rPr>
          <w:rFonts w:ascii="宋体" w:eastAsia="宋体" w:hAnsi="宋体" w:hint="eastAsia"/>
          <w:b/>
          <w:sz w:val="24"/>
        </w:rPr>
        <w:t>（</w:t>
      </w:r>
      <w:r>
        <w:rPr>
          <w:rFonts w:ascii="宋体" w:eastAsia="宋体" w:hAnsi="宋体" w:hint="eastAsia"/>
          <w:b/>
          <w:sz w:val="24"/>
          <w:lang w:val="en-US" w:eastAsia="zh-CN"/>
        </w:rPr>
        <w:t>三</w:t>
      </w:r>
      <w:r>
        <w:rPr>
          <w:rFonts w:ascii="宋体" w:eastAsia="宋体" w:hAnsi="宋体" w:hint="eastAsia"/>
          <w:b/>
          <w:sz w:val="24"/>
        </w:rPr>
        <w:t>）连接和路由系统设计规范</w:t>
      </w:r>
      <w:bookmarkEnd w:id="13"/>
    </w:p>
    <w:p>
      <w:pPr>
        <w:spacing w:line="360" w:lineRule="auto"/>
        <w:ind w:firstLine="480" w:firstLineChars="200"/>
        <w:rPr>
          <w:rFonts w:ascii="宋体" w:eastAsia="宋体" w:hAnsi="宋体"/>
          <w:sz w:val="24"/>
        </w:rPr>
      </w:pPr>
      <w:r>
        <w:rPr>
          <w:rFonts w:ascii="宋体" w:eastAsia="宋体" w:hAnsi="宋体" w:hint="eastAsia"/>
          <w:sz w:val="24"/>
        </w:rPr>
        <w:t>1、光缆FO_x必须</w:t>
      </w:r>
      <w:r>
        <w:rPr>
          <w:rFonts w:ascii="宋体" w:eastAsia="宋体" w:hAnsi="宋体" w:hint="eastAsia"/>
          <w:sz w:val="24"/>
          <w:lang w:val="en-US" w:eastAsia="zh-CN"/>
        </w:rPr>
        <w:t>经过线</w:t>
      </w:r>
      <w:r>
        <w:rPr>
          <w:rFonts w:ascii="宋体" w:eastAsia="宋体" w:hAnsi="宋体" w:hint="eastAsia"/>
          <w:sz w:val="24"/>
        </w:rPr>
        <w:t>缆桥架安装到光纤</w:t>
      </w:r>
      <w:r>
        <w:rPr>
          <w:rFonts w:ascii="宋体" w:eastAsia="宋体" w:hAnsi="宋体" w:hint="eastAsia"/>
          <w:sz w:val="24"/>
          <w:lang w:val="en-US" w:eastAsia="zh-CN"/>
        </w:rPr>
        <w:t>槽</w:t>
      </w:r>
      <w:r>
        <w:rPr>
          <w:rFonts w:ascii="宋体" w:eastAsia="宋体" w:hAnsi="宋体" w:hint="eastAsia"/>
          <w:sz w:val="24"/>
        </w:rPr>
        <w:t>道上。</w:t>
      </w:r>
    </w:p>
    <w:p>
      <w:pPr>
        <w:spacing w:line="360" w:lineRule="auto"/>
        <w:ind w:firstLine="480" w:firstLineChars="200"/>
        <w:rPr>
          <w:rFonts w:ascii="宋体" w:eastAsia="宋体" w:hAnsi="宋体"/>
          <w:sz w:val="24"/>
        </w:rPr>
      </w:pPr>
      <w:r>
        <w:rPr>
          <w:rFonts w:ascii="宋体" w:eastAsia="宋体" w:hAnsi="宋体" w:hint="eastAsia"/>
          <w:sz w:val="24"/>
        </w:rPr>
        <w:t>2、19英寸机架之间的xTP线缆必须使用线缆桥架。</w:t>
      </w:r>
    </w:p>
    <w:p>
      <w:pPr>
        <w:spacing w:line="360" w:lineRule="auto"/>
        <w:ind w:firstLine="480" w:firstLineChars="200"/>
        <w:rPr>
          <w:rFonts w:ascii="宋体" w:eastAsia="宋体" w:hAnsi="宋体"/>
          <w:sz w:val="24"/>
        </w:rPr>
      </w:pPr>
      <w:r>
        <w:rPr>
          <w:rFonts w:ascii="宋体" w:eastAsia="宋体" w:hAnsi="宋体" w:hint="eastAsia"/>
          <w:sz w:val="24"/>
        </w:rPr>
        <w:t>3、xTP线缆到TO必须使用</w:t>
      </w:r>
      <w:r>
        <w:rPr>
          <w:rFonts w:ascii="宋体" w:eastAsia="宋体" w:hAnsi="宋体" w:hint="eastAsia"/>
          <w:sz w:val="24"/>
          <w:lang w:val="en-US" w:eastAsia="zh-CN"/>
        </w:rPr>
        <w:t>线缆导管或线缆</w:t>
      </w:r>
      <w:r>
        <w:rPr>
          <w:rFonts w:ascii="宋体" w:eastAsia="宋体" w:hAnsi="宋体" w:hint="eastAsia"/>
          <w:sz w:val="24"/>
        </w:rPr>
        <w:t>桥架</w:t>
      </w:r>
      <w:r>
        <w:rPr>
          <w:rFonts w:ascii="宋体" w:eastAsia="宋体" w:hAnsi="宋体" w:hint="eastAsia"/>
          <w:sz w:val="24"/>
          <w:lang w:eastAsia="zh-CN"/>
        </w:rPr>
        <w:t>，</w:t>
      </w:r>
      <w:r>
        <w:rPr>
          <w:rFonts w:ascii="宋体" w:eastAsia="宋体" w:hAnsi="宋体" w:hint="eastAsia"/>
          <w:sz w:val="24"/>
          <w:lang w:val="en-US" w:eastAsia="zh-CN"/>
        </w:rPr>
        <w:t>具体根据信息点对应的暗线孔位进行设计</w:t>
      </w:r>
      <w:r>
        <w:rPr>
          <w:rFonts w:ascii="宋体" w:eastAsia="宋体" w:hAnsi="宋体" w:hint="eastAsia"/>
          <w:sz w:val="24"/>
        </w:rPr>
        <w:t>。</w:t>
      </w:r>
    </w:p>
    <w:p>
      <w:pPr>
        <w:spacing w:line="360" w:lineRule="auto"/>
        <w:ind w:firstLine="480" w:firstLineChars="200"/>
        <w:rPr>
          <w:rFonts w:ascii="宋体" w:eastAsia="宋体" w:hAnsi="宋体"/>
          <w:sz w:val="24"/>
        </w:rPr>
      </w:pPr>
      <w:r>
        <w:rPr>
          <w:rFonts w:ascii="宋体" w:eastAsia="宋体" w:hAnsi="宋体" w:hint="eastAsia"/>
          <w:sz w:val="24"/>
          <w:lang w:val="en-US" w:eastAsia="zh-CN"/>
        </w:rPr>
        <w:t>4</w:t>
      </w:r>
      <w:r>
        <w:rPr>
          <w:rFonts w:ascii="宋体" w:eastAsia="宋体" w:hAnsi="宋体" w:hint="eastAsia"/>
          <w:sz w:val="24"/>
        </w:rPr>
        <w:t>、在主机架和子机架之间的布线线路中，</w:t>
      </w:r>
      <w:r>
        <w:rPr>
          <w:rFonts w:ascii="宋体" w:eastAsia="宋体" w:hAnsi="宋体" w:hint="eastAsia"/>
          <w:sz w:val="24"/>
          <w:lang w:val="en-US" w:eastAsia="zh-CN"/>
        </w:rPr>
        <w:t>需根据实际情况设计线缆长度，但最大长度不得超过20米，并填写在连接图中</w:t>
      </w:r>
      <w:r>
        <w:rPr>
          <w:rFonts w:ascii="宋体" w:eastAsia="宋体" w:hAnsi="宋体" w:hint="eastAsia"/>
          <w:sz w:val="24"/>
        </w:rPr>
        <w:t>。</w:t>
      </w:r>
    </w:p>
    <w:p>
      <w:pPr>
        <w:spacing w:line="360" w:lineRule="auto"/>
        <w:ind w:firstLine="480" w:firstLineChars="200"/>
        <w:rPr>
          <w:rFonts w:ascii="宋体" w:eastAsia="宋体" w:hAnsi="宋体"/>
          <w:sz w:val="24"/>
        </w:rPr>
      </w:pPr>
      <w:r>
        <w:rPr>
          <w:rFonts w:ascii="宋体" w:eastAsia="宋体" w:hAnsi="宋体" w:hint="eastAsia"/>
          <w:sz w:val="24"/>
          <w:lang w:val="en-US" w:eastAsia="zh-CN"/>
        </w:rPr>
        <w:t>5</w:t>
      </w:r>
      <w:r>
        <w:rPr>
          <w:rFonts w:ascii="宋体" w:eastAsia="宋体" w:hAnsi="宋体" w:hint="eastAsia"/>
          <w:sz w:val="24"/>
        </w:rPr>
        <w:t>、每个光纤连接盒之间光缆的最大长度不得超过20m。(含盘纤盒内纤芯长)</w:t>
      </w:r>
    </w:p>
    <w:p>
      <w:pPr>
        <w:spacing w:line="360" w:lineRule="auto"/>
        <w:ind w:firstLine="480" w:firstLineChars="200"/>
        <w:rPr>
          <w:rFonts w:ascii="宋体" w:eastAsia="宋体" w:hAnsi="宋体"/>
          <w:sz w:val="24"/>
        </w:rPr>
      </w:pPr>
      <w:r>
        <w:rPr>
          <w:rFonts w:ascii="宋体" w:eastAsia="宋体" w:hAnsi="宋体" w:hint="eastAsia"/>
          <w:sz w:val="24"/>
          <w:lang w:val="en-US" w:eastAsia="zh-CN"/>
        </w:rPr>
        <w:t>6</w:t>
      </w:r>
      <w:r>
        <w:rPr>
          <w:rFonts w:ascii="宋体" w:eastAsia="宋体" w:hAnsi="宋体" w:hint="eastAsia"/>
          <w:sz w:val="24"/>
        </w:rPr>
        <w:t>、线路必须维持大于最小的弯曲半径且要求与主电力电缆分离。</w:t>
      </w:r>
    </w:p>
    <w:p>
      <w:pPr>
        <w:spacing w:line="360" w:lineRule="auto"/>
        <w:ind w:firstLine="480" w:firstLineChars="200"/>
        <w:rPr>
          <w:rFonts w:ascii="宋体" w:eastAsia="宋体" w:hAnsi="宋体"/>
          <w:sz w:val="24"/>
        </w:rPr>
      </w:pPr>
      <w:r>
        <w:rPr>
          <w:rFonts w:ascii="宋体" w:eastAsia="宋体" w:hAnsi="宋体" w:hint="eastAsia"/>
          <w:sz w:val="24"/>
          <w:lang w:val="en-US" w:eastAsia="zh-CN"/>
        </w:rPr>
        <w:t>7</w:t>
      </w:r>
      <w:r>
        <w:rPr>
          <w:rFonts w:ascii="宋体" w:eastAsia="宋体" w:hAnsi="宋体" w:hint="eastAsia"/>
          <w:sz w:val="24"/>
        </w:rPr>
        <w:t>、布线中每个光缆与铜缆认为是不同的系统，需要捆扎完一组线缆再进行另外一组，</w:t>
      </w:r>
      <w:r>
        <w:rPr>
          <w:rFonts w:ascii="宋体" w:eastAsia="宋体" w:hAnsi="宋体" w:hint="eastAsia"/>
          <w:sz w:val="24"/>
          <w:lang w:val="en-US" w:eastAsia="zh-CN"/>
        </w:rPr>
        <w:t>不能够</w:t>
      </w:r>
      <w:r>
        <w:rPr>
          <w:rFonts w:ascii="宋体" w:eastAsia="宋体" w:hAnsi="宋体" w:hint="eastAsia"/>
          <w:sz w:val="24"/>
        </w:rPr>
        <w:t>多组线缆同时布上桥架</w:t>
      </w:r>
      <w:r>
        <w:rPr>
          <w:rFonts w:ascii="宋体" w:eastAsia="宋体" w:hAnsi="宋体" w:hint="eastAsia"/>
          <w:sz w:val="24"/>
          <w:lang w:val="en-US" w:eastAsia="zh-CN"/>
        </w:rPr>
        <w:t>同时</w:t>
      </w:r>
      <w:r>
        <w:rPr>
          <w:rFonts w:ascii="宋体" w:eastAsia="宋体" w:hAnsi="宋体" w:hint="eastAsia"/>
          <w:sz w:val="24"/>
        </w:rPr>
        <w:t>捆扎与整理。</w:t>
      </w:r>
    </w:p>
    <w:p>
      <w:pPr>
        <w:spacing w:line="360" w:lineRule="auto"/>
        <w:ind w:firstLine="480" w:firstLineChars="200"/>
        <w:rPr>
          <w:rFonts w:ascii="宋体" w:eastAsia="宋体" w:hAnsi="宋体"/>
          <w:sz w:val="24"/>
        </w:rPr>
      </w:pPr>
      <w:r>
        <w:rPr>
          <w:rFonts w:ascii="宋体" w:eastAsia="宋体" w:hAnsi="宋体" w:hint="eastAsia"/>
          <w:sz w:val="24"/>
          <w:lang w:val="en-US" w:eastAsia="zh-CN"/>
        </w:rPr>
        <w:t>8</w:t>
      </w:r>
      <w:r>
        <w:rPr>
          <w:rFonts w:ascii="宋体" w:eastAsia="宋体" w:hAnsi="宋体" w:hint="eastAsia"/>
          <w:sz w:val="24"/>
        </w:rPr>
        <w:t>、线缆的整理应使用桥架内</w:t>
      </w:r>
      <w:r>
        <w:rPr>
          <w:rFonts w:ascii="宋体" w:eastAsia="宋体" w:hAnsi="宋体" w:hint="eastAsia"/>
          <w:sz w:val="24"/>
          <w:lang w:eastAsia="zh-CN"/>
        </w:rPr>
        <w:t>，</w:t>
      </w:r>
      <w:r>
        <w:rPr>
          <w:rFonts w:ascii="宋体" w:eastAsia="宋体" w:hAnsi="宋体" w:hint="eastAsia"/>
          <w:sz w:val="24"/>
        </w:rPr>
        <w:t>平面，同时需要考虑预留桥架内侧面位置，用于以后增加线缆使用，做好规划，使光缆与铜缆分开归类。</w:t>
      </w:r>
    </w:p>
    <w:p>
      <w:pPr>
        <w:spacing w:line="360" w:lineRule="auto"/>
        <w:ind w:firstLine="480" w:firstLineChars="200"/>
        <w:rPr>
          <w:rFonts w:ascii="宋体" w:eastAsia="宋体" w:hAnsi="宋体"/>
          <w:sz w:val="24"/>
        </w:rPr>
      </w:pPr>
      <w:r>
        <w:rPr>
          <w:rFonts w:ascii="宋体" w:eastAsia="宋体" w:hAnsi="宋体" w:hint="eastAsia"/>
          <w:sz w:val="24"/>
          <w:lang w:val="en-US" w:eastAsia="zh-CN"/>
        </w:rPr>
        <w:t>9</w:t>
      </w:r>
      <w:r>
        <w:rPr>
          <w:rFonts w:ascii="宋体" w:eastAsia="宋体" w:hAnsi="宋体" w:hint="eastAsia"/>
          <w:sz w:val="24"/>
        </w:rPr>
        <w:t>、主机架配线架安装位置</w:t>
      </w:r>
      <w:r>
        <w:rPr>
          <w:rFonts w:ascii="宋体" w:eastAsia="宋体" w:hAnsi="宋体" w:hint="eastAsia"/>
          <w:sz w:val="24"/>
          <w:lang w:val="en-US" w:eastAsia="zh-CN"/>
        </w:rPr>
        <w:t>需</w:t>
      </w:r>
      <w:r>
        <w:rPr>
          <w:rFonts w:ascii="宋体" w:eastAsia="宋体" w:hAnsi="宋体" w:hint="eastAsia"/>
          <w:sz w:val="24"/>
        </w:rPr>
        <w:t>选手自由设计，应考虑由下往上进行安装，先使用主机架下半部分，上半部分作为日后维护增加设备使用，机柜内余长预留线缆需要高于配线架架线20cm以上。管理线缆使用机柜内的两侧。</w:t>
      </w:r>
    </w:p>
    <w:p>
      <w:pPr>
        <w:spacing w:line="360" w:lineRule="auto"/>
        <w:ind w:firstLine="480" w:firstLineChars="200"/>
        <w:rPr>
          <w:rFonts w:ascii="宋体" w:eastAsia="宋体" w:hAnsi="宋体"/>
          <w:sz w:val="24"/>
        </w:rPr>
      </w:pPr>
      <w:r>
        <w:rPr>
          <w:rFonts w:ascii="宋体" w:eastAsia="宋体" w:hAnsi="宋体" w:hint="eastAsia"/>
          <w:sz w:val="24"/>
        </w:rPr>
        <w:t>1</w:t>
      </w:r>
      <w:r>
        <w:rPr>
          <w:rFonts w:ascii="宋体" w:eastAsia="宋体" w:hAnsi="宋体" w:hint="eastAsia"/>
          <w:sz w:val="24"/>
          <w:lang w:val="en-US" w:eastAsia="zh-CN"/>
        </w:rPr>
        <w:t>0</w:t>
      </w:r>
      <w:r>
        <w:rPr>
          <w:rFonts w:ascii="宋体" w:eastAsia="宋体" w:hAnsi="宋体" w:hint="eastAsia"/>
          <w:sz w:val="24"/>
        </w:rPr>
        <w:t>、布线完成后，需要把线缆管理的标签做上（五个线缆标签），线缆桥架上多余的固定扎带尾巴剪掉，才能进行端接。</w:t>
      </w:r>
    </w:p>
    <w:p>
      <w:pPr>
        <w:spacing w:line="360" w:lineRule="auto"/>
        <w:ind w:firstLine="480" w:firstLineChars="200"/>
        <w:rPr>
          <w:rFonts w:ascii="宋体" w:eastAsia="宋体" w:hAnsi="宋体"/>
          <w:sz w:val="24"/>
        </w:rPr>
      </w:pPr>
      <w:r>
        <w:rPr>
          <w:rFonts w:ascii="宋体" w:eastAsia="宋体" w:hAnsi="宋体" w:hint="eastAsia"/>
          <w:sz w:val="24"/>
        </w:rPr>
        <w:t>1</w:t>
      </w:r>
      <w:r>
        <w:rPr>
          <w:rFonts w:ascii="宋体" w:eastAsia="宋体" w:hAnsi="宋体" w:hint="eastAsia"/>
          <w:sz w:val="24"/>
          <w:lang w:val="en-US" w:eastAsia="zh-CN"/>
        </w:rPr>
        <w:t>1</w:t>
      </w:r>
      <w:r>
        <w:rPr>
          <w:rFonts w:ascii="宋体" w:eastAsia="宋体" w:hAnsi="宋体" w:hint="eastAsia"/>
          <w:sz w:val="24"/>
        </w:rPr>
        <w:t>、未知长度时，只要是不同一组的线缆，第一根必须进行长度测量。</w:t>
      </w:r>
    </w:p>
    <w:p>
      <w:pPr>
        <w:spacing w:line="360" w:lineRule="auto"/>
        <w:ind w:firstLine="480" w:firstLineChars="200"/>
        <w:rPr>
          <w:rFonts w:ascii="宋体" w:eastAsia="宋体" w:hAnsi="宋体"/>
          <w:szCs w:val="21"/>
        </w:rPr>
      </w:pPr>
      <w:r>
        <w:rPr>
          <w:rFonts w:ascii="宋体" w:eastAsia="宋体" w:hAnsi="宋体" w:hint="eastAsia"/>
          <w:sz w:val="24"/>
        </w:rPr>
        <w:t>1</w:t>
      </w:r>
      <w:r>
        <w:rPr>
          <w:rFonts w:ascii="宋体" w:eastAsia="宋体" w:hAnsi="宋体" w:hint="eastAsia"/>
          <w:sz w:val="24"/>
          <w:lang w:val="en-US" w:eastAsia="zh-CN"/>
        </w:rPr>
        <w:t>2</w:t>
      </w:r>
      <w:r>
        <w:rPr>
          <w:rFonts w:ascii="宋体" w:eastAsia="宋体" w:hAnsi="宋体" w:hint="eastAsia"/>
          <w:sz w:val="24"/>
        </w:rPr>
        <w:t>、在施工过程中，选手不能够踩踏静电地板上。</w:t>
      </w:r>
    </w:p>
    <w:p>
      <w:pPr>
        <w:spacing w:before="312" w:beforeLines="100" w:line="480" w:lineRule="auto"/>
        <w:outlineLvl w:val="0"/>
        <w:rPr>
          <w:rFonts w:ascii="宋体" w:eastAsia="宋体" w:hAnsi="宋体"/>
          <w:b/>
          <w:sz w:val="28"/>
          <w:szCs w:val="28"/>
        </w:rPr>
      </w:pPr>
      <w:bookmarkStart w:id="14" w:name="_Toc13858"/>
      <w:r>
        <w:rPr>
          <w:rFonts w:ascii="宋体" w:eastAsia="宋体" w:hAnsi="宋体"/>
          <w:b/>
          <w:sz w:val="28"/>
          <w:szCs w:val="28"/>
        </w:rPr>
        <w:t>五、安装规范</w:t>
      </w:r>
      <w:bookmarkEnd w:id="14"/>
    </w:p>
    <w:p>
      <w:pPr>
        <w:spacing w:line="360" w:lineRule="auto"/>
        <w:outlineLvl w:val="1"/>
        <w:rPr>
          <w:rFonts w:ascii="宋体" w:eastAsia="宋体" w:hAnsi="宋体"/>
          <w:b/>
          <w:sz w:val="24"/>
        </w:rPr>
      </w:pPr>
      <w:bookmarkStart w:id="15" w:name="_Toc4284"/>
      <w:r>
        <w:rPr>
          <w:rFonts w:ascii="宋体" w:eastAsia="宋体" w:hAnsi="宋体" w:hint="eastAsia"/>
          <w:b/>
          <w:sz w:val="24"/>
        </w:rPr>
        <w:t>（一）通则</w:t>
      </w:r>
      <w:bookmarkEnd w:id="15"/>
    </w:p>
    <w:p>
      <w:pPr>
        <w:spacing w:line="360" w:lineRule="auto"/>
        <w:ind w:firstLine="480" w:firstLineChars="200"/>
        <w:rPr>
          <w:rFonts w:ascii="宋体" w:eastAsia="宋体" w:hAnsi="宋体"/>
          <w:sz w:val="24"/>
        </w:rPr>
      </w:pPr>
      <w:r>
        <w:rPr>
          <w:rFonts w:ascii="宋体" w:eastAsia="宋体" w:hAnsi="宋体" w:hint="eastAsia"/>
          <w:sz w:val="24"/>
        </w:rPr>
        <w:t>1、安装必须符合设计和技术规范以及线缆连接图。</w:t>
      </w:r>
    </w:p>
    <w:p>
      <w:pPr>
        <w:spacing w:line="360" w:lineRule="auto"/>
        <w:ind w:firstLine="480" w:firstLineChars="200"/>
        <w:rPr>
          <w:rFonts w:ascii="宋体" w:eastAsia="宋体" w:hAnsi="宋体"/>
          <w:sz w:val="24"/>
        </w:rPr>
      </w:pPr>
      <w:r>
        <w:rPr>
          <w:rFonts w:ascii="宋体" w:eastAsia="宋体" w:hAnsi="宋体" w:hint="eastAsia"/>
          <w:sz w:val="24"/>
        </w:rPr>
        <w:t>2、安装必须按照官方的指导手册和指定的安装方法进行。</w:t>
      </w:r>
    </w:p>
    <w:p>
      <w:pPr>
        <w:spacing w:line="360" w:lineRule="auto"/>
        <w:ind w:firstLine="480" w:firstLineChars="200"/>
        <w:rPr>
          <w:rFonts w:ascii="宋体" w:eastAsia="宋体" w:hAnsi="宋体"/>
          <w:sz w:val="24"/>
        </w:rPr>
      </w:pPr>
      <w:r>
        <w:rPr>
          <w:rFonts w:ascii="宋体" w:eastAsia="宋体" w:hAnsi="宋体" w:hint="eastAsia"/>
          <w:sz w:val="24"/>
        </w:rPr>
        <w:t>3、必须根据每张图纸和规范选择合适的材料和设备。</w:t>
      </w:r>
    </w:p>
    <w:p>
      <w:pPr>
        <w:spacing w:line="360" w:lineRule="auto"/>
        <w:ind w:firstLine="480" w:firstLineChars="200"/>
        <w:rPr>
          <w:rFonts w:ascii="宋体" w:eastAsia="宋体" w:hAnsi="宋体"/>
          <w:sz w:val="24"/>
        </w:rPr>
      </w:pPr>
      <w:r>
        <w:rPr>
          <w:rFonts w:ascii="宋体" w:eastAsia="宋体" w:hAnsi="宋体" w:hint="eastAsia"/>
          <w:sz w:val="24"/>
        </w:rPr>
        <w:t>4、使用的工具和设备必须在工作前和工作中进行检查。</w:t>
      </w:r>
    </w:p>
    <w:p>
      <w:pPr>
        <w:spacing w:line="360" w:lineRule="auto"/>
        <w:ind w:firstLine="480" w:firstLineChars="200"/>
        <w:rPr>
          <w:rFonts w:ascii="宋体" w:eastAsia="宋体" w:hAnsi="宋体"/>
          <w:sz w:val="24"/>
        </w:rPr>
      </w:pPr>
      <w:r>
        <w:rPr>
          <w:rFonts w:ascii="宋体" w:eastAsia="宋体" w:hAnsi="宋体" w:hint="eastAsia"/>
          <w:sz w:val="24"/>
        </w:rPr>
        <w:t>5、所有使用的光缆必须根据设计长度对光缆进行切割。</w:t>
      </w:r>
    </w:p>
    <w:p>
      <w:pPr>
        <w:spacing w:line="360" w:lineRule="auto"/>
        <w:outlineLvl w:val="1"/>
        <w:rPr>
          <w:rFonts w:ascii="宋体" w:eastAsia="宋体" w:hAnsi="宋体"/>
          <w:b/>
          <w:sz w:val="24"/>
        </w:rPr>
        <w:sectPr>
          <w:headerReference w:type="default" r:id="rId19"/>
          <w:footerReference w:type="default" r:id="rId20"/>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5"/>
          <w:cols w:num="1" w:space="425"/>
          <w:titlePg w:val="0"/>
          <w:docGrid w:type="lines" w:linePitch="312" w:charSpace="0"/>
        </w:sectPr>
      </w:pPr>
      <w:bookmarkStart w:id="16" w:name="_Toc20638"/>
      <w:r>
        <w:rPr>
          <w:rFonts w:ascii="宋体" w:eastAsia="宋体" w:hAnsi="宋体"/>
          <w:b/>
          <w:sz w:val="24"/>
        </w:rPr>
        <w:t>（二）光纤连接盒和接续盒</w:t>
      </w:r>
      <w:bookmarkEnd w:id="16"/>
    </w:p>
    <w:p>
      <w:pPr>
        <w:spacing w:line="360" w:lineRule="auto"/>
        <w:ind w:firstLine="480" w:firstLineChars="200"/>
        <w:rPr>
          <w:rFonts w:ascii="宋体" w:eastAsia="宋体" w:hAnsi="宋体"/>
          <w:sz w:val="24"/>
        </w:rPr>
      </w:pPr>
      <w:r>
        <w:rPr>
          <w:rFonts w:ascii="宋体" w:eastAsia="宋体" w:hAnsi="宋体" w:hint="eastAsia"/>
          <w:sz w:val="24"/>
        </w:rPr>
        <w:t>1、盘纤存储托盘必须用于存储光纤。</w:t>
      </w:r>
    </w:p>
    <w:p>
      <w:pPr>
        <w:spacing w:line="360" w:lineRule="auto"/>
        <w:ind w:firstLine="480" w:firstLineChars="200"/>
        <w:rPr>
          <w:rFonts w:ascii="宋体" w:eastAsia="宋体" w:hAnsi="宋体"/>
          <w:sz w:val="24"/>
        </w:rPr>
      </w:pPr>
      <w:r>
        <w:rPr>
          <w:rFonts w:ascii="宋体" w:eastAsia="宋体" w:hAnsi="宋体" w:hint="eastAsia"/>
          <w:sz w:val="24"/>
        </w:rPr>
        <w:t>2、光纤须盘在托盘中，保持可接受的弯曲半径，不扭曲并尽可能对齐芯。</w:t>
      </w:r>
    </w:p>
    <w:p>
      <w:pPr>
        <w:spacing w:line="360" w:lineRule="auto"/>
        <w:ind w:firstLine="480" w:firstLineChars="200"/>
        <w:rPr>
          <w:rFonts w:ascii="宋体" w:eastAsia="宋体" w:hAnsi="宋体"/>
          <w:sz w:val="24"/>
        </w:rPr>
      </w:pPr>
      <w:r>
        <w:rPr>
          <w:rFonts w:ascii="宋体" w:eastAsia="宋体" w:hAnsi="宋体" w:hint="eastAsia"/>
          <w:sz w:val="24"/>
        </w:rPr>
        <w:t>3、光缆的松套管必须在引入盘纤存储托盘有合适的长度。</w:t>
      </w:r>
    </w:p>
    <w:p>
      <w:pPr>
        <w:spacing w:line="360" w:lineRule="auto"/>
        <w:ind w:firstLine="480" w:firstLineChars="200"/>
        <w:rPr>
          <w:rFonts w:ascii="宋体" w:eastAsia="宋体" w:hAnsi="宋体"/>
          <w:sz w:val="24"/>
        </w:rPr>
      </w:pPr>
      <w:r>
        <w:rPr>
          <w:rFonts w:ascii="宋体" w:eastAsia="宋体" w:hAnsi="宋体" w:hint="eastAsia"/>
          <w:sz w:val="24"/>
        </w:rPr>
        <w:t>4、如果热缩套管固定件的尺寸与套管直径不同，则必须使用塑料的带子（如电线外皮）等加大套管直径进行固定。</w:t>
      </w:r>
    </w:p>
    <w:p>
      <w:pPr>
        <w:spacing w:line="360" w:lineRule="auto"/>
        <w:ind w:firstLine="480" w:firstLineChars="200"/>
        <w:rPr>
          <w:rFonts w:ascii="宋体" w:eastAsia="宋体" w:hAnsi="宋体"/>
          <w:sz w:val="24"/>
        </w:rPr>
      </w:pPr>
      <w:r>
        <w:rPr>
          <w:rFonts w:ascii="宋体" w:eastAsia="宋体" w:hAnsi="宋体" w:hint="eastAsia"/>
          <w:sz w:val="24"/>
        </w:rPr>
        <w:t>5、</w:t>
      </w:r>
      <w:r>
        <w:rPr>
          <w:rFonts w:ascii="宋体" w:eastAsia="宋体" w:hAnsi="宋体" w:hint="eastAsia"/>
          <w:sz w:val="24"/>
          <w:lang w:val="en-US" w:eastAsia="zh-CN"/>
        </w:rPr>
        <w:t>热缩</w:t>
      </w:r>
      <w:r>
        <w:rPr>
          <w:rFonts w:ascii="宋体" w:eastAsia="宋体" w:hAnsi="宋体" w:hint="eastAsia"/>
          <w:sz w:val="24"/>
        </w:rPr>
        <w:t>管必须安装在熔接盘的指定固定位置。</w:t>
      </w:r>
    </w:p>
    <w:p>
      <w:pPr>
        <w:spacing w:line="360" w:lineRule="auto"/>
        <w:ind w:firstLine="480" w:firstLineChars="200"/>
        <w:rPr>
          <w:rFonts w:ascii="宋体" w:eastAsia="宋体" w:hAnsi="宋体"/>
          <w:sz w:val="24"/>
        </w:rPr>
      </w:pPr>
      <w:r>
        <w:rPr>
          <w:rFonts w:ascii="宋体" w:eastAsia="宋体" w:hAnsi="宋体" w:hint="eastAsia"/>
          <w:sz w:val="24"/>
        </w:rPr>
        <w:t>6、任何油膏和其他物质污染的地方都必须清除。</w:t>
      </w:r>
    </w:p>
    <w:p>
      <w:pPr>
        <w:spacing w:line="360" w:lineRule="auto"/>
        <w:ind w:firstLine="480" w:firstLineChars="200"/>
        <w:rPr>
          <w:rFonts w:ascii="宋体" w:eastAsia="宋体" w:hAnsi="宋体"/>
          <w:sz w:val="24"/>
        </w:rPr>
      </w:pPr>
      <w:r>
        <w:rPr>
          <w:rFonts w:ascii="宋体" w:eastAsia="宋体" w:hAnsi="宋体" w:hint="eastAsia"/>
          <w:sz w:val="24"/>
        </w:rPr>
        <w:t>7、未连接的光纤适配器在光纤连接盒上必须盖上适当的保护帽，以防止污染。</w:t>
      </w:r>
    </w:p>
    <w:p>
      <w:pPr>
        <w:spacing w:line="360" w:lineRule="auto"/>
        <w:ind w:firstLine="480" w:firstLineChars="200"/>
        <w:rPr>
          <w:rFonts w:ascii="宋体" w:eastAsia="宋体" w:hAnsi="宋体"/>
          <w:sz w:val="24"/>
        </w:rPr>
      </w:pPr>
      <w:r>
        <w:rPr>
          <w:rFonts w:ascii="宋体" w:eastAsia="宋体" w:hAnsi="宋体" w:hint="eastAsia"/>
          <w:sz w:val="24"/>
        </w:rPr>
        <w:t>8、当所提供的尾纤跳线被切割时，其长度必须在测量时加以考虑。</w:t>
      </w:r>
    </w:p>
    <w:p>
      <w:pPr>
        <w:spacing w:line="360" w:lineRule="auto"/>
        <w:outlineLvl w:val="1"/>
        <w:rPr>
          <w:rFonts w:ascii="宋体" w:eastAsia="宋体" w:hAnsi="宋体"/>
          <w:b/>
          <w:sz w:val="24"/>
        </w:rPr>
      </w:pPr>
      <w:bookmarkStart w:id="17" w:name="_Toc22364"/>
      <w:r>
        <w:rPr>
          <w:rFonts w:ascii="宋体" w:eastAsia="宋体" w:hAnsi="宋体" w:hint="eastAsia"/>
          <w:b/>
          <w:sz w:val="24"/>
        </w:rPr>
        <w:t>（三）线缆管理</w:t>
      </w:r>
      <w:bookmarkEnd w:id="17"/>
    </w:p>
    <w:p>
      <w:pPr>
        <w:spacing w:line="360" w:lineRule="auto"/>
        <w:ind w:firstLine="480" w:firstLineChars="200"/>
        <w:rPr>
          <w:rFonts w:ascii="宋体" w:eastAsia="宋体" w:hAnsi="宋体"/>
          <w:sz w:val="24"/>
        </w:rPr>
      </w:pPr>
      <w:r>
        <w:rPr>
          <w:rFonts w:ascii="宋体" w:eastAsia="宋体" w:hAnsi="宋体" w:hint="eastAsia"/>
          <w:sz w:val="24"/>
        </w:rPr>
        <w:t>1、光缆余长必须在机架上妥善管理。</w:t>
      </w:r>
    </w:p>
    <w:p>
      <w:pPr>
        <w:spacing w:line="360" w:lineRule="auto"/>
        <w:ind w:firstLine="480" w:firstLineChars="200"/>
        <w:rPr>
          <w:rFonts w:ascii="宋体" w:eastAsia="宋体" w:hAnsi="宋体"/>
          <w:sz w:val="24"/>
        </w:rPr>
      </w:pPr>
      <w:r>
        <w:rPr>
          <w:rFonts w:ascii="宋体" w:eastAsia="宋体" w:hAnsi="宋体" w:hint="eastAsia"/>
          <w:sz w:val="24"/>
        </w:rPr>
        <w:t>2、使用魔术贴管理光缆必须满足最小间距。</w:t>
      </w:r>
    </w:p>
    <w:p>
      <w:pPr>
        <w:spacing w:line="360" w:lineRule="auto"/>
        <w:ind w:firstLine="480" w:firstLineChars="200"/>
        <w:rPr>
          <w:rFonts w:ascii="宋体" w:eastAsia="宋体" w:hAnsi="宋体"/>
          <w:sz w:val="24"/>
        </w:rPr>
      </w:pPr>
      <w:r>
        <w:rPr>
          <w:rFonts w:ascii="宋体" w:eastAsia="宋体" w:hAnsi="宋体" w:hint="eastAsia"/>
          <w:sz w:val="24"/>
        </w:rPr>
        <w:t>3、必须考虑到可维修维护性。</w:t>
      </w:r>
    </w:p>
    <w:p>
      <w:pPr>
        <w:spacing w:line="360" w:lineRule="auto"/>
        <w:ind w:firstLine="480" w:firstLineChars="200"/>
        <w:rPr>
          <w:rFonts w:ascii="宋体" w:eastAsia="宋体" w:hAnsi="宋体"/>
          <w:sz w:val="24"/>
        </w:rPr>
      </w:pPr>
      <w:r>
        <w:rPr>
          <w:rFonts w:ascii="宋体" w:eastAsia="宋体" w:hAnsi="宋体" w:hint="eastAsia"/>
          <w:sz w:val="24"/>
        </w:rPr>
        <w:t>4、过多的线缆长度不得保留(除非安装规范特别规定)。</w:t>
      </w:r>
    </w:p>
    <w:p>
      <w:pPr>
        <w:spacing w:line="360" w:lineRule="auto"/>
        <w:ind w:firstLine="480" w:firstLineChars="200"/>
        <w:rPr>
          <w:rFonts w:ascii="宋体" w:eastAsia="宋体" w:hAnsi="宋体"/>
          <w:sz w:val="24"/>
        </w:rPr>
      </w:pPr>
      <w:r>
        <w:rPr>
          <w:rFonts w:ascii="宋体" w:eastAsia="宋体" w:hAnsi="宋体" w:hint="eastAsia"/>
          <w:sz w:val="24"/>
        </w:rPr>
        <w:t>5、当布线涉及多个线缆类型或具有多个弯曲半径的线缆时，必须采用最大的最小弯曲半径。</w:t>
      </w:r>
    </w:p>
    <w:p>
      <w:pPr>
        <w:spacing w:line="360" w:lineRule="auto"/>
        <w:ind w:firstLine="480" w:firstLineChars="200"/>
        <w:rPr>
          <w:rFonts w:ascii="宋体" w:eastAsia="宋体" w:hAnsi="宋体"/>
          <w:sz w:val="24"/>
        </w:rPr>
      </w:pPr>
      <w:r>
        <w:rPr>
          <w:rFonts w:ascii="宋体" w:eastAsia="宋体" w:hAnsi="宋体" w:hint="eastAsia"/>
          <w:sz w:val="24"/>
        </w:rPr>
        <w:t>6、19英寸子机架内，一圈或多圈的余长部分，须稳妥安放在机柜内的底部。</w:t>
      </w:r>
    </w:p>
    <w:p>
      <w:pPr>
        <w:spacing w:line="360" w:lineRule="auto"/>
        <w:ind w:firstLine="480" w:firstLineChars="200"/>
        <w:rPr>
          <w:rFonts w:ascii="宋体" w:eastAsia="宋体" w:hAnsi="宋体"/>
          <w:sz w:val="24"/>
        </w:rPr>
      </w:pPr>
      <w:r>
        <w:rPr>
          <w:rFonts w:ascii="宋体" w:eastAsia="宋体" w:hAnsi="宋体" w:hint="eastAsia"/>
          <w:sz w:val="24"/>
        </w:rPr>
        <w:t>7、每个铜缆配线架必须使用一个理线架</w:t>
      </w:r>
      <w:r>
        <w:rPr>
          <w:rFonts w:ascii="宋体" w:eastAsia="宋体" w:hAnsi="宋体" w:hint="eastAsia"/>
          <w:sz w:val="24"/>
          <w:lang w:eastAsia="zh-CN"/>
        </w:rPr>
        <w:t>，</w:t>
      </w:r>
      <w:r>
        <w:rPr>
          <w:rFonts w:ascii="宋体" w:eastAsia="宋体" w:hAnsi="宋体" w:hint="eastAsia"/>
          <w:sz w:val="24"/>
          <w:lang w:val="en-US" w:eastAsia="zh-CN"/>
        </w:rPr>
        <w:t>语音传输配线架除外</w:t>
      </w:r>
      <w:r>
        <w:rPr>
          <w:rFonts w:ascii="宋体" w:eastAsia="宋体" w:hAnsi="宋体" w:hint="eastAsia"/>
          <w:sz w:val="24"/>
        </w:rPr>
        <w:t>。</w:t>
      </w:r>
    </w:p>
    <w:p>
      <w:pPr>
        <w:spacing w:line="360" w:lineRule="auto"/>
        <w:ind w:firstLine="480" w:firstLineChars="200"/>
        <w:rPr>
          <w:rFonts w:ascii="宋体" w:eastAsia="宋体" w:hAnsi="宋体"/>
          <w:sz w:val="24"/>
        </w:rPr>
      </w:pPr>
      <w:r>
        <w:rPr>
          <w:rFonts w:ascii="宋体" w:eastAsia="宋体" w:hAnsi="宋体" w:hint="eastAsia"/>
          <w:sz w:val="24"/>
        </w:rPr>
        <w:t>8、跳线必须存储在理线架中，并且最短的长度必须足够来接入所连接配线架中的所有端口。</w:t>
      </w:r>
    </w:p>
    <w:p>
      <w:pPr>
        <w:spacing w:line="360" w:lineRule="auto"/>
        <w:ind w:firstLine="480" w:firstLineChars="200"/>
        <w:rPr>
          <w:rFonts w:ascii="宋体" w:eastAsia="宋体" w:hAnsi="宋体"/>
          <w:sz w:val="24"/>
        </w:rPr>
      </w:pPr>
      <w:r>
        <w:rPr>
          <w:rFonts w:ascii="宋体" w:eastAsia="宋体" w:hAnsi="宋体" w:hint="eastAsia"/>
          <w:sz w:val="24"/>
        </w:rPr>
        <w:t>9、跳线必须保持在安全的状态，以避免在操作期间和操作后接入时发生机械损伤。多余的长度必须以一种减少扭绞缠绕影响的方式减少伤害。</w:t>
      </w:r>
    </w:p>
    <w:p>
      <w:pPr>
        <w:spacing w:line="360" w:lineRule="auto"/>
        <w:outlineLvl w:val="1"/>
        <w:rPr>
          <w:rFonts w:ascii="宋体" w:eastAsia="宋体" w:hAnsi="宋体"/>
          <w:b/>
          <w:sz w:val="24"/>
        </w:rPr>
      </w:pPr>
      <w:bookmarkStart w:id="18" w:name="_Toc4005"/>
      <w:r>
        <w:rPr>
          <w:rFonts w:ascii="宋体" w:eastAsia="宋体" w:hAnsi="宋体" w:hint="eastAsia"/>
          <w:b/>
          <w:sz w:val="24"/>
        </w:rPr>
        <w:t>（四）布线</w:t>
      </w:r>
      <w:bookmarkEnd w:id="18"/>
    </w:p>
    <w:p>
      <w:pPr>
        <w:spacing w:line="360" w:lineRule="auto"/>
        <w:ind w:firstLine="480" w:firstLineChars="200"/>
        <w:rPr>
          <w:rFonts w:ascii="宋体" w:eastAsia="宋体" w:hAnsi="宋体"/>
          <w:sz w:val="24"/>
        </w:rPr>
      </w:pPr>
      <w:r>
        <w:rPr>
          <w:rFonts w:ascii="宋体" w:eastAsia="宋体" w:hAnsi="宋体" w:hint="eastAsia"/>
          <w:sz w:val="24"/>
        </w:rPr>
        <w:t>1、每个双绞线线缆在线缆桥架的固定间隔必须为500毫米或更短，在所有90°转弯处必须有两个固定点。</w:t>
      </w:r>
    </w:p>
    <w:p>
      <w:pPr>
        <w:spacing w:line="360" w:lineRule="auto"/>
        <w:ind w:firstLine="480" w:firstLineChars="200"/>
        <w:rPr>
          <w:rFonts w:ascii="宋体" w:eastAsia="宋体" w:hAnsi="宋体" w:hint="eastAsia"/>
          <w:sz w:val="24"/>
        </w:rPr>
      </w:pPr>
      <w:r>
        <w:rPr>
          <w:rFonts w:ascii="宋体" w:eastAsia="宋体" w:hAnsi="宋体" w:hint="eastAsia"/>
          <w:sz w:val="24"/>
        </w:rPr>
        <w:t>2、每根光缆到线缆桥架的固定间距必须小于或等于1000mm，在所有90°转弯处必须有两个固定点。</w:t>
      </w:r>
    </w:p>
    <w:p>
      <w:pPr>
        <w:spacing w:line="360" w:lineRule="auto"/>
        <w:ind w:firstLine="480" w:firstLineChars="200"/>
        <w:rPr>
          <w:rFonts w:ascii="宋体" w:eastAsia="宋体" w:hAnsi="宋体" w:hint="default"/>
          <w:sz w:val="24"/>
        </w:rPr>
        <w:sectPr>
          <w:headerReference w:type="default" r:id="rId21"/>
          <w:footerReference w:type="default" r:id="rId22"/>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6"/>
          <w:cols w:num="1" w:space="425"/>
          <w:titlePg w:val="0"/>
          <w:docGrid w:type="lines" w:linePitch="312" w:charSpace="0"/>
        </w:sectPr>
      </w:pPr>
    </w:p>
    <w:p>
      <w:pPr>
        <w:spacing w:line="360" w:lineRule="auto"/>
        <w:ind w:firstLine="480" w:firstLineChars="200"/>
        <w:rPr>
          <w:rFonts w:ascii="宋体" w:eastAsia="宋体" w:hAnsi="宋体" w:hint="default"/>
          <w:sz w:val="24"/>
        </w:rPr>
      </w:pPr>
      <w:r>
        <w:rPr>
          <w:rFonts w:ascii="宋体" w:eastAsia="宋体" w:hAnsi="宋体" w:hint="eastAsia"/>
          <w:sz w:val="24"/>
          <w:lang w:val="en-US" w:eastAsia="zh-CN"/>
        </w:rPr>
        <w:t>3、图纸中未显示出线缆长度时，必须从线缆卷轴中抽出一根线缆进行测量，再进行其他同组线缆的敷设。</w:t>
      </w:r>
    </w:p>
    <w:p>
      <w:pPr>
        <w:spacing w:line="360" w:lineRule="auto"/>
        <w:ind w:firstLine="480" w:firstLineChars="200"/>
        <w:rPr>
          <w:rFonts w:ascii="宋体" w:eastAsia="宋体" w:hAnsi="宋体"/>
          <w:sz w:val="24"/>
        </w:rPr>
      </w:pPr>
      <w:r>
        <w:rPr>
          <w:rFonts w:ascii="宋体" w:eastAsia="宋体" w:hAnsi="宋体" w:hint="eastAsia"/>
          <w:sz w:val="24"/>
          <w:lang w:val="en-US" w:eastAsia="zh-CN"/>
        </w:rPr>
        <w:t>4</w:t>
      </w:r>
      <w:r>
        <w:rPr>
          <w:rFonts w:ascii="宋体" w:eastAsia="宋体" w:hAnsi="宋体" w:hint="eastAsia"/>
          <w:sz w:val="24"/>
        </w:rPr>
        <w:t>、线缆必须按照标签指南2020进行分类和标识，以便在未来进行重新配置。所有连接到不同配线架的跳线的线缆两端都必须贴上标签。</w:t>
      </w:r>
    </w:p>
    <w:p>
      <w:pPr>
        <w:rPr>
          <w:rFonts w:ascii="宋体" w:eastAsia="宋体" w:hAnsi="宋体"/>
          <w:szCs w:val="21"/>
        </w:rPr>
      </w:pPr>
      <w:r>
        <w:drawing>
          <wp:inline distT="0" distB="0" distL="0" distR="0">
            <wp:extent cx="5274310" cy="859155"/>
            <wp:effectExtent l="0" t="0" r="254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3"/>
                    <a:stretch>
                      <a:fillRect/>
                    </a:stretch>
                  </pic:blipFill>
                  <pic:spPr>
                    <a:xfrm>
                      <a:off x="0" y="0"/>
                      <a:ext cx="5274310" cy="859630"/>
                    </a:xfrm>
                    <a:prstGeom prst="rect">
                      <a:avLst/>
                    </a:prstGeom>
                  </pic:spPr>
                </pic:pic>
              </a:graphicData>
            </a:graphic>
          </wp:inline>
        </w:drawing>
      </w:r>
    </w:p>
    <w:p>
      <w:pPr>
        <w:spacing w:line="360" w:lineRule="auto"/>
        <w:outlineLvl w:val="1"/>
        <w:rPr>
          <w:rFonts w:ascii="宋体" w:eastAsia="宋体" w:hAnsi="宋体"/>
          <w:b/>
          <w:sz w:val="24"/>
        </w:rPr>
      </w:pPr>
      <w:bookmarkStart w:id="19" w:name="_Toc25134"/>
      <w:r>
        <w:rPr>
          <w:rFonts w:ascii="宋体" w:eastAsia="宋体" w:hAnsi="宋体" w:hint="eastAsia"/>
          <w:b/>
          <w:sz w:val="24"/>
        </w:rPr>
        <w:t>（五）测量</w:t>
      </w:r>
      <w:bookmarkEnd w:id="19"/>
    </w:p>
    <w:p>
      <w:pPr>
        <w:spacing w:line="360" w:lineRule="auto"/>
        <w:ind w:firstLine="480" w:firstLineChars="200"/>
        <w:rPr>
          <w:rFonts w:ascii="宋体" w:eastAsia="宋体" w:hAnsi="宋体" w:hint="eastAsia"/>
          <w:sz w:val="24"/>
        </w:rPr>
      </w:pPr>
      <w:r>
        <w:rPr>
          <w:rFonts w:ascii="宋体" w:eastAsia="宋体" w:hAnsi="宋体" w:hint="eastAsia"/>
          <w:sz w:val="24"/>
        </w:rPr>
        <w:t>1、</w:t>
      </w:r>
      <w:r>
        <w:rPr>
          <w:rFonts w:ascii="宋体" w:eastAsia="宋体" w:hAnsi="宋体" w:hint="eastAsia"/>
          <w:sz w:val="24"/>
          <w:lang w:val="en-US" w:eastAsia="zh-CN"/>
        </w:rPr>
        <w:t>使用福禄克测试仪</w:t>
      </w:r>
      <w:r>
        <w:rPr>
          <w:rFonts w:ascii="宋体" w:eastAsia="宋体" w:hAnsi="宋体" w:hint="eastAsia"/>
          <w:sz w:val="24"/>
        </w:rPr>
        <w:t>测量必须</w:t>
      </w:r>
      <w:r>
        <w:rPr>
          <w:rFonts w:ascii="宋体" w:eastAsia="宋体" w:hAnsi="宋体" w:hint="eastAsia"/>
          <w:sz w:val="24"/>
          <w:lang w:val="en-US" w:eastAsia="zh-CN"/>
        </w:rPr>
        <w:t>采用ISO 11801标准进行铜缆认证测试</w:t>
      </w:r>
      <w:r>
        <w:rPr>
          <w:rFonts w:ascii="宋体" w:eastAsia="宋体" w:hAnsi="宋体" w:hint="eastAsia"/>
          <w:sz w:val="24"/>
        </w:rPr>
        <w:t>。</w:t>
      </w:r>
    </w:p>
    <w:p>
      <w:pPr>
        <w:spacing w:line="360" w:lineRule="auto"/>
        <w:ind w:firstLine="480" w:firstLineChars="200"/>
        <w:rPr>
          <w:rFonts w:ascii="宋体" w:eastAsia="宋体" w:hAnsi="宋体" w:hint="eastAsia"/>
          <w:sz w:val="24"/>
        </w:rPr>
      </w:pPr>
      <w:r>
        <w:rPr>
          <w:rFonts w:ascii="宋体" w:eastAsia="宋体" w:hAnsi="宋体" w:hint="eastAsia"/>
          <w:sz w:val="24"/>
          <w:lang w:val="en-US" w:eastAsia="zh-CN"/>
        </w:rPr>
        <w:t>2</w:t>
      </w:r>
      <w:r>
        <w:rPr>
          <w:rFonts w:ascii="宋体" w:eastAsia="宋体" w:hAnsi="宋体" w:hint="eastAsia"/>
          <w:sz w:val="24"/>
        </w:rPr>
        <w:t>、</w:t>
      </w:r>
      <w:r>
        <w:rPr>
          <w:rFonts w:ascii="宋体" w:eastAsia="宋体" w:hAnsi="宋体" w:hint="eastAsia"/>
          <w:sz w:val="24"/>
          <w:lang w:val="en-US" w:eastAsia="zh-CN"/>
        </w:rPr>
        <w:t>使用福禄克测试仪</w:t>
      </w:r>
      <w:r>
        <w:rPr>
          <w:rFonts w:ascii="宋体" w:eastAsia="宋体" w:hAnsi="宋体" w:hint="eastAsia"/>
          <w:sz w:val="24"/>
        </w:rPr>
        <w:t>测量必须</w:t>
      </w:r>
      <w:r>
        <w:rPr>
          <w:rFonts w:ascii="宋体" w:eastAsia="宋体" w:hAnsi="宋体" w:hint="eastAsia"/>
          <w:sz w:val="24"/>
          <w:lang w:val="en-US" w:eastAsia="zh-CN"/>
        </w:rPr>
        <w:t>采用ISO/IEC 11801标准进行光纤链路测试</w:t>
      </w:r>
      <w:r>
        <w:rPr>
          <w:rFonts w:ascii="宋体" w:eastAsia="宋体" w:hAnsi="宋体" w:hint="eastAsia"/>
          <w:sz w:val="24"/>
        </w:rPr>
        <w:t>。</w:t>
      </w:r>
    </w:p>
    <w:p>
      <w:pPr>
        <w:spacing w:line="360" w:lineRule="auto"/>
        <w:ind w:firstLine="480" w:firstLineChars="200"/>
        <w:rPr>
          <w:rFonts w:ascii="宋体" w:eastAsia="宋体" w:hAnsi="宋体"/>
          <w:sz w:val="24"/>
        </w:rPr>
      </w:pPr>
      <w:r>
        <w:rPr>
          <w:rFonts w:ascii="宋体" w:eastAsia="宋体" w:hAnsi="宋体" w:hint="eastAsia"/>
          <w:sz w:val="24"/>
          <w:lang w:val="en-US" w:eastAsia="zh-CN"/>
        </w:rPr>
        <w:t>3</w:t>
      </w:r>
      <w:r>
        <w:rPr>
          <w:rFonts w:ascii="宋体" w:eastAsia="宋体" w:hAnsi="宋体" w:hint="eastAsia"/>
          <w:sz w:val="24"/>
        </w:rPr>
        <w:t>、测试结果中描述了待测的检测内容或链路。</w:t>
      </w:r>
    </w:p>
    <w:p>
      <w:pPr>
        <w:spacing w:before="312" w:beforeLines="100" w:line="480" w:lineRule="auto"/>
        <w:outlineLvl w:val="0"/>
        <w:rPr>
          <w:rFonts w:ascii="宋体" w:eastAsia="宋体" w:hAnsi="宋体"/>
          <w:b/>
          <w:sz w:val="28"/>
          <w:szCs w:val="28"/>
        </w:rPr>
      </w:pPr>
      <w:bookmarkStart w:id="20" w:name="_Toc5523"/>
      <w:r>
        <w:rPr>
          <w:rFonts w:ascii="宋体" w:eastAsia="宋体" w:hAnsi="宋体" w:hint="eastAsia"/>
          <w:b/>
          <w:sz w:val="28"/>
          <w:szCs w:val="28"/>
          <w:lang w:val="en-US" w:eastAsia="zh-CN"/>
        </w:rPr>
        <w:t>六</w:t>
      </w:r>
      <w:r>
        <w:rPr>
          <w:rFonts w:ascii="宋体" w:eastAsia="宋体" w:hAnsi="宋体"/>
          <w:b/>
          <w:sz w:val="28"/>
          <w:szCs w:val="28"/>
        </w:rPr>
        <w:t>、其他</w:t>
      </w:r>
      <w:bookmarkEnd w:id="20"/>
    </w:p>
    <w:p>
      <w:pPr>
        <w:spacing w:line="360" w:lineRule="auto"/>
        <w:outlineLvl w:val="1"/>
        <w:rPr>
          <w:rFonts w:ascii="宋体" w:eastAsia="宋体" w:hAnsi="宋体"/>
          <w:b/>
          <w:sz w:val="24"/>
        </w:rPr>
      </w:pPr>
      <w:bookmarkStart w:id="21" w:name="_Toc25301"/>
      <w:r>
        <w:rPr>
          <w:rFonts w:ascii="宋体" w:eastAsia="宋体" w:hAnsi="宋体" w:hint="eastAsia"/>
          <w:b/>
          <w:sz w:val="24"/>
        </w:rPr>
        <w:t>（一）选手必须遵守以下指令：</w:t>
      </w:r>
      <w:bookmarkEnd w:id="21"/>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eastAsia="宋体" w:hAnsi="宋体" w:hint="eastAsia"/>
          <w:sz w:val="24"/>
        </w:rPr>
      </w:pPr>
      <w:r>
        <w:rPr>
          <w:rFonts w:ascii="宋体" w:eastAsia="宋体" w:hAnsi="宋体" w:hint="eastAsia"/>
          <w:sz w:val="24"/>
        </w:rPr>
        <w:t>1、在比赛过程中，参赛选手必须遵守比赛规则、各项规定和操作规范，包括以下事项。如有违反，会根据评分细则扣除分数。严重者取消参赛。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eastAsia="宋体" w:hAnsi="宋体" w:hint="eastAsia"/>
          <w:sz w:val="24"/>
        </w:rPr>
      </w:pPr>
      <w:r>
        <w:rPr>
          <w:rFonts w:ascii="宋体" w:eastAsia="宋体" w:hAnsi="宋体" w:hint="eastAsia"/>
          <w:sz w:val="24"/>
        </w:rPr>
        <w:t>2、参赛选手必须有职业卫生安全意识，遵守一切安全条例，安全操作工具和设备，保障人身安全。如发生事故，参赛者将不得不停止和取消比赛。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eastAsia="宋体" w:hAnsi="宋体" w:hint="eastAsia"/>
          <w:sz w:val="24"/>
        </w:rPr>
      </w:pPr>
      <w:r>
        <w:rPr>
          <w:rFonts w:ascii="宋体" w:eastAsia="宋体" w:hAnsi="宋体" w:hint="eastAsia"/>
          <w:sz w:val="24"/>
        </w:rPr>
        <w:t>3、遵守安全操作规程，穿戴个人护具，包括坚固的鞋子，不合格时，裁判有权提醒或制止操作。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eastAsia="宋体" w:hAnsi="宋体" w:hint="eastAsia"/>
          <w:sz w:val="24"/>
        </w:rPr>
      </w:pPr>
      <w:r>
        <w:rPr>
          <w:rFonts w:ascii="宋体" w:eastAsia="宋体" w:hAnsi="宋体" w:hint="eastAsia"/>
          <w:sz w:val="24"/>
        </w:rPr>
        <w:t>4、在比赛过程中必须全程佩戴护目镜，防止在操作光纤或使用任何手持电动工具或可能有碎片伤害眼睛造成伤害。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eastAsia="宋体" w:hAnsi="宋体" w:hint="eastAsia"/>
          <w:sz w:val="24"/>
        </w:rPr>
      </w:pPr>
      <w:r>
        <w:rPr>
          <w:rFonts w:ascii="宋体" w:eastAsia="宋体" w:hAnsi="宋体" w:hint="eastAsia"/>
          <w:sz w:val="24"/>
        </w:rPr>
        <w:t>5、开光缆施工过程中必须佩戴手套。比赛期间，为避免危险，不得佩戴任何珠宝饰物(项链、耳环、戒指、手表等)。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eastAsia="宋体" w:hAnsi="宋体" w:hint="eastAsia"/>
          <w:sz w:val="24"/>
        </w:rPr>
      </w:pPr>
      <w:r>
        <w:rPr>
          <w:rFonts w:ascii="宋体" w:eastAsia="宋体" w:hAnsi="宋体" w:hint="eastAsia"/>
          <w:sz w:val="24"/>
        </w:rPr>
        <w:t>6、不在高空摆放任何工具和可坠落物品，地面保持没有任何线头等垃圾以及零部件。整个竞赛过程要保持良好整洁的场地及合理的摆放物品。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eastAsia="宋体" w:hAnsi="宋体" w:hint="eastAsia"/>
          <w:sz w:val="24"/>
        </w:rPr>
      </w:pPr>
      <w:r>
        <w:rPr>
          <w:rFonts w:ascii="宋体" w:eastAsia="宋体" w:hAnsi="宋体" w:hint="eastAsia"/>
          <w:sz w:val="24"/>
        </w:rPr>
        <w:t>7、不得踩踏凳子、椅子、桌子、箱子或者类似的物体等危险方式。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eastAsia="宋体" w:hAnsi="宋体" w:hint="eastAsia"/>
          <w:sz w:val="24"/>
        </w:rPr>
      </w:pPr>
      <w:r>
        <w:rPr>
          <w:rFonts w:ascii="宋体" w:eastAsia="宋体" w:hAnsi="宋体" w:hint="eastAsia"/>
          <w:sz w:val="24"/>
        </w:rPr>
        <w:t>8、注意电源插座标准和额定电流，安全使用220V/50Hz交流电。禁止使用不符合安全要求的产品，禁止使用连接220V电线供电的手电钻。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eastAsia="宋体" w:hAnsi="宋体" w:hint="eastAsia"/>
          <w:sz w:val="24"/>
        </w:rPr>
      </w:pPr>
      <w:r>
        <w:rPr>
          <w:rFonts w:ascii="宋体" w:eastAsia="宋体" w:hAnsi="宋体" w:hint="eastAsia"/>
          <w:sz w:val="24"/>
        </w:rPr>
        <w:br/>
      </w:r>
      <w:r>
        <w:rPr>
          <w:rFonts w:ascii="宋体" w:eastAsia="宋体" w:hAnsi="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https://d.book118.com/318034014036006044</w:t>
        </w:r>
      </w:hyperlink>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eastAsia="宋体" w:hAnsi="宋体" w:hint="eastAsia"/>
          <w:sz w:val="24"/>
        </w:rPr>
      </w:pPr>
    </w:p>
    <w:sectPr>
      <w:headerReference w:type="default" r:id="rId25"/>
      <w:footerReference w:type="default" r:id="rId26"/>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i</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ii</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2</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3</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5</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5</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6</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8</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29D2312"/>
    <w:multiLevelType w:val="multilevel"/>
    <w:tmpl w:val="229D2312"/>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
    <w:nsid w:val="2BE824C0"/>
    <w:multiLevelType w:val="multilevel"/>
    <w:tmpl w:val="2BE824C0"/>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2">
    <w:nsid w:val="3B764E73"/>
    <w:multiLevelType w:val="multilevel"/>
    <w:tmpl w:val="3B764E73"/>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3">
    <w:nsid w:val="4D4A574C"/>
    <w:multiLevelType w:val="multilevel"/>
    <w:tmpl w:val="4D4A574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nsid w:val="5EFE78DC"/>
    <w:multiLevelType w:val="multilevel"/>
    <w:tmpl w:val="5EFE78DC"/>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5">
    <w:nsid w:val="682C1CF0"/>
    <w:multiLevelType w:val="multilevel"/>
    <w:tmpl w:val="682C1CF0"/>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6">
    <w:nsid w:val="7E36343A"/>
    <w:multiLevelType w:val="multilevel"/>
    <w:tmpl w:val="7E36343A"/>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num w:numId="1">
    <w:abstractNumId w:val="3"/>
  </w:num>
  <w:num w:numId="2">
    <w:abstractNumId w:val="0"/>
  </w:num>
  <w:num w:numId="3">
    <w:abstractNumId w:val="1"/>
  </w:num>
  <w:num w:numId="4">
    <w:abstractNumId w:val="2"/>
  </w:num>
  <w:num w:numId="5">
    <w:abstractNumId w:val="5"/>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322"/>
    <w:rsid w:val="000668D1"/>
    <w:rsid w:val="00097243"/>
    <w:rsid w:val="000A1A1C"/>
    <w:rsid w:val="001442E4"/>
    <w:rsid w:val="00146C9F"/>
    <w:rsid w:val="001E67D3"/>
    <w:rsid w:val="00277457"/>
    <w:rsid w:val="00291F9B"/>
    <w:rsid w:val="002E1CDE"/>
    <w:rsid w:val="002E301F"/>
    <w:rsid w:val="0030131F"/>
    <w:rsid w:val="003661B9"/>
    <w:rsid w:val="003C1066"/>
    <w:rsid w:val="003D1E78"/>
    <w:rsid w:val="003D459F"/>
    <w:rsid w:val="003E004C"/>
    <w:rsid w:val="003F105E"/>
    <w:rsid w:val="003F2634"/>
    <w:rsid w:val="00445BF4"/>
    <w:rsid w:val="0045483A"/>
    <w:rsid w:val="004A3DCC"/>
    <w:rsid w:val="004E34AF"/>
    <w:rsid w:val="00535CAB"/>
    <w:rsid w:val="005513E2"/>
    <w:rsid w:val="00591669"/>
    <w:rsid w:val="005A76AE"/>
    <w:rsid w:val="005D390F"/>
    <w:rsid w:val="005D5288"/>
    <w:rsid w:val="005D63ED"/>
    <w:rsid w:val="00602ADA"/>
    <w:rsid w:val="00627BB9"/>
    <w:rsid w:val="006413F6"/>
    <w:rsid w:val="00687C0B"/>
    <w:rsid w:val="006A6B5E"/>
    <w:rsid w:val="006C3DC6"/>
    <w:rsid w:val="006F6C65"/>
    <w:rsid w:val="00717721"/>
    <w:rsid w:val="007825E3"/>
    <w:rsid w:val="007D1741"/>
    <w:rsid w:val="007E1AD7"/>
    <w:rsid w:val="00843466"/>
    <w:rsid w:val="008445D6"/>
    <w:rsid w:val="00856B17"/>
    <w:rsid w:val="008C121E"/>
    <w:rsid w:val="008E7E6B"/>
    <w:rsid w:val="009252CC"/>
    <w:rsid w:val="009736E7"/>
    <w:rsid w:val="00991063"/>
    <w:rsid w:val="009A0B9A"/>
    <w:rsid w:val="009B331C"/>
    <w:rsid w:val="00A839BC"/>
    <w:rsid w:val="00AB2962"/>
    <w:rsid w:val="00B14B7E"/>
    <w:rsid w:val="00B2377B"/>
    <w:rsid w:val="00B77BFB"/>
    <w:rsid w:val="00B80BAD"/>
    <w:rsid w:val="00B8193D"/>
    <w:rsid w:val="00B868D9"/>
    <w:rsid w:val="00BA5D51"/>
    <w:rsid w:val="00BD084D"/>
    <w:rsid w:val="00BF47FC"/>
    <w:rsid w:val="00C21433"/>
    <w:rsid w:val="00C22507"/>
    <w:rsid w:val="00C30C32"/>
    <w:rsid w:val="00C50F39"/>
    <w:rsid w:val="00C96380"/>
    <w:rsid w:val="00CA6344"/>
    <w:rsid w:val="00D55E83"/>
    <w:rsid w:val="00D57478"/>
    <w:rsid w:val="00D821C7"/>
    <w:rsid w:val="00D85213"/>
    <w:rsid w:val="00DA39C5"/>
    <w:rsid w:val="00DD3952"/>
    <w:rsid w:val="00DE4AF8"/>
    <w:rsid w:val="00DE7656"/>
    <w:rsid w:val="00E0798B"/>
    <w:rsid w:val="00E15EEF"/>
    <w:rsid w:val="00E46740"/>
    <w:rsid w:val="00E7231A"/>
    <w:rsid w:val="00EA0CD3"/>
    <w:rsid w:val="00EA28BE"/>
    <w:rsid w:val="00EA6CD0"/>
    <w:rsid w:val="00F079C6"/>
    <w:rsid w:val="00F10803"/>
    <w:rsid w:val="00F271EE"/>
    <w:rsid w:val="00F638C4"/>
    <w:rsid w:val="00FC11ED"/>
    <w:rsid w:val="00FC1D93"/>
    <w:rsid w:val="00FE7FF4"/>
    <w:rsid w:val="02D35C85"/>
    <w:rsid w:val="041E4B18"/>
    <w:rsid w:val="046046C1"/>
    <w:rsid w:val="04FF5964"/>
    <w:rsid w:val="05E63911"/>
    <w:rsid w:val="07146D7A"/>
    <w:rsid w:val="078365C9"/>
    <w:rsid w:val="088B0F35"/>
    <w:rsid w:val="09D8314D"/>
    <w:rsid w:val="0A4E069D"/>
    <w:rsid w:val="0BC0609B"/>
    <w:rsid w:val="0C485415"/>
    <w:rsid w:val="0D7C6061"/>
    <w:rsid w:val="13145B5B"/>
    <w:rsid w:val="15DA7F25"/>
    <w:rsid w:val="161D3CA4"/>
    <w:rsid w:val="1B4E61BE"/>
    <w:rsid w:val="1F316F2E"/>
    <w:rsid w:val="1F536EA5"/>
    <w:rsid w:val="1FBB4041"/>
    <w:rsid w:val="1FEF3CBF"/>
    <w:rsid w:val="234C4774"/>
    <w:rsid w:val="281B349C"/>
    <w:rsid w:val="2FC0546D"/>
    <w:rsid w:val="376260C3"/>
    <w:rsid w:val="38272B63"/>
    <w:rsid w:val="3E3F4776"/>
    <w:rsid w:val="40144068"/>
    <w:rsid w:val="42E55EB5"/>
    <w:rsid w:val="4357358D"/>
    <w:rsid w:val="461576BB"/>
    <w:rsid w:val="46D129EA"/>
    <w:rsid w:val="48697DEF"/>
    <w:rsid w:val="4D0A29E9"/>
    <w:rsid w:val="4D92240D"/>
    <w:rsid w:val="540F0001"/>
    <w:rsid w:val="55345E64"/>
    <w:rsid w:val="578275AD"/>
    <w:rsid w:val="5B752BA3"/>
    <w:rsid w:val="5EBF31A6"/>
    <w:rsid w:val="674758DC"/>
    <w:rsid w:val="6FB31EE1"/>
    <w:rsid w:val="74E53450"/>
    <w:rsid w:val="75143CB6"/>
    <w:rsid w:val="7A0E6599"/>
    <w:rsid w:val="7CA103C5"/>
    <w:rsid w:val="7E6D10D6"/>
  </w:rsids>
  <w:docVars>
    <w:docVar w:name="commondata" w:val="eyJoZGlkIjoiYzhhYmFlNjhlMmE4ZmY5MDgyZTMwOGRmM2NkZTFiZ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link w:val="1"/>
    <w:uiPriority w:val="9"/>
    <w:qFormat/>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uiPriority w:val="99"/>
    <w:semiHidden/>
    <w:unhideWhenUsed/>
    <w:qFormat/>
    <w:pPr>
      <w:jc w:val="left"/>
    </w:p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style>
  <w:style w:type="paragraph" w:styleId="TOC2">
    <w:name w:val="toc 2"/>
    <w:basedOn w:val="Normal"/>
    <w:next w:val="Normal"/>
    <w:uiPriority w:val="39"/>
    <w:unhideWhenUsed/>
    <w:qFormat/>
    <w:pPr>
      <w:ind w:left="420" w:leftChars="200"/>
    </w:p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563C1" w:themeColor="hyperlink"/>
      <w:u w:val="single"/>
      <w14:textFill>
        <w14:solidFill>
          <w14:schemeClr w14:val="hlink"/>
        </w14:solidFill>
      </w14:textFill>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styleId="ListParagraph">
    <w:name w:val="List Paragraph"/>
    <w:basedOn w:val="Normal"/>
    <w:uiPriority w:val="34"/>
    <w:qFormat/>
    <w:pPr>
      <w:ind w:firstLine="420" w:firstLineChars="200"/>
    </w:pPr>
  </w:style>
  <w:style w:type="table" w:customStyle="1" w:styleId="TableNormal0">
    <w:name w:val="Table Normal_0"/>
    <w:semiHidden/>
    <w:unhideWhenUsed/>
    <w:qFormat/>
    <w:rPr>
      <w:rFonts w:ascii="Arial" w:hAnsi="Arial" w:cs="Arial"/>
      <w:snapToGrid w:val="0"/>
      <w:color w:val="000000"/>
      <w:kern w:val="0"/>
      <w:szCs w:val="21"/>
    </w:rPr>
    <w:tblPr>
      <w:tblCellMar>
        <w:top w:w="0" w:type="dxa"/>
        <w:left w:w="0" w:type="dxa"/>
        <w:bottom w:w="0" w:type="dxa"/>
        <w:right w:w="0" w:type="dxa"/>
      </w:tblCellMar>
    </w:tblPr>
  </w:style>
  <w:style w:type="character" w:customStyle="1" w:styleId="1">
    <w:name w:val="标题 1 字符"/>
    <w:basedOn w:val="DefaultParagraphFont"/>
    <w:link w:val="Heading1"/>
    <w:uiPriority w:val="9"/>
    <w:qFormat/>
    <w:rPr>
      <w:b/>
      <w:bCs/>
      <w:kern w:val="44"/>
      <w:sz w:val="44"/>
      <w:szCs w:val="44"/>
    </w:rPr>
  </w:style>
  <w:style w:type="paragraph" w:customStyle="1" w:styleId="TOCHeading">
    <w:name w:val="TOC Heading"/>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5B6"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image" Target="media/image1.jpeg"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image" Target="media/image2.png" /><Relationship Id="rId24" Type="http://schemas.openxmlformats.org/officeDocument/2006/relationships/hyperlink" Target="https://d.book118.com/318034014036006044" TargetMode="Externa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3055DC-621E-4AF7-B208-03D96A88A535}">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6091</Words>
  <Characters>6474</Characters>
  <Application>Microsoft Office Word</Application>
  <DocSecurity>0</DocSecurity>
  <Lines>76</Lines>
  <Paragraphs>21</Paragraphs>
  <ScaleCrop>false</ScaleCrop>
  <Company/>
  <LinksUpToDate>false</LinksUpToDate>
  <CharactersWithSpaces>6582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ZS</dc:creator>
  <cp:lastModifiedBy>yuese</cp:lastModifiedBy>
  <cp:revision>52</cp:revision>
  <dcterms:created xsi:type="dcterms:W3CDTF">2022-07-12T14:26:00Z</dcterms:created>
  <dcterms:modified xsi:type="dcterms:W3CDTF">2023-05-04T00:56:37Z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B6E163E296D843C1933104B34183BCDB</vt:lpwstr>
  </property>
  <property fmtid="{D5CDD505-2E9C-101B-9397-08002B2CF9AE}" pid="3" name="KSOProductBuildVer">
    <vt:lpwstr>2052-11.1.0.14036</vt:lpwstr>
  </property>
</Properties>
</file>