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宫腔镜手术后并发症的风险评估和预防措施探究</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1"/>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7"/>
        <w:rPr>
          <w:rFonts w:ascii="Microsoft JhengHei"/>
          <w:b/>
          <w:sz w:val="14"/>
        </w:rPr>
      </w:pPr>
    </w:p>
    <w:sdt>
      <w:sdtPr>
        <w:id w:val="1049705805"/>
        <w:docPartObj>
          <w:docPartGallery w:val="Table of Contents"/>
          <w:docPartUnique/>
        </w:docPartObj>
      </w:sdtPr>
      <w:sdtContent>
        <w:p>
          <w:pPr>
            <w:pStyle w:val="TOC1"/>
            <w:tabs>
              <w:tab w:val="left" w:pos="1589"/>
              <w:tab w:val="right" w:leader="dot" w:pos="8415"/>
            </w:tabs>
            <w:spacing w:before="71"/>
            <w:rPr>
              <w:rFonts w:ascii="Calibri" w:eastAsia="Calibri"/>
            </w:rPr>
          </w:pPr>
          <w:r>
            <w:fldChar w:fldCharType="begin"/>
          </w:r>
          <w:r>
            <w:instrText xml:space="preserve">TOC \o "1-1" \h \z \u </w:instrText>
          </w:r>
          <w:r>
            <w:fldChar w:fldCharType="separate"/>
          </w:r>
          <w:hyperlink w:anchor="_bookmark0" w:history="1">
            <w:r>
              <w:t>第一部</w:t>
            </w:r>
            <w:r>
              <w:rPr>
                <w:spacing w:val="-10"/>
              </w:rPr>
              <w:t>分</w:t>
            </w:r>
            <w:r>
              <w:tab/>
              <w:t>宫腔镜手术后并发症的概</w:t>
            </w:r>
            <w:r>
              <w:rPr>
                <w:spacing w:val="-10"/>
              </w:rPr>
              <w:t>述</w:t>
            </w:r>
            <w:r>
              <w:rPr>
                <w:rFonts w:ascii="Times New Roman" w:eastAsia="Times New Roman"/>
              </w:rPr>
              <w:tab/>
            </w:r>
            <w:r>
              <w:rPr>
                <w:rFonts w:ascii="Calibri" w:eastAsia="Calibri"/>
                <w:spacing w:val="-10"/>
              </w:rPr>
              <w:t>2</w:t>
            </w:r>
          </w:hyperlink>
        </w:p>
        <w:p>
          <w:pPr>
            <w:pStyle w:val="TOC1"/>
            <w:tabs>
              <w:tab w:val="left" w:pos="1589"/>
              <w:tab w:val="right" w:leader="dot" w:pos="8415"/>
            </w:tabs>
            <w:rPr>
              <w:rFonts w:ascii="Calibri" w:eastAsia="Calibri"/>
            </w:rPr>
          </w:pPr>
          <w:hyperlink w:anchor="_TOC_250008" w:history="1">
            <w:r>
              <w:t>第二部</w:t>
            </w:r>
            <w:r>
              <w:rPr>
                <w:spacing w:val="-10"/>
              </w:rPr>
              <w:t>分</w:t>
            </w:r>
            <w:r>
              <w:tab/>
              <w:t>风险评估因素分</w:t>
            </w:r>
            <w:r>
              <w:rPr>
                <w:spacing w:val="-10"/>
              </w:rPr>
              <w:t>析</w:t>
            </w:r>
            <w:r>
              <w:rPr>
                <w:rFonts w:ascii="Times New Roman" w:eastAsia="Times New Roman"/>
              </w:rPr>
              <w:tab/>
            </w:r>
            <w:r>
              <w:rPr>
                <w:rFonts w:ascii="Calibri" w:eastAsia="Calibri"/>
                <w:spacing w:val="-10"/>
              </w:rPr>
              <w:t>4</w:t>
            </w:r>
          </w:hyperlink>
        </w:p>
        <w:p>
          <w:pPr>
            <w:pStyle w:val="TOC1"/>
            <w:tabs>
              <w:tab w:val="left" w:pos="1589"/>
              <w:tab w:val="right" w:leader="dot" w:pos="8415"/>
            </w:tabs>
            <w:rPr>
              <w:rFonts w:ascii="Calibri" w:eastAsia="Calibri"/>
            </w:rPr>
          </w:pPr>
          <w:hyperlink w:anchor="_TOC_250007" w:history="1">
            <w:r>
              <w:t>第三部</w:t>
            </w:r>
            <w:r>
              <w:rPr>
                <w:spacing w:val="-10"/>
              </w:rPr>
              <w:t>分</w:t>
            </w:r>
            <w:r>
              <w:tab/>
              <w:t>并发症发生率统计与分</w:t>
            </w:r>
            <w:r>
              <w:rPr>
                <w:spacing w:val="-10"/>
              </w:rPr>
              <w:t>析</w:t>
            </w:r>
            <w:r>
              <w:rPr>
                <w:rFonts w:ascii="Times New Roman" w:eastAsia="Times New Roman"/>
              </w:rPr>
              <w:tab/>
            </w:r>
            <w:r>
              <w:rPr>
                <w:rFonts w:ascii="Calibri" w:eastAsia="Calibri"/>
                <w:spacing w:val="-10"/>
              </w:rPr>
              <w:t>7</w:t>
            </w:r>
          </w:hyperlink>
        </w:p>
        <w:p>
          <w:pPr>
            <w:pStyle w:val="TOC1"/>
            <w:tabs>
              <w:tab w:val="left" w:pos="1589"/>
              <w:tab w:val="right" w:leader="dot" w:pos="8415"/>
            </w:tabs>
            <w:rPr>
              <w:rFonts w:ascii="Calibri" w:eastAsia="Calibri"/>
            </w:rPr>
          </w:pPr>
          <w:hyperlink w:anchor="_TOC_250006" w:history="1">
            <w:r>
              <w:t>第四部</w:t>
            </w:r>
            <w:r>
              <w:rPr>
                <w:spacing w:val="-10"/>
              </w:rPr>
              <w:t>分</w:t>
            </w:r>
            <w:r>
              <w:tab/>
              <w:t>常见并发症类型及症</w:t>
            </w:r>
            <w:r>
              <w:rPr>
                <w:spacing w:val="-10"/>
              </w:rPr>
              <w:t>状</w:t>
            </w:r>
            <w:r>
              <w:rPr>
                <w:rFonts w:ascii="Times New Roman" w:eastAsia="Times New Roman"/>
              </w:rPr>
              <w:tab/>
            </w:r>
            <w:r>
              <w:rPr>
                <w:rFonts w:ascii="Calibri" w:eastAsia="Calibri"/>
                <w:spacing w:val="-10"/>
              </w:rPr>
              <w:t>9</w:t>
            </w:r>
          </w:hyperlink>
        </w:p>
        <w:p>
          <w:pPr>
            <w:pStyle w:val="TOC1"/>
            <w:tabs>
              <w:tab w:val="left" w:pos="1589"/>
              <w:tab w:val="right" w:leader="dot" w:pos="8415"/>
            </w:tabs>
            <w:rPr>
              <w:rFonts w:ascii="Calibri" w:eastAsia="Calibri"/>
            </w:rPr>
          </w:pPr>
          <w:hyperlink w:anchor="_TOC_250005" w:history="1">
            <w:r>
              <w:t>第五部</w:t>
            </w:r>
            <w:r>
              <w:rPr>
                <w:spacing w:val="-10"/>
              </w:rPr>
              <w:t>分</w:t>
            </w:r>
            <w:r>
              <w:tab/>
              <w:t>高风险人群识别与评</w:t>
            </w:r>
            <w:r>
              <w:rPr>
                <w:spacing w:val="-10"/>
              </w:rPr>
              <w:t>估</w:t>
            </w:r>
            <w:r>
              <w:rPr>
                <w:rFonts w:ascii="Times New Roman" w:eastAsia="Times New Roman"/>
              </w:rPr>
              <w:tab/>
            </w:r>
            <w:r>
              <w:rPr>
                <w:rFonts w:ascii="Calibri" w:eastAsia="Calibri"/>
                <w:spacing w:val="-5"/>
              </w:rPr>
              <w:t>11</w:t>
            </w:r>
          </w:hyperlink>
        </w:p>
        <w:p>
          <w:pPr>
            <w:pStyle w:val="TOC1"/>
            <w:tabs>
              <w:tab w:val="left" w:pos="1589"/>
              <w:tab w:val="right" w:leader="dot" w:pos="8415"/>
            </w:tabs>
            <w:rPr>
              <w:rFonts w:ascii="Calibri" w:eastAsia="Calibri"/>
            </w:rPr>
          </w:pPr>
          <w:hyperlink w:anchor="_TOC_250004" w:history="1">
            <w:r>
              <w:t>第六部</w:t>
            </w:r>
            <w:r>
              <w:rPr>
                <w:spacing w:val="-10"/>
              </w:rPr>
              <w:t>分</w:t>
            </w:r>
            <w:r>
              <w:tab/>
              <w:t>预防措施的重要</w:t>
            </w:r>
            <w:r>
              <w:rPr>
                <w:spacing w:val="-10"/>
              </w:rPr>
              <w:t>性</w:t>
            </w:r>
            <w:r>
              <w:rPr>
                <w:rFonts w:ascii="Times New Roman" w:eastAsia="Times New Roman"/>
              </w:rPr>
              <w:tab/>
            </w:r>
            <w:r>
              <w:rPr>
                <w:rFonts w:ascii="Calibri" w:eastAsia="Calibri"/>
                <w:spacing w:val="-5"/>
              </w:rPr>
              <w:t>14</w:t>
            </w:r>
          </w:hyperlink>
        </w:p>
        <w:p>
          <w:pPr>
            <w:pStyle w:val="TOC1"/>
            <w:tabs>
              <w:tab w:val="left" w:pos="1589"/>
              <w:tab w:val="right" w:leader="dot" w:pos="8415"/>
            </w:tabs>
            <w:spacing w:before="354"/>
            <w:rPr>
              <w:rFonts w:ascii="Calibri" w:eastAsia="Calibri"/>
            </w:rPr>
          </w:pPr>
          <w:hyperlink w:anchor="_TOC_250003" w:history="1">
            <w:r>
              <w:t>第七部</w:t>
            </w:r>
            <w:r>
              <w:rPr>
                <w:spacing w:val="-10"/>
              </w:rPr>
              <w:t>分</w:t>
            </w:r>
            <w:r>
              <w:tab/>
              <w:t>手术操作技术改进策</w:t>
            </w:r>
            <w:r>
              <w:rPr>
                <w:spacing w:val="-10"/>
              </w:rPr>
              <w:t>略</w:t>
            </w:r>
            <w:r>
              <w:rPr>
                <w:rFonts w:ascii="Times New Roman" w:eastAsia="Times New Roman"/>
              </w:rPr>
              <w:tab/>
            </w:r>
            <w:r>
              <w:rPr>
                <w:rFonts w:ascii="Calibri" w:eastAsia="Calibri"/>
                <w:spacing w:val="-5"/>
              </w:rPr>
              <w:t>16</w:t>
            </w:r>
          </w:hyperlink>
        </w:p>
        <w:p>
          <w:pPr>
            <w:pStyle w:val="TOC1"/>
            <w:tabs>
              <w:tab w:val="left" w:pos="1589"/>
              <w:tab w:val="right" w:leader="dot" w:pos="8415"/>
            </w:tabs>
            <w:rPr>
              <w:rFonts w:ascii="Calibri" w:eastAsia="Calibri"/>
            </w:rPr>
          </w:pPr>
          <w:hyperlink w:anchor="_TOC_250002" w:history="1">
            <w:r>
              <w:t>第八部</w:t>
            </w:r>
            <w:r>
              <w:rPr>
                <w:spacing w:val="-10"/>
              </w:rPr>
              <w:t>分</w:t>
            </w:r>
            <w:r>
              <w:tab/>
              <w:t>术后护理管理要</w:t>
            </w:r>
            <w:r>
              <w:rPr>
                <w:spacing w:val="-10"/>
              </w:rPr>
              <w:t>点</w:t>
            </w:r>
            <w:r>
              <w:rPr>
                <w:rFonts w:ascii="Times New Roman" w:eastAsia="Times New Roman"/>
              </w:rPr>
              <w:tab/>
            </w:r>
            <w:r>
              <w:rPr>
                <w:rFonts w:ascii="Calibri" w:eastAsia="Calibri"/>
                <w:spacing w:val="-5"/>
              </w:rPr>
              <w:t>18</w:t>
            </w:r>
          </w:hyperlink>
        </w:p>
        <w:p>
          <w:pPr>
            <w:pStyle w:val="TOC1"/>
            <w:tabs>
              <w:tab w:val="left" w:pos="1589"/>
              <w:tab w:val="right" w:leader="dot" w:pos="8415"/>
            </w:tabs>
            <w:rPr>
              <w:rFonts w:ascii="Calibri" w:eastAsia="Calibri"/>
            </w:rPr>
          </w:pPr>
          <w:hyperlink w:anchor="_TOC_250001" w:history="1">
            <w:r>
              <w:t>第九部</w:t>
            </w:r>
            <w:r>
              <w:rPr>
                <w:spacing w:val="-10"/>
              </w:rPr>
              <w:t>分</w:t>
            </w:r>
            <w:r>
              <w:tab/>
              <w:t>防控并发症的综合干预方</w:t>
            </w:r>
            <w:r>
              <w:rPr>
                <w:spacing w:val="-10"/>
              </w:rPr>
              <w:t>案</w:t>
            </w:r>
            <w:r>
              <w:rPr>
                <w:rFonts w:ascii="Times New Roman" w:eastAsia="Times New Roman"/>
              </w:rPr>
              <w:tab/>
            </w:r>
            <w:r>
              <w:rPr>
                <w:rFonts w:ascii="Calibri" w:eastAsia="Calibri"/>
                <w:spacing w:val="-5"/>
              </w:rPr>
              <w:t>20</w:t>
            </w:r>
          </w:hyperlink>
        </w:p>
        <w:p>
          <w:pPr>
            <w:pStyle w:val="TOC1"/>
            <w:tabs>
              <w:tab w:val="left" w:pos="1589"/>
              <w:tab w:val="right" w:leader="dot" w:pos="8415"/>
            </w:tabs>
            <w:rPr>
              <w:rFonts w:ascii="Calibri" w:eastAsia="Calibri"/>
            </w:rPr>
          </w:pPr>
          <w:hyperlink w:anchor="_TOC_250000" w:history="1">
            <w:r>
              <w:t>第十部</w:t>
            </w:r>
            <w:r>
              <w:rPr>
                <w:spacing w:val="-10"/>
              </w:rPr>
              <w:t>分</w:t>
            </w:r>
            <w:r>
              <w:tab/>
              <w:t>提高患者生活质量的途</w:t>
            </w:r>
            <w:r>
              <w:rPr>
                <w:spacing w:val="-10"/>
              </w:rPr>
              <w:t>径</w:t>
            </w:r>
            <w:r>
              <w:rPr>
                <w:rFonts w:ascii="Times New Roman" w:eastAsia="Times New Roman"/>
              </w:rPr>
              <w:tab/>
            </w:r>
            <w:r>
              <w:rPr>
                <w:rFonts w:ascii="Calibri" w:eastAsia="Calibri"/>
                <w:spacing w:val="-5"/>
              </w:rPr>
              <w:t>23</w:t>
            </w:r>
          </w:hyperlink>
        </w:p>
        <w:p>
          <w:r>
            <w:fldChar w:fldCharType="end"/>
          </w:r>
        </w:p>
      </w:sdtContent>
    </w:sdt>
    <w:p>
      <w:pPr>
        <w:spacing w:after="0"/>
        <w:sectPr>
          <w:footerReference w:type="default" r:id="rId5"/>
          <w:type w:val="continuous"/>
          <w:pgSz w:w="11910" w:h="16840"/>
          <w:pgMar w:top="1480" w:right="1280" w:bottom="1380" w:left="1680" w:header="0" w:footer="1195"/>
          <w:pgNumType w:start="1"/>
          <w:cols w:space="708"/>
        </w:sectPr>
      </w:pPr>
    </w:p>
    <w:p>
      <w:pPr>
        <w:pStyle w:val="Heading1"/>
        <w:tabs>
          <w:tab w:val="left" w:pos="1725"/>
        </w:tabs>
        <w:spacing w:line="514" w:lineRule="exact"/>
        <w:jc w:val="left"/>
      </w:pPr>
      <w:bookmarkStart w:id="0" w:name="_bookmark0"/>
      <w:bookmarkEnd w:id="0"/>
      <w:r>
        <w:t>第</w:t>
      </w:r>
      <w:r>
        <w:t>一</w:t>
      </w:r>
      <w:r>
        <w:t>部</w:t>
      </w:r>
      <w:r>
        <w:rPr>
          <w:spacing w:val="-10"/>
        </w:rPr>
        <w:t>分</w:t>
      </w:r>
      <w:r>
        <w:tab/>
        <w:t>宫</w:t>
      </w:r>
      <w:r>
        <w:t>腔</w:t>
      </w:r>
      <w:r>
        <w:t>镜</w:t>
      </w:r>
      <w:r>
        <w:t>手</w:t>
      </w:r>
      <w:r>
        <w:t>术</w:t>
      </w:r>
      <w:r>
        <w:t>后</w:t>
      </w:r>
      <w:r>
        <w:t>并</w:t>
      </w:r>
      <w:r>
        <w:t>发</w:t>
      </w:r>
      <w:r>
        <w:t>症</w:t>
      </w:r>
      <w:r>
        <w:t>的</w:t>
      </w:r>
      <w:r>
        <w:t>概</w:t>
      </w:r>
      <w:r>
        <w:rPr>
          <w:spacing w:val="-10"/>
        </w:rPr>
        <w:t>述</w:t>
      </w:r>
    </w:p>
    <w:p>
      <w:pPr>
        <w:pStyle w:val="BodyText"/>
        <w:spacing w:before="3"/>
        <w:rPr>
          <w:rFonts w:ascii="Microsoft JhengHei"/>
          <w:b/>
          <w:sz w:val="23"/>
        </w:rPr>
      </w:pPr>
    </w:p>
    <w:p>
      <w:pPr>
        <w:pStyle w:val="BodyText"/>
        <w:spacing w:line="417" w:lineRule="auto"/>
        <w:ind w:left="120" w:right="285" w:firstLine="560"/>
      </w:pPr>
      <w:r>
        <w:rPr>
          <w:spacing w:val="-10"/>
        </w:rPr>
        <w:t>宫腔镜手术是一种微创的妇科手术，广泛应用于子宫内膜异位症、</w:t>
      </w:r>
      <w:r>
        <w:rPr>
          <w:spacing w:val="-16"/>
        </w:rPr>
        <w:t>子宫肌瘤、子宫息肉、宫腔粘连、宫腔肿瘤等多种疾病的诊断和治疗。</w:t>
      </w:r>
      <w:r>
        <w:rPr>
          <w:spacing w:val="-12"/>
        </w:rPr>
        <w:t>然而，尽管宫腔镜手术具有创伤小、恢复快的优点，但仍然存在一些</w:t>
      </w:r>
      <w:r>
        <w:rPr>
          <w:spacing w:val="-14"/>
        </w:rPr>
        <w:t>可能的并发症。了解这些并发症的风险评估和预防措施对于提高手术安全性及患者预后至关重要。</w:t>
      </w:r>
    </w:p>
    <w:p>
      <w:pPr>
        <w:pStyle w:val="BodyText"/>
      </w:pPr>
    </w:p>
    <w:p>
      <w:pPr>
        <w:pStyle w:val="BodyText"/>
        <w:spacing w:before="8"/>
        <w:rPr>
          <w:sz w:val="20"/>
        </w:rPr>
      </w:pPr>
    </w:p>
    <w:p>
      <w:pPr>
        <w:pStyle w:val="BodyText"/>
        <w:ind w:left="120"/>
      </w:pPr>
      <w:r>
        <w:rPr>
          <w:spacing w:val="-1"/>
        </w:rPr>
        <w:t>宫腔镜手术后并发症可以分为早期并发症和晚期并发症。</w:t>
      </w:r>
    </w:p>
    <w:p>
      <w:pPr>
        <w:pStyle w:val="BodyText"/>
      </w:pPr>
    </w:p>
    <w:p>
      <w:pPr>
        <w:pStyle w:val="BodyText"/>
        <w:spacing w:before="5"/>
        <w:rPr>
          <w:sz w:val="41"/>
        </w:rPr>
      </w:pPr>
    </w:p>
    <w:p>
      <w:pPr>
        <w:pStyle w:val="BodyText"/>
        <w:ind w:left="120"/>
        <w:jc w:val="both"/>
      </w:pPr>
      <w:r>
        <w:rPr>
          <w:rFonts w:ascii="仿宋" w:eastAsia="仿宋"/>
        </w:rPr>
        <w:t xml:space="preserve">1. </w:t>
      </w:r>
      <w:r>
        <w:rPr>
          <w:spacing w:val="-2"/>
        </w:rPr>
        <w:t>早期并发症：</w:t>
      </w:r>
    </w:p>
    <w:p>
      <w:pPr>
        <w:pStyle w:val="BodyText"/>
        <w:spacing w:before="9"/>
        <w:rPr>
          <w:sz w:val="20"/>
        </w:rPr>
      </w:pPr>
    </w:p>
    <w:p>
      <w:pPr>
        <w:pStyle w:val="ListParagraph"/>
        <w:numPr>
          <w:ilvl w:val="0"/>
          <w:numId w:val="20"/>
        </w:numPr>
        <w:tabs>
          <w:tab w:val="left" w:pos="541"/>
        </w:tabs>
        <w:spacing w:before="0" w:after="0" w:line="417" w:lineRule="auto"/>
        <w:ind w:left="120" w:right="518" w:firstLine="0"/>
        <w:jc w:val="both"/>
        <w:rPr>
          <w:sz w:val="28"/>
        </w:rPr>
      </w:pPr>
      <w:r>
        <w:rPr>
          <w:spacing w:val="-2"/>
          <w:sz w:val="28"/>
        </w:rPr>
        <w:t>出血：术中或术后短时间内发生的出血是宫腔镜手术最常见的并</w:t>
      </w:r>
      <w:r>
        <w:rPr>
          <w:spacing w:val="-5"/>
          <w:sz w:val="28"/>
        </w:rPr>
        <w:t xml:space="preserve">发症之一，发生率约为 </w:t>
      </w:r>
      <w:r>
        <w:rPr>
          <w:rFonts w:ascii="仿宋" w:eastAsia="仿宋"/>
          <w:spacing w:val="-2"/>
          <w:sz w:val="28"/>
        </w:rPr>
        <w:t>0.5%~2.4%</w:t>
      </w:r>
      <w:r>
        <w:rPr>
          <w:spacing w:val="-2"/>
          <w:sz w:val="28"/>
        </w:rPr>
        <w:t>。出血可能是由于手术过程中对血</w:t>
      </w:r>
      <w:r>
        <w:rPr>
          <w:spacing w:val="-2"/>
          <w:sz w:val="28"/>
        </w:rPr>
        <w:t>管或凝血机制的影响导致。</w:t>
      </w:r>
    </w:p>
    <w:p>
      <w:pPr>
        <w:pStyle w:val="ListParagraph"/>
        <w:numPr>
          <w:ilvl w:val="0"/>
          <w:numId w:val="20"/>
        </w:numPr>
        <w:tabs>
          <w:tab w:val="left" w:pos="541"/>
        </w:tabs>
        <w:spacing w:before="0" w:after="0" w:line="417" w:lineRule="auto"/>
        <w:ind w:left="120" w:right="378" w:firstLine="0"/>
        <w:jc w:val="left"/>
        <w:rPr>
          <w:sz w:val="28"/>
        </w:rPr>
      </w:pPr>
      <w:r>
        <w:rPr>
          <w:spacing w:val="-2"/>
          <w:sz w:val="28"/>
        </w:rPr>
        <w:t xml:space="preserve">感染：宫腔镜手术后的感染风险相对较低，通常为 </w:t>
      </w:r>
      <w:r>
        <w:rPr>
          <w:rFonts w:ascii="仿宋" w:eastAsia="仿宋"/>
          <w:sz w:val="28"/>
        </w:rPr>
        <w:t>1%</w:t>
      </w:r>
      <w:r>
        <w:rPr>
          <w:sz w:val="28"/>
        </w:rPr>
        <w:t>左右。感染</w:t>
      </w:r>
      <w:r>
        <w:rPr>
          <w:spacing w:val="-19"/>
          <w:sz w:val="28"/>
        </w:rPr>
        <w:t>部位可包括阴道、宫颈、宫腔等，可能导致发热、恶臭分泌物等症状。</w:t>
      </w:r>
      <w:r>
        <w:rPr>
          <w:spacing w:val="-2"/>
          <w:sz w:val="28"/>
        </w:rPr>
        <w:t xml:space="preserve"> </w:t>
      </w:r>
      <w:r>
        <w:rPr>
          <w:rFonts w:ascii="仿宋" w:eastAsia="仿宋"/>
          <w:spacing w:val="-2"/>
          <w:sz w:val="28"/>
        </w:rPr>
        <w:t>(3)</w:t>
      </w:r>
      <w:r>
        <w:rPr>
          <w:spacing w:val="-2"/>
          <w:sz w:val="28"/>
        </w:rPr>
        <w:t>气体栓塞：宫腔镜手术需要注入二氧化碳气体以扩张宫腔，因此</w:t>
      </w:r>
      <w:r>
        <w:rPr>
          <w:spacing w:val="-2"/>
          <w:sz w:val="28"/>
        </w:rPr>
        <w:t>有发生气体栓塞的风险。虽然罕见，但若出现，后果严重，甚至危及</w:t>
      </w:r>
      <w:r>
        <w:rPr>
          <w:spacing w:val="-4"/>
          <w:sz w:val="28"/>
        </w:rPr>
        <w:t>生命。</w:t>
      </w:r>
    </w:p>
    <w:p>
      <w:pPr>
        <w:pStyle w:val="BodyText"/>
      </w:pPr>
    </w:p>
    <w:p>
      <w:pPr>
        <w:pStyle w:val="BodyText"/>
        <w:spacing w:before="7"/>
        <w:rPr>
          <w:sz w:val="20"/>
        </w:rPr>
      </w:pPr>
    </w:p>
    <w:p>
      <w:pPr>
        <w:pStyle w:val="BodyText"/>
        <w:spacing w:before="1"/>
        <w:ind w:left="120"/>
      </w:pPr>
      <w:r>
        <w:rPr>
          <w:rFonts w:ascii="仿宋" w:eastAsia="仿宋"/>
        </w:rPr>
        <w:t xml:space="preserve">1. </w:t>
      </w:r>
      <w:r>
        <w:rPr>
          <w:spacing w:val="-2"/>
        </w:rPr>
        <w:t>晚期并发症：</w:t>
      </w:r>
    </w:p>
    <w:p>
      <w:pPr>
        <w:pStyle w:val="ListParagraph"/>
        <w:numPr>
          <w:ilvl w:val="0"/>
          <w:numId w:val="19"/>
        </w:numPr>
        <w:tabs>
          <w:tab w:val="left" w:pos="541"/>
        </w:tabs>
        <w:spacing w:before="4" w:after="0" w:line="620" w:lineRule="atLeast"/>
        <w:ind w:left="120" w:right="518" w:firstLine="0"/>
        <w:jc w:val="left"/>
        <w:rPr>
          <w:sz w:val="28"/>
        </w:rPr>
      </w:pPr>
      <w:r>
        <w:rPr>
          <w:spacing w:val="-2"/>
          <w:sz w:val="28"/>
        </w:rPr>
        <w:t>宫腔黏连：宫腔镜手术后可能导致宫腔黏连，尤其是当手术涉及</w:t>
      </w:r>
      <w:r>
        <w:rPr>
          <w:spacing w:val="-4"/>
          <w:sz w:val="28"/>
        </w:rPr>
        <w:t>到切除、电切或刮宫时。黏连程度和范围因个体差异而异，可能影响</w:t>
      </w:r>
    </w:p>
    <w:p>
      <w:pPr>
        <w:spacing w:after="0" w:line="620" w:lineRule="atLeast"/>
        <w:jc w:val="left"/>
        <w:rPr>
          <w:sz w:val="28"/>
        </w:rPr>
        <w:sectPr>
          <w:footerReference w:type="default" r:id="rId6"/>
          <w:pgSz w:w="11910" w:h="16840"/>
          <w:pgMar w:top="1500" w:right="1280" w:bottom="1380" w:left="1680" w:header="0" w:footer="1195"/>
          <w:pgNumType w:start="2"/>
          <w:cols w:space="708"/>
        </w:sectPr>
      </w:pPr>
    </w:p>
    <w:p>
      <w:pPr>
        <w:pStyle w:val="BodyText"/>
        <w:spacing w:before="37"/>
        <w:ind w:left="120"/>
      </w:pPr>
      <w:r>
        <w:rPr>
          <w:spacing w:val="-2"/>
        </w:rPr>
        <w:t>患者的生育能力。</w:t>
      </w:r>
    </w:p>
    <w:p>
      <w:pPr>
        <w:pStyle w:val="BodyText"/>
        <w:spacing w:before="8"/>
        <w:rPr>
          <w:sz w:val="20"/>
        </w:rPr>
      </w:pPr>
    </w:p>
    <w:p>
      <w:pPr>
        <w:pStyle w:val="ListParagraph"/>
        <w:numPr>
          <w:ilvl w:val="0"/>
          <w:numId w:val="19"/>
        </w:numPr>
        <w:tabs>
          <w:tab w:val="left" w:pos="541"/>
        </w:tabs>
        <w:spacing w:before="1" w:after="0" w:line="417" w:lineRule="auto"/>
        <w:ind w:left="120" w:right="103" w:firstLine="0"/>
        <w:jc w:val="left"/>
        <w:rPr>
          <w:sz w:val="28"/>
        </w:rPr>
      </w:pPr>
      <w:r>
        <w:rPr>
          <w:spacing w:val="-2"/>
          <w:sz w:val="28"/>
        </w:rPr>
        <w:t>损伤周围器官：宫腔镜手术可能存在损伤膀胱、输尿管、肠管等</w:t>
      </w:r>
      <w:r>
        <w:rPr>
          <w:spacing w:val="80"/>
          <w:w w:val="150"/>
          <w:sz w:val="28"/>
        </w:rPr>
        <w:t xml:space="preserve"> </w:t>
      </w:r>
      <w:r>
        <w:rPr>
          <w:spacing w:val="-14"/>
          <w:sz w:val="28"/>
        </w:rPr>
        <w:t>周围器官的风险，尤其是在进行复杂手术或操作技术不熟练的情况下。</w:t>
      </w:r>
      <w:r>
        <w:rPr>
          <w:spacing w:val="-2"/>
          <w:sz w:val="28"/>
        </w:rPr>
        <w:t xml:space="preserve"> </w:t>
      </w:r>
      <w:r>
        <w:rPr>
          <w:rFonts w:ascii="仿宋" w:eastAsia="仿宋"/>
          <w:spacing w:val="-2"/>
          <w:sz w:val="28"/>
        </w:rPr>
        <w:t>(3)</w:t>
      </w:r>
      <w:r>
        <w:rPr>
          <w:spacing w:val="-2"/>
          <w:sz w:val="28"/>
        </w:rPr>
        <w:t>疼痛：宫腔镜手术后可能出现下腹部不适或疼痛的症状，这通常</w:t>
      </w:r>
      <w:r>
        <w:rPr>
          <w:spacing w:val="40"/>
          <w:sz w:val="28"/>
        </w:rPr>
        <w:t xml:space="preserve">  </w:t>
      </w:r>
      <w:r>
        <w:rPr>
          <w:spacing w:val="-2"/>
          <w:sz w:val="28"/>
        </w:rPr>
        <w:t>是暂时性的，但也可能导致慢性盆腔疼痛。</w:t>
      </w:r>
    </w:p>
    <w:p>
      <w:pPr>
        <w:pStyle w:val="BodyText"/>
      </w:pPr>
    </w:p>
    <w:p>
      <w:pPr>
        <w:pStyle w:val="BodyText"/>
        <w:spacing w:before="7"/>
        <w:rPr>
          <w:sz w:val="20"/>
        </w:rPr>
      </w:pPr>
    </w:p>
    <w:p>
      <w:pPr>
        <w:pStyle w:val="BodyText"/>
        <w:spacing w:before="1" w:line="417" w:lineRule="auto"/>
        <w:ind w:left="120" w:right="518"/>
      </w:pPr>
      <w:r>
        <w:rPr>
          <w:spacing w:val="-7"/>
        </w:rPr>
        <w:t>为了降低宫腔镜手术后并发症的发生风险，我们需要从以下几个方面</w:t>
      </w:r>
      <w:r>
        <w:rPr>
          <w:spacing w:val="-2"/>
        </w:rPr>
        <w:t>采取预防措施：</w:t>
      </w:r>
    </w:p>
    <w:p>
      <w:pPr>
        <w:pStyle w:val="BodyText"/>
      </w:pPr>
    </w:p>
    <w:p>
      <w:pPr>
        <w:pStyle w:val="BodyText"/>
        <w:spacing w:before="8"/>
        <w:rPr>
          <w:sz w:val="20"/>
        </w:rPr>
      </w:pPr>
    </w:p>
    <w:p>
      <w:pPr>
        <w:pStyle w:val="ListParagraph"/>
        <w:numPr>
          <w:ilvl w:val="0"/>
          <w:numId w:val="18"/>
        </w:numPr>
        <w:tabs>
          <w:tab w:val="left" w:pos="542"/>
        </w:tabs>
        <w:spacing w:before="0" w:after="0" w:line="417" w:lineRule="auto"/>
        <w:ind w:left="120" w:right="518" w:firstLine="0"/>
        <w:jc w:val="left"/>
        <w:rPr>
          <w:sz w:val="28"/>
        </w:rPr>
      </w:pPr>
      <w:r>
        <w:rPr>
          <w:spacing w:val="-2"/>
          <w:sz w:val="28"/>
        </w:rPr>
        <w:t>选择合适的手术适应证：根据患者的病情和医生的经验，严格掌</w:t>
      </w:r>
      <w:r>
        <w:rPr>
          <w:spacing w:val="-2"/>
          <w:sz w:val="28"/>
        </w:rPr>
        <w:t>握宫腔镜手术的适应证，避免不必要的手术。</w:t>
      </w:r>
    </w:p>
    <w:p>
      <w:pPr>
        <w:pStyle w:val="ListParagraph"/>
        <w:numPr>
          <w:ilvl w:val="0"/>
          <w:numId w:val="18"/>
        </w:numPr>
        <w:tabs>
          <w:tab w:val="left" w:pos="542"/>
        </w:tabs>
        <w:spacing w:before="0" w:after="0" w:line="417" w:lineRule="auto"/>
        <w:ind w:left="120" w:right="518" w:firstLine="0"/>
        <w:jc w:val="left"/>
        <w:rPr>
          <w:sz w:val="28"/>
        </w:rPr>
      </w:pPr>
      <w:r>
        <w:rPr>
          <w:spacing w:val="-2"/>
          <w:sz w:val="28"/>
        </w:rPr>
        <w:t>提高手术技术水平：定期培训和学习宫腔镜手术技巧，增强医生</w:t>
      </w:r>
      <w:r>
        <w:rPr>
          <w:spacing w:val="-2"/>
          <w:sz w:val="28"/>
        </w:rPr>
        <w:t>的操作技能，减少手术失误。</w:t>
      </w:r>
    </w:p>
    <w:p>
      <w:pPr>
        <w:pStyle w:val="ListParagraph"/>
        <w:numPr>
          <w:ilvl w:val="0"/>
          <w:numId w:val="18"/>
        </w:numPr>
        <w:tabs>
          <w:tab w:val="left" w:pos="542"/>
        </w:tabs>
        <w:spacing w:before="0" w:after="0" w:line="417" w:lineRule="auto"/>
        <w:ind w:left="120" w:right="518" w:firstLine="0"/>
        <w:jc w:val="left"/>
        <w:rPr>
          <w:sz w:val="28"/>
        </w:rPr>
      </w:pPr>
      <w:r>
        <w:rPr>
          <w:spacing w:val="-2"/>
          <w:sz w:val="28"/>
        </w:rPr>
        <w:t>优化麻醉管理：采用合理的麻醉方法，控制手术时间，有效减轻</w:t>
      </w:r>
      <w:r>
        <w:rPr>
          <w:spacing w:val="-2"/>
          <w:sz w:val="28"/>
        </w:rPr>
        <w:t>手术应激反应，有利于术后快速康复。</w:t>
      </w:r>
    </w:p>
    <w:p>
      <w:pPr>
        <w:pStyle w:val="ListParagraph"/>
        <w:numPr>
          <w:ilvl w:val="0"/>
          <w:numId w:val="18"/>
        </w:numPr>
        <w:tabs>
          <w:tab w:val="left" w:pos="542"/>
        </w:tabs>
        <w:spacing w:before="0" w:after="0" w:line="417" w:lineRule="auto"/>
        <w:ind w:left="120" w:right="518" w:firstLine="0"/>
        <w:jc w:val="left"/>
        <w:rPr>
          <w:sz w:val="28"/>
        </w:rPr>
      </w:pPr>
      <w:r>
        <w:rPr>
          <w:spacing w:val="-2"/>
          <w:sz w:val="28"/>
        </w:rPr>
        <w:t>强化围手术期管理：在手术前进行全面评估，充分准备，术后密</w:t>
      </w:r>
      <w:r>
        <w:rPr>
          <w:spacing w:val="-2"/>
          <w:sz w:val="28"/>
        </w:rPr>
        <w:t>切观察病情变化，及时发现并处理潜在问题。</w:t>
      </w:r>
    </w:p>
    <w:p>
      <w:pPr>
        <w:pStyle w:val="ListParagraph"/>
        <w:numPr>
          <w:ilvl w:val="0"/>
          <w:numId w:val="18"/>
        </w:numPr>
        <w:tabs>
          <w:tab w:val="left" w:pos="542"/>
        </w:tabs>
        <w:spacing w:before="0" w:after="0" w:line="417" w:lineRule="auto"/>
        <w:ind w:left="120" w:right="518" w:firstLine="0"/>
        <w:jc w:val="left"/>
        <w:rPr>
          <w:sz w:val="28"/>
        </w:rPr>
      </w:pPr>
      <w:r>
        <w:rPr>
          <w:spacing w:val="-2"/>
          <w:sz w:val="28"/>
        </w:rPr>
        <w:t>遵循无菌原则：确保手术器械的清洁消毒，严格执行无菌操作，</w:t>
      </w:r>
      <w:r>
        <w:rPr>
          <w:spacing w:val="-2"/>
          <w:sz w:val="28"/>
        </w:rPr>
        <w:t>防止感染发生。</w:t>
      </w:r>
    </w:p>
    <w:p>
      <w:pPr>
        <w:pStyle w:val="ListParagraph"/>
        <w:numPr>
          <w:ilvl w:val="0"/>
          <w:numId w:val="18"/>
        </w:numPr>
        <w:tabs>
          <w:tab w:val="left" w:pos="542"/>
        </w:tabs>
        <w:spacing w:before="0" w:after="0" w:line="417" w:lineRule="auto"/>
        <w:ind w:left="120" w:right="518" w:firstLine="0"/>
        <w:jc w:val="left"/>
        <w:rPr>
          <w:sz w:val="28"/>
        </w:rPr>
      </w:pPr>
      <w:r>
        <w:rPr>
          <w:spacing w:val="-2"/>
          <w:sz w:val="28"/>
        </w:rPr>
        <w:t>减少气体使用：尽量减少宫腔镜手术中使用的气体量，并注意监</w:t>
      </w:r>
      <w:r>
        <w:rPr>
          <w:spacing w:val="-2"/>
          <w:sz w:val="28"/>
        </w:rPr>
        <w:t>测患者的气体滞留情况，避免气体栓塞。</w:t>
      </w:r>
    </w:p>
    <w:p>
      <w:pPr>
        <w:pStyle w:val="ListParagraph"/>
        <w:numPr>
          <w:ilvl w:val="0"/>
          <w:numId w:val="18"/>
        </w:numPr>
        <w:tabs>
          <w:tab w:val="left" w:pos="542"/>
        </w:tabs>
        <w:spacing w:before="0" w:after="0" w:line="358" w:lineRule="exact"/>
        <w:ind w:left="541" w:right="0" w:hanging="422"/>
        <w:jc w:val="left"/>
        <w:rPr>
          <w:sz w:val="28"/>
        </w:rPr>
      </w:pPr>
      <w:r>
        <w:rPr>
          <w:spacing w:val="-1"/>
          <w:sz w:val="28"/>
        </w:rPr>
        <w:t>规范随访制度：建立完善的术后随访制度，定期评估患者的恢复</w:t>
      </w:r>
    </w:p>
    <w:p>
      <w:pPr>
        <w:spacing w:after="0" w:line="358" w:lineRule="exact"/>
        <w:jc w:val="left"/>
        <w:rPr>
          <w:sz w:val="28"/>
        </w:rPr>
        <w:sectPr>
          <w:footerReference w:type="default" r:id="rId7"/>
          <w:pgSz w:w="11910" w:h="16840"/>
          <w:pgMar w:top="1520" w:right="1280" w:bottom="1380" w:left="1680" w:header="0" w:footer="1195"/>
          <w:pgNumType w:start="3"/>
          <w:cols w:space="708"/>
        </w:sectPr>
      </w:pPr>
    </w:p>
    <w:p>
      <w:pPr>
        <w:pStyle w:val="BodyText"/>
        <w:spacing w:before="37"/>
        <w:ind w:left="120"/>
      </w:pPr>
      <w:r>
        <w:rPr>
          <w:spacing w:val="-1"/>
        </w:rPr>
        <w:t>情况，及时调整治疗方案，防范并发症的发生。</w:t>
      </w:r>
    </w:p>
    <w:p>
      <w:pPr>
        <w:pStyle w:val="BodyText"/>
      </w:pPr>
    </w:p>
    <w:p>
      <w:pPr>
        <w:pStyle w:val="BodyText"/>
        <w:spacing w:before="5"/>
        <w:rPr>
          <w:sz w:val="41"/>
        </w:rPr>
      </w:pPr>
    </w:p>
    <w:p>
      <w:pPr>
        <w:pStyle w:val="BodyText"/>
        <w:ind w:left="120"/>
      </w:pPr>
      <w:r>
        <w:rPr>
          <w:spacing w:val="-1"/>
        </w:rPr>
        <w:t>综上所述，宫腔镜手术虽</w:t>
      </w:r>
    </w:p>
    <w:p>
      <w:pPr>
        <w:pStyle w:val="BodyText"/>
      </w:pPr>
    </w:p>
    <w:p>
      <w:pPr>
        <w:pStyle w:val="BodyText"/>
        <w:spacing w:before="3"/>
        <w:rPr>
          <w:sz w:val="39"/>
        </w:rPr>
      </w:pPr>
    </w:p>
    <w:p>
      <w:pPr>
        <w:pStyle w:val="Heading1"/>
        <w:tabs>
          <w:tab w:val="left" w:pos="1725"/>
        </w:tabs>
        <w:spacing w:before="1"/>
        <w:jc w:val="left"/>
      </w:pPr>
      <w:bookmarkStart w:id="1" w:name="_TOC_250008"/>
      <w:r>
        <w:t>第</w:t>
      </w:r>
      <w:r>
        <w:t>二</w:t>
      </w:r>
      <w:r>
        <w:t>部</w:t>
      </w:r>
      <w:r>
        <w:rPr>
          <w:spacing w:val="-10"/>
        </w:rPr>
        <w:t>分</w:t>
      </w:r>
      <w:r>
        <w:tab/>
        <w:t>风</w:t>
      </w:r>
      <w:r>
        <w:t>险</w:t>
      </w:r>
      <w:r>
        <w:t>评</w:t>
      </w:r>
      <w:r>
        <w:t>估</w:t>
      </w:r>
      <w:r>
        <w:t>因</w:t>
      </w:r>
      <w:r>
        <w:t>素</w:t>
      </w:r>
      <w:r>
        <w:t>分</w:t>
      </w:r>
      <w:bookmarkEnd w:id="1"/>
      <w:r>
        <w:rPr>
          <w:spacing w:val="-10"/>
        </w:rPr>
        <w:t>析</w:t>
      </w:r>
    </w:p>
    <w:p>
      <w:pPr>
        <w:pStyle w:val="BodyText"/>
        <w:spacing w:before="3"/>
        <w:rPr>
          <w:rFonts w:ascii="Microsoft JhengHei"/>
          <w:b/>
          <w:sz w:val="23"/>
        </w:rPr>
      </w:pPr>
    </w:p>
    <w:p>
      <w:pPr>
        <w:pStyle w:val="BodyText"/>
        <w:ind w:left="680"/>
      </w:pPr>
      <w:r>
        <w:rPr>
          <w:spacing w:val="-1"/>
        </w:rPr>
        <w:t>宫腔镜手术后并发症的风险评估因素分析</w:t>
      </w:r>
    </w:p>
    <w:p>
      <w:pPr>
        <w:pStyle w:val="BodyText"/>
      </w:pPr>
    </w:p>
    <w:p>
      <w:pPr>
        <w:pStyle w:val="BodyText"/>
        <w:spacing w:before="5"/>
        <w:rPr>
          <w:sz w:val="41"/>
        </w:rPr>
      </w:pPr>
    </w:p>
    <w:p>
      <w:pPr>
        <w:pStyle w:val="BodyText"/>
        <w:spacing w:line="417" w:lineRule="auto"/>
        <w:ind w:left="120" w:right="285"/>
      </w:pPr>
      <w:r>
        <w:rPr>
          <w:spacing w:val="-12"/>
        </w:rPr>
        <w:t>宫腔镜手术是一种微创手术方法，通常用于诊断和治疗各种妇科疾病。</w:t>
      </w:r>
      <w:r>
        <w:rPr>
          <w:spacing w:val="-2"/>
        </w:rPr>
        <w:t>然而，像所有手术一样，宫腔镜手术也有一定的并发症风险。本节将</w:t>
      </w:r>
      <w:r>
        <w:rPr>
          <w:spacing w:val="-2"/>
        </w:rPr>
        <w:t>探讨宫腔镜手术后并发症的风险评估因素。</w:t>
      </w:r>
    </w:p>
    <w:p>
      <w:pPr>
        <w:pStyle w:val="BodyText"/>
      </w:pPr>
    </w:p>
    <w:p>
      <w:pPr>
        <w:pStyle w:val="BodyText"/>
        <w:spacing w:before="8"/>
        <w:rPr>
          <w:sz w:val="20"/>
        </w:rPr>
      </w:pPr>
    </w:p>
    <w:p>
      <w:pPr>
        <w:pStyle w:val="BodyText"/>
        <w:spacing w:before="1"/>
        <w:ind w:left="120"/>
      </w:pPr>
      <w:r>
        <w:rPr>
          <w:spacing w:val="-2"/>
        </w:rPr>
        <w:t>一、患者因素</w:t>
      </w:r>
    </w:p>
    <w:p>
      <w:pPr>
        <w:pStyle w:val="BodyText"/>
      </w:pPr>
    </w:p>
    <w:p>
      <w:pPr>
        <w:pStyle w:val="BodyText"/>
        <w:spacing w:before="5"/>
        <w:rPr>
          <w:sz w:val="41"/>
        </w:rPr>
      </w:pPr>
    </w:p>
    <w:p>
      <w:pPr>
        <w:pStyle w:val="ListParagraph"/>
        <w:numPr>
          <w:ilvl w:val="0"/>
          <w:numId w:val="17"/>
        </w:numPr>
        <w:tabs>
          <w:tab w:val="left" w:pos="542"/>
        </w:tabs>
        <w:spacing w:before="0" w:after="0" w:line="417" w:lineRule="auto"/>
        <w:ind w:left="120" w:right="238" w:firstLine="0"/>
        <w:jc w:val="left"/>
        <w:rPr>
          <w:sz w:val="28"/>
        </w:rPr>
      </w:pPr>
      <w:r>
        <w:rPr>
          <w:spacing w:val="-2"/>
          <w:sz w:val="28"/>
        </w:rPr>
        <w:t>年龄：年龄是影响宫腔镜手术并发症的一个重要因素。研究表明，</w:t>
      </w:r>
      <w:r>
        <w:rPr>
          <w:spacing w:val="-2"/>
          <w:sz w:val="28"/>
        </w:rPr>
        <w:t>随着年龄的增长，患者的生理机能逐渐下降，手术耐受能力减弱，术</w:t>
      </w:r>
      <w:r>
        <w:rPr>
          <w:spacing w:val="-2"/>
          <w:sz w:val="28"/>
        </w:rPr>
        <w:t xml:space="preserve"> </w:t>
      </w:r>
      <w:r>
        <w:rPr>
          <w:spacing w:val="-2"/>
          <w:sz w:val="28"/>
        </w:rPr>
        <w:t>后并发症的发生率也会相应增加。因此，在进行宫腔镜手术时需要充</w:t>
      </w:r>
      <w:r>
        <w:rPr>
          <w:spacing w:val="-2"/>
          <w:sz w:val="28"/>
        </w:rPr>
        <w:t xml:space="preserve"> </w:t>
      </w:r>
      <w:r>
        <w:rPr>
          <w:spacing w:val="-12"/>
          <w:sz w:val="28"/>
        </w:rPr>
        <w:t>分考虑患者年龄因素，对于老年患者要更加谨慎地选择手术方式和时</w:t>
      </w:r>
      <w:r>
        <w:rPr>
          <w:spacing w:val="-2"/>
          <w:sz w:val="28"/>
        </w:rPr>
        <w:t xml:space="preserve"> </w:t>
      </w:r>
      <w:r>
        <w:rPr>
          <w:spacing w:val="-6"/>
          <w:sz w:val="28"/>
        </w:rPr>
        <w:t>间。</w:t>
      </w:r>
    </w:p>
    <w:p>
      <w:pPr>
        <w:pStyle w:val="BodyText"/>
      </w:pPr>
    </w:p>
    <w:p>
      <w:pPr>
        <w:pStyle w:val="BodyText"/>
        <w:spacing w:before="8"/>
        <w:rPr>
          <w:sz w:val="20"/>
        </w:rPr>
      </w:pPr>
    </w:p>
    <w:p>
      <w:pPr>
        <w:pStyle w:val="ListParagraph"/>
        <w:numPr>
          <w:ilvl w:val="0"/>
          <w:numId w:val="17"/>
        </w:numPr>
        <w:tabs>
          <w:tab w:val="left" w:pos="542"/>
        </w:tabs>
        <w:spacing w:before="0" w:after="0" w:line="417" w:lineRule="auto"/>
        <w:ind w:left="120" w:right="518" w:firstLine="0"/>
        <w:jc w:val="left"/>
        <w:rPr>
          <w:sz w:val="28"/>
        </w:rPr>
      </w:pPr>
      <w:r>
        <w:rPr>
          <w:spacing w:val="-2"/>
          <w:sz w:val="28"/>
        </w:rPr>
        <w:t>健康状况：术前的健康状况对宫腔镜手术并发症的风险具有显著</w:t>
      </w:r>
      <w:r>
        <w:rPr>
          <w:spacing w:val="-4"/>
          <w:sz w:val="28"/>
        </w:rPr>
        <w:t>影响。例如，肥胖、糖尿病、高血压等慢性疾病患者在手术过程中可</w:t>
      </w:r>
    </w:p>
    <w:p>
      <w:pPr>
        <w:spacing w:after="0" w:line="417" w:lineRule="auto"/>
        <w:jc w:val="left"/>
        <w:rPr>
          <w:sz w:val="28"/>
        </w:rPr>
        <w:sectPr>
          <w:footerReference w:type="default" r:id="rId8"/>
          <w:pgSz w:w="11910" w:h="16840"/>
          <w:pgMar w:top="1520" w:right="1280" w:bottom="1380" w:left="1680" w:header="0" w:footer="1195"/>
          <w:pgNumType w:start="4"/>
          <w:cols w:space="708"/>
        </w:sectPr>
      </w:pPr>
    </w:p>
    <w:p>
      <w:pPr>
        <w:pStyle w:val="BodyText"/>
        <w:spacing w:before="37" w:line="417" w:lineRule="auto"/>
        <w:ind w:left="120" w:right="518"/>
      </w:pPr>
      <w:r>
        <w:rPr>
          <w:spacing w:val="-4"/>
        </w:rPr>
        <w:t>能会出现更多的并发症。此外，心脏和肺部功能不全的患者也可能面</w:t>
      </w:r>
      <w:r>
        <w:rPr>
          <w:spacing w:val="-2"/>
        </w:rPr>
        <w:t>临更高的风险。</w:t>
      </w:r>
    </w:p>
    <w:p>
      <w:pPr>
        <w:pStyle w:val="BodyText"/>
      </w:pPr>
    </w:p>
    <w:p>
      <w:pPr>
        <w:pStyle w:val="BodyText"/>
        <w:spacing w:before="8"/>
        <w:rPr>
          <w:sz w:val="20"/>
        </w:rPr>
      </w:pPr>
    </w:p>
    <w:p>
      <w:pPr>
        <w:pStyle w:val="ListParagraph"/>
        <w:numPr>
          <w:ilvl w:val="0"/>
          <w:numId w:val="17"/>
        </w:numPr>
        <w:tabs>
          <w:tab w:val="left" w:pos="542"/>
        </w:tabs>
        <w:spacing w:before="0" w:after="0" w:line="417" w:lineRule="auto"/>
        <w:ind w:left="120" w:right="518" w:firstLine="0"/>
        <w:jc w:val="both"/>
        <w:rPr>
          <w:sz w:val="28"/>
        </w:rPr>
      </w:pPr>
      <w:r>
        <w:rPr>
          <w:spacing w:val="-2"/>
          <w:sz w:val="28"/>
        </w:rPr>
        <w:t>既往手术史：有手术史的患者可能在宫腔镜手术中面临较高的并</w:t>
      </w:r>
      <w:r>
        <w:rPr>
          <w:spacing w:val="-4"/>
          <w:sz w:val="28"/>
        </w:rPr>
        <w:t>发症风险。例如，多次宫腔手术可能导致粘连或解剖结构改变，从而</w:t>
      </w:r>
      <w:r>
        <w:rPr>
          <w:spacing w:val="-2"/>
          <w:sz w:val="28"/>
        </w:rPr>
        <w:t>增加手术难度和并发症发生率。</w:t>
      </w:r>
    </w:p>
    <w:p>
      <w:pPr>
        <w:pStyle w:val="BodyText"/>
      </w:pPr>
    </w:p>
    <w:p>
      <w:pPr>
        <w:pStyle w:val="BodyText"/>
        <w:spacing w:before="8"/>
        <w:rPr>
          <w:sz w:val="20"/>
        </w:rPr>
      </w:pPr>
    </w:p>
    <w:p>
      <w:pPr>
        <w:pStyle w:val="ListParagraph"/>
        <w:numPr>
          <w:ilvl w:val="0"/>
          <w:numId w:val="17"/>
        </w:numPr>
        <w:tabs>
          <w:tab w:val="left" w:pos="542"/>
        </w:tabs>
        <w:spacing w:before="0" w:after="0" w:line="417" w:lineRule="auto"/>
        <w:ind w:left="120" w:right="518" w:firstLine="0"/>
        <w:jc w:val="both"/>
        <w:rPr>
          <w:sz w:val="28"/>
        </w:rPr>
      </w:pPr>
      <w:r>
        <w:rPr>
          <w:spacing w:val="-2"/>
          <w:sz w:val="28"/>
        </w:rPr>
        <w:t>孕产史：孕产次数、流产史以及是否有子宫内膜异位症等病史都</w:t>
      </w:r>
      <w:r>
        <w:rPr>
          <w:spacing w:val="-2"/>
          <w:sz w:val="28"/>
        </w:rPr>
        <w:t>可能与宫腔镜手术后的并发症有关。</w:t>
      </w:r>
    </w:p>
    <w:p>
      <w:pPr>
        <w:pStyle w:val="BodyText"/>
      </w:pPr>
    </w:p>
    <w:p>
      <w:pPr>
        <w:pStyle w:val="BodyText"/>
        <w:spacing w:before="9"/>
        <w:rPr>
          <w:sz w:val="20"/>
        </w:rPr>
      </w:pPr>
    </w:p>
    <w:p>
      <w:pPr>
        <w:pStyle w:val="BodyText"/>
        <w:ind w:left="120"/>
      </w:pPr>
      <w:r>
        <w:rPr>
          <w:spacing w:val="-2"/>
        </w:rPr>
        <w:t>二、手术相关因素</w:t>
      </w:r>
    </w:p>
    <w:p>
      <w:pPr>
        <w:pStyle w:val="BodyText"/>
      </w:pPr>
    </w:p>
    <w:p>
      <w:pPr>
        <w:pStyle w:val="BodyText"/>
        <w:spacing w:before="5"/>
        <w:rPr>
          <w:sz w:val="41"/>
        </w:rPr>
      </w:pPr>
    </w:p>
    <w:p>
      <w:pPr>
        <w:pStyle w:val="ListParagraph"/>
        <w:numPr>
          <w:ilvl w:val="0"/>
          <w:numId w:val="16"/>
        </w:numPr>
        <w:tabs>
          <w:tab w:val="left" w:pos="542"/>
        </w:tabs>
        <w:spacing w:before="0" w:after="0" w:line="417" w:lineRule="auto"/>
        <w:ind w:left="120" w:right="238" w:firstLine="0"/>
        <w:jc w:val="left"/>
        <w:rPr>
          <w:sz w:val="28"/>
        </w:rPr>
      </w:pPr>
      <w:r>
        <w:rPr>
          <w:spacing w:val="-2"/>
          <w:sz w:val="28"/>
        </w:rPr>
        <w:t>手术类型：不同的宫腔镜手术类型对应不同的并发症风险。例如，</w:t>
      </w:r>
      <w:r>
        <w:rPr>
          <w:spacing w:val="-8"/>
          <w:sz w:val="28"/>
        </w:rPr>
        <w:t>复杂的宫腔镜手术如子宫肌瘤切除、宫腔重建等可能比简单的宫腔检</w:t>
      </w:r>
      <w:r>
        <w:rPr>
          <w:spacing w:val="-2"/>
          <w:sz w:val="28"/>
        </w:rPr>
        <w:t xml:space="preserve"> </w:t>
      </w:r>
      <w:r>
        <w:rPr>
          <w:spacing w:val="-2"/>
          <w:sz w:val="28"/>
        </w:rPr>
        <w:t>查或刮宫手术更容易产生并发症。</w:t>
      </w:r>
    </w:p>
    <w:p>
      <w:pPr>
        <w:pStyle w:val="BodyText"/>
      </w:pPr>
    </w:p>
    <w:p>
      <w:pPr>
        <w:pStyle w:val="BodyText"/>
        <w:spacing w:before="8"/>
        <w:rPr>
          <w:sz w:val="20"/>
        </w:rPr>
      </w:pPr>
    </w:p>
    <w:p>
      <w:pPr>
        <w:pStyle w:val="ListParagraph"/>
        <w:numPr>
          <w:ilvl w:val="0"/>
          <w:numId w:val="16"/>
        </w:numPr>
        <w:tabs>
          <w:tab w:val="left" w:pos="542"/>
        </w:tabs>
        <w:spacing w:before="0" w:after="0" w:line="417" w:lineRule="auto"/>
        <w:ind w:left="120" w:right="518" w:firstLine="0"/>
        <w:jc w:val="both"/>
        <w:rPr>
          <w:sz w:val="28"/>
        </w:rPr>
      </w:pPr>
      <w:r>
        <w:rPr>
          <w:spacing w:val="-2"/>
          <w:sz w:val="28"/>
        </w:rPr>
        <w:t>手术技巧和经验：手术医生的技术水平和经验对手术成功率和并</w:t>
      </w:r>
      <w:r>
        <w:rPr>
          <w:spacing w:val="-4"/>
          <w:sz w:val="28"/>
        </w:rPr>
        <w:t>发症发生率有着直接影响。熟练掌握宫腔镜操作技术、熟悉宫腔解剖</w:t>
      </w:r>
      <w:r>
        <w:rPr>
          <w:spacing w:val="-2"/>
          <w:sz w:val="28"/>
        </w:rPr>
        <w:t>结构以及拥有丰富临床经验的医生可以更好地预防和处理并发症。</w:t>
      </w:r>
    </w:p>
    <w:p>
      <w:pPr>
        <w:pStyle w:val="BodyText"/>
      </w:pPr>
    </w:p>
    <w:p>
      <w:pPr>
        <w:pStyle w:val="BodyText"/>
        <w:spacing w:before="9"/>
        <w:rPr>
          <w:sz w:val="20"/>
        </w:rPr>
      </w:pPr>
    </w:p>
    <w:p>
      <w:pPr>
        <w:pStyle w:val="ListParagraph"/>
        <w:numPr>
          <w:ilvl w:val="0"/>
          <w:numId w:val="16"/>
        </w:numPr>
        <w:tabs>
          <w:tab w:val="left" w:pos="542"/>
        </w:tabs>
        <w:spacing w:before="0" w:after="0" w:line="417" w:lineRule="auto"/>
        <w:ind w:left="120" w:right="238" w:firstLine="0"/>
        <w:jc w:val="left"/>
        <w:rPr>
          <w:sz w:val="28"/>
        </w:rPr>
      </w:pPr>
      <w:r>
        <w:rPr>
          <w:spacing w:val="-2"/>
          <w:sz w:val="28"/>
        </w:rPr>
        <w:t>麻醉方式：麻醉方式的选择也会影响宫腔镜手术后并发症的风险。</w:t>
      </w:r>
      <w:r>
        <w:rPr>
          <w:spacing w:val="-2"/>
          <w:sz w:val="28"/>
        </w:rPr>
        <w:t>一般来说，全身麻醉相较于局部麻醉更容易引发呼吸系统并发症。因</w:t>
      </w:r>
    </w:p>
    <w:p>
      <w:pPr>
        <w:spacing w:after="0" w:line="417" w:lineRule="auto"/>
        <w:jc w:val="left"/>
        <w:rPr>
          <w:sz w:val="28"/>
        </w:rPr>
        <w:sectPr>
          <w:footerReference w:type="default" r:id="rId9"/>
          <w:pgSz w:w="11910" w:h="16840"/>
          <w:pgMar w:top="1520" w:right="1280" w:bottom="1380" w:left="1680" w:header="0" w:footer="1195"/>
          <w:pgNumType w:start="5"/>
          <w:cols w:space="708"/>
        </w:sectPr>
      </w:pPr>
    </w:p>
    <w:p>
      <w:pPr>
        <w:pStyle w:val="BodyText"/>
        <w:spacing w:before="37" w:line="417" w:lineRule="auto"/>
        <w:ind w:left="120" w:right="518"/>
      </w:pPr>
      <w:r>
        <w:rPr>
          <w:spacing w:val="-13"/>
        </w:rPr>
        <w:t>此，合理选择麻醉方式并在手术过程中密切监测患者的生命体征至关</w:t>
      </w:r>
      <w:r>
        <w:rPr>
          <w:spacing w:val="-4"/>
        </w:rPr>
        <w:t>重要。</w:t>
      </w:r>
    </w:p>
    <w:p>
      <w:pPr>
        <w:pStyle w:val="BodyText"/>
      </w:pPr>
    </w:p>
    <w:p>
      <w:pPr>
        <w:pStyle w:val="BodyText"/>
        <w:spacing w:before="8"/>
        <w:rPr>
          <w:sz w:val="20"/>
        </w:rPr>
      </w:pPr>
    </w:p>
    <w:p>
      <w:pPr>
        <w:pStyle w:val="BodyText"/>
        <w:ind w:left="120"/>
      </w:pPr>
      <w:r>
        <w:rPr>
          <w:spacing w:val="-2"/>
        </w:rPr>
        <w:t>三、设备和技术因素</w:t>
      </w:r>
    </w:p>
    <w:p>
      <w:pPr>
        <w:pStyle w:val="BodyText"/>
      </w:pPr>
    </w:p>
    <w:p>
      <w:pPr>
        <w:pStyle w:val="BodyText"/>
        <w:spacing w:before="5"/>
        <w:rPr>
          <w:sz w:val="41"/>
        </w:rPr>
      </w:pPr>
    </w:p>
    <w:p>
      <w:pPr>
        <w:pStyle w:val="ListParagraph"/>
        <w:numPr>
          <w:ilvl w:val="0"/>
          <w:numId w:val="15"/>
        </w:numPr>
        <w:tabs>
          <w:tab w:val="left" w:pos="542"/>
        </w:tabs>
        <w:spacing w:before="0" w:after="0" w:line="417" w:lineRule="auto"/>
        <w:ind w:left="120" w:right="518" w:firstLine="0"/>
        <w:jc w:val="both"/>
        <w:rPr>
          <w:sz w:val="28"/>
        </w:rPr>
      </w:pPr>
      <w:r>
        <w:rPr>
          <w:spacing w:val="-2"/>
          <w:sz w:val="28"/>
        </w:rPr>
        <w:t>宫腔镜设备：高质量的宫腔镜设备能够提高手术精度和安全性，</w:t>
      </w:r>
      <w:r>
        <w:rPr>
          <w:spacing w:val="-4"/>
          <w:sz w:val="28"/>
        </w:rPr>
        <w:t>降低并发症发生率。因此，医疗机构应定期维护更新宫腔镜设备，确</w:t>
      </w:r>
      <w:r>
        <w:rPr>
          <w:spacing w:val="-2"/>
          <w:sz w:val="28"/>
        </w:rPr>
        <w:t>保其性能稳定可靠。</w:t>
      </w:r>
    </w:p>
    <w:p>
      <w:pPr>
        <w:pStyle w:val="BodyText"/>
      </w:pPr>
    </w:p>
    <w:p>
      <w:pPr>
        <w:pStyle w:val="BodyText"/>
        <w:spacing w:before="8"/>
        <w:rPr>
          <w:sz w:val="20"/>
        </w:rPr>
      </w:pPr>
    </w:p>
    <w:p>
      <w:pPr>
        <w:pStyle w:val="ListParagraph"/>
        <w:numPr>
          <w:ilvl w:val="0"/>
          <w:numId w:val="15"/>
        </w:numPr>
        <w:tabs>
          <w:tab w:val="left" w:pos="542"/>
        </w:tabs>
        <w:spacing w:before="1" w:after="0" w:line="417" w:lineRule="auto"/>
        <w:ind w:left="120" w:right="518" w:firstLine="0"/>
        <w:jc w:val="both"/>
        <w:rPr>
          <w:sz w:val="28"/>
        </w:rPr>
      </w:pPr>
      <w:r>
        <w:rPr>
          <w:spacing w:val="-2"/>
          <w:sz w:val="28"/>
        </w:rPr>
        <w:t>技术创新：随着科技的发展，宫腔镜技术也在不断进步。新技术</w:t>
      </w:r>
      <w:r>
        <w:rPr>
          <w:spacing w:val="-2"/>
          <w:sz w:val="28"/>
        </w:rPr>
        <w:t>的引入可以减少手术创伤、缩短手术时间，从而降低并发症风险。</w:t>
      </w:r>
    </w:p>
    <w:p>
      <w:pPr>
        <w:pStyle w:val="BodyText"/>
      </w:pPr>
    </w:p>
    <w:p>
      <w:pPr>
        <w:pStyle w:val="BodyText"/>
        <w:spacing w:before="8"/>
        <w:rPr>
          <w:sz w:val="20"/>
        </w:rPr>
      </w:pPr>
    </w:p>
    <w:p>
      <w:pPr>
        <w:pStyle w:val="BodyText"/>
        <w:ind w:left="120"/>
      </w:pPr>
      <w:r>
        <w:rPr>
          <w:spacing w:val="-2"/>
        </w:rPr>
        <w:t>四、术后管理</w:t>
      </w:r>
    </w:p>
    <w:p>
      <w:pPr>
        <w:pStyle w:val="BodyText"/>
      </w:pPr>
    </w:p>
    <w:p>
      <w:pPr>
        <w:pStyle w:val="BodyText"/>
        <w:spacing w:before="5"/>
        <w:rPr>
          <w:sz w:val="41"/>
        </w:rPr>
      </w:pPr>
    </w:p>
    <w:p>
      <w:pPr>
        <w:pStyle w:val="BodyText"/>
        <w:spacing w:line="417" w:lineRule="auto"/>
        <w:ind w:left="120" w:right="518"/>
        <w:jc w:val="both"/>
      </w:pPr>
      <w:r>
        <w:rPr>
          <w:spacing w:val="-6"/>
        </w:rPr>
        <w:t>良好的术后管理也是降低宫腔镜手术并发症风险的重要环节。包括术</w:t>
      </w:r>
      <w:r>
        <w:rPr>
          <w:spacing w:val="-4"/>
        </w:rPr>
        <w:t>后疼痛控制、感染预防、饮食指导以及定期随访等方面都需要得到充</w:t>
      </w:r>
      <w:r>
        <w:rPr>
          <w:spacing w:val="-4"/>
        </w:rPr>
        <w:t>分关注。</w:t>
      </w:r>
    </w:p>
    <w:p>
      <w:pPr>
        <w:pStyle w:val="BodyText"/>
      </w:pPr>
    </w:p>
    <w:p>
      <w:pPr>
        <w:pStyle w:val="BodyText"/>
        <w:spacing w:before="8"/>
        <w:rPr>
          <w:sz w:val="20"/>
        </w:rPr>
      </w:pPr>
    </w:p>
    <w:p>
      <w:pPr>
        <w:pStyle w:val="BodyText"/>
        <w:spacing w:before="1" w:line="417" w:lineRule="auto"/>
        <w:ind w:left="120" w:right="518"/>
        <w:jc w:val="both"/>
      </w:pPr>
      <w:r>
        <w:rPr>
          <w:spacing w:val="-4"/>
        </w:rPr>
        <w:t>总结来说，宫腔镜手术后并发症的风险评估涉及多个方面，包括患者</w:t>
      </w:r>
      <w:r>
        <w:rPr>
          <w:spacing w:val="-4"/>
        </w:rPr>
        <w:t>自身条件、手术相关因素、设备和技术因素以及术后管理等。通过对</w:t>
      </w:r>
      <w:r>
        <w:rPr>
          <w:spacing w:val="-4"/>
        </w:rPr>
        <w:t>这些因素进行全面分析和综合评估，可以更准确地预测手术风险，并</w:t>
      </w:r>
      <w:r>
        <w:rPr>
          <w:spacing w:val="-5"/>
        </w:rPr>
        <w:t>采取针对性的预防措施以降低并发症发生率。同时，不断提高宫腔镜</w:t>
      </w:r>
    </w:p>
    <w:p>
      <w:pPr>
        <w:spacing w:after="0" w:line="417" w:lineRule="auto"/>
        <w:jc w:val="both"/>
        <w:sectPr>
          <w:footerReference w:type="default" r:id="rId10"/>
          <w:pgSz w:w="11910" w:h="16840"/>
          <w:pgMar w:top="1520" w:right="1280" w:bottom="1380" w:left="1680" w:header="0" w:footer="1195"/>
          <w:pgNumType w:start="6"/>
          <w:cols w:space="708"/>
        </w:sectPr>
      </w:pPr>
    </w:p>
    <w:p>
      <w:pPr>
        <w:pStyle w:val="BodyText"/>
        <w:spacing w:before="37" w:line="417" w:lineRule="auto"/>
        <w:ind w:left="120" w:right="518"/>
      </w:pPr>
      <w:r>
        <w:rPr>
          <w:spacing w:val="-12"/>
        </w:rPr>
        <w:t>手术技术水平、优化手术方案以及改善术后管理策略也将有助于进一</w:t>
      </w:r>
      <w:r>
        <w:rPr>
          <w:spacing w:val="-2"/>
        </w:rPr>
        <w:t>步降低并发症风险，提高手术成功率。</w:t>
      </w:r>
    </w:p>
    <w:p>
      <w:pPr>
        <w:pStyle w:val="BodyText"/>
      </w:pPr>
    </w:p>
    <w:p>
      <w:pPr>
        <w:pStyle w:val="Heading1"/>
        <w:tabs>
          <w:tab w:val="left" w:pos="1725"/>
        </w:tabs>
        <w:spacing w:before="237"/>
        <w:jc w:val="left"/>
      </w:pPr>
      <w:bookmarkStart w:id="2" w:name="_TOC_250007"/>
      <w:r>
        <w:t>第</w:t>
      </w:r>
      <w:r>
        <w:t>三</w:t>
      </w:r>
      <w:r>
        <w:t>部</w:t>
      </w:r>
      <w:r>
        <w:rPr>
          <w:spacing w:val="-10"/>
        </w:rPr>
        <w:t>分</w:t>
      </w:r>
      <w:r>
        <w:tab/>
        <w:t>并</w:t>
      </w:r>
      <w:r>
        <w:t>发</w:t>
      </w:r>
      <w:r>
        <w:t>症</w:t>
      </w:r>
      <w:r>
        <w:t>发</w:t>
      </w:r>
      <w:r>
        <w:t>生</w:t>
      </w:r>
      <w:r>
        <w:t>率</w:t>
      </w:r>
      <w:r>
        <w:t>统</w:t>
      </w:r>
      <w:r>
        <w:t>计</w:t>
      </w:r>
      <w:r>
        <w:t>与</w:t>
      </w:r>
      <w:r>
        <w:t>分</w:t>
      </w:r>
      <w:bookmarkEnd w:id="2"/>
      <w:r>
        <w:rPr>
          <w:spacing w:val="-10"/>
        </w:rPr>
        <w:t>析</w:t>
      </w:r>
    </w:p>
    <w:p>
      <w:pPr>
        <w:pStyle w:val="BodyText"/>
        <w:spacing w:before="4"/>
        <w:rPr>
          <w:rFonts w:ascii="Microsoft JhengHei"/>
          <w:b/>
          <w:sz w:val="23"/>
        </w:rPr>
      </w:pPr>
    </w:p>
    <w:p>
      <w:pPr>
        <w:pStyle w:val="BodyText"/>
        <w:spacing w:line="417" w:lineRule="auto"/>
        <w:ind w:left="120" w:right="518" w:firstLine="560"/>
        <w:jc w:val="both"/>
      </w:pPr>
      <w:r>
        <w:rPr>
          <w:spacing w:val="-7"/>
        </w:rPr>
        <w:t>宫腔镜手术是一种在妇科领域广泛应用的微创技术，其治疗范围</w:t>
      </w:r>
      <w:r>
        <w:rPr>
          <w:spacing w:val="-4"/>
        </w:rPr>
        <w:t>广泛，包括子宫内膜异位症、子宫肌瘤、子宫腺肌病、宫腔粘连等疾病。然而，尽管宫腔镜手术具有创伤小、恢复快等优点，但仍然存在</w:t>
      </w:r>
      <w:r>
        <w:rPr>
          <w:spacing w:val="-2"/>
        </w:rPr>
        <w:t>一定的并发症风险。</w:t>
      </w:r>
    </w:p>
    <w:p>
      <w:pPr>
        <w:pStyle w:val="BodyText"/>
      </w:pPr>
    </w:p>
    <w:p>
      <w:pPr>
        <w:pStyle w:val="BodyText"/>
        <w:spacing w:before="8"/>
        <w:rPr>
          <w:sz w:val="20"/>
        </w:rPr>
      </w:pPr>
    </w:p>
    <w:p>
      <w:pPr>
        <w:pStyle w:val="BodyText"/>
        <w:spacing w:line="417" w:lineRule="auto"/>
        <w:ind w:left="120" w:right="518"/>
        <w:jc w:val="both"/>
      </w:pPr>
      <w:r>
        <w:rPr>
          <w:spacing w:val="-7"/>
        </w:rPr>
        <w:t xml:space="preserve">一项研究统计了 </w:t>
      </w:r>
      <w:r>
        <w:rPr>
          <w:rFonts w:ascii="仿宋" w:eastAsia="仿宋"/>
          <w:spacing w:val="-4"/>
        </w:rPr>
        <w:t>516</w:t>
      </w:r>
      <w:r>
        <w:rPr>
          <w:rFonts w:ascii="仿宋" w:eastAsia="仿宋"/>
          <w:spacing w:val="-27"/>
        </w:rPr>
        <w:t xml:space="preserve"> </w:t>
      </w:r>
      <w:r>
        <w:rPr>
          <w:spacing w:val="-12"/>
        </w:rPr>
        <w:t>例接受宫腔镜手术的患者，其中发生并发症的比</w:t>
      </w:r>
      <w:r>
        <w:t xml:space="preserve">例为 </w:t>
      </w:r>
      <w:r>
        <w:rPr>
          <w:rFonts w:ascii="仿宋" w:eastAsia="仿宋"/>
        </w:rPr>
        <w:t>2.9%</w:t>
      </w:r>
      <w:r>
        <w:t>，其中包括出血、感染、穿孔和损伤等常见并发症。另一</w:t>
      </w:r>
      <w:r>
        <w:rPr>
          <w:spacing w:val="-4"/>
        </w:rPr>
        <w:t xml:space="preserve">项更大规模的研究分析了全国范围内 </w:t>
      </w:r>
      <w:r>
        <w:rPr>
          <w:rFonts w:ascii="仿宋" w:eastAsia="仿宋"/>
          <w:spacing w:val="-2"/>
        </w:rPr>
        <w:t>4307</w:t>
      </w:r>
      <w:r>
        <w:rPr>
          <w:rFonts w:ascii="仿宋" w:eastAsia="仿宋"/>
          <w:spacing w:val="-33"/>
        </w:rPr>
        <w:t xml:space="preserve"> </w:t>
      </w:r>
      <w:r>
        <w:rPr>
          <w:spacing w:val="-2"/>
        </w:rPr>
        <w:t>例宫腔镜手术病例，结果</w:t>
      </w:r>
      <w:r>
        <w:t xml:space="preserve">显示并发症的发生率为 </w:t>
      </w:r>
      <w:r>
        <w:rPr>
          <w:rFonts w:ascii="仿宋" w:eastAsia="仿宋"/>
        </w:rPr>
        <w:t>3.8%</w:t>
      </w:r>
      <w:r>
        <w:t>。这些数据表明，虽然宫腔镜手术的风</w:t>
      </w:r>
      <w:r>
        <w:rPr>
          <w:spacing w:val="-2"/>
        </w:rPr>
        <w:t>险相对较低，但仍需要对并发症进行有效预防和管理。</w:t>
      </w:r>
    </w:p>
    <w:p>
      <w:pPr>
        <w:pStyle w:val="BodyText"/>
      </w:pPr>
    </w:p>
    <w:p>
      <w:pPr>
        <w:pStyle w:val="BodyText"/>
        <w:spacing w:before="8"/>
        <w:rPr>
          <w:sz w:val="20"/>
        </w:rPr>
      </w:pPr>
    </w:p>
    <w:p>
      <w:pPr>
        <w:pStyle w:val="BodyText"/>
        <w:spacing w:line="417" w:lineRule="auto"/>
        <w:ind w:left="120" w:right="518"/>
        <w:jc w:val="both"/>
      </w:pPr>
      <w:r>
        <w:rPr>
          <w:spacing w:val="-4"/>
        </w:rPr>
        <w:t>对于出血这一并发症，一项回顾性研究发现，在接受宫腔镜手术的患</w:t>
      </w:r>
      <w:r>
        <w:t xml:space="preserve">者中，约有 </w:t>
      </w:r>
      <w:r>
        <w:rPr>
          <w:rFonts w:ascii="仿宋" w:eastAsia="仿宋"/>
        </w:rPr>
        <w:t>0.5%</w:t>
      </w:r>
      <w:r>
        <w:t>的患者出现了术中或术后大出血的情况。出血的原</w:t>
      </w:r>
      <w:r>
        <w:rPr>
          <w:spacing w:val="-4"/>
        </w:rPr>
        <w:t>因可能包括操作不当、手术器械故障或患者的个体差异等因素。为了</w:t>
      </w:r>
      <w:r>
        <w:rPr>
          <w:spacing w:val="-4"/>
        </w:rPr>
        <w:t>减少出血的风险，术前评估患者的身体状况，选择合适的手术方式和</w:t>
      </w:r>
      <w:r>
        <w:rPr>
          <w:spacing w:val="-2"/>
        </w:rPr>
        <w:t>技术，并严格遵守手术操作规范是十分重要的。</w:t>
      </w:r>
    </w:p>
    <w:p>
      <w:pPr>
        <w:spacing w:after="0" w:line="417" w:lineRule="auto"/>
        <w:jc w:val="both"/>
        <w:sectPr>
          <w:footerReference w:type="default" r:id="rId11"/>
          <w:pgSz w:w="11910" w:h="16840"/>
          <w:pgMar w:top="1520" w:right="1280" w:bottom="1380" w:left="1680" w:header="0" w:footer="1195"/>
          <w:pgNumType w:start="7"/>
          <w:cols w:space="708"/>
        </w:sectPr>
      </w:pPr>
    </w:p>
    <w:p>
      <w:pPr>
        <w:pStyle w:val="BodyText"/>
        <w:spacing w:before="37" w:line="417" w:lineRule="auto"/>
        <w:ind w:left="120" w:right="518"/>
        <w:jc w:val="both"/>
      </w:pPr>
      <w:r>
        <w:rPr>
          <w:spacing w:val="-4"/>
        </w:rPr>
        <w:t xml:space="preserve">感染也是宫腔镜手术常见的并发症之一，尤其是宫腔内的感染。一项 </w:t>
      </w:r>
      <w:r>
        <w:rPr>
          <w:rFonts w:ascii="仿宋" w:eastAsia="仿宋"/>
          <w:spacing w:val="-2"/>
        </w:rPr>
        <w:t>meta</w:t>
      </w:r>
      <w:r>
        <w:rPr>
          <w:rFonts w:ascii="仿宋" w:eastAsia="仿宋"/>
          <w:spacing w:val="-32"/>
        </w:rPr>
        <w:t xml:space="preserve"> </w:t>
      </w:r>
      <w:r>
        <w:rPr>
          <w:spacing w:val="-4"/>
        </w:rPr>
        <w:t xml:space="preserve">分析发现，宫腔镜手术后感染的发生率为 </w:t>
      </w:r>
      <w:r>
        <w:rPr>
          <w:rFonts w:ascii="仿宋" w:eastAsia="仿宋"/>
          <w:spacing w:val="-2"/>
        </w:rPr>
        <w:t>1.5%</w:t>
      </w:r>
      <w:r>
        <w:rPr>
          <w:spacing w:val="-2"/>
        </w:rPr>
        <w:t>左右。感染的主</w:t>
      </w:r>
      <w:r>
        <w:rPr>
          <w:spacing w:val="-8"/>
        </w:rPr>
        <w:t>要原因可能是术中的无菌操作不严、手术时间过长以及患者自身免疫</w:t>
      </w:r>
      <w:r>
        <w:rPr>
          <w:spacing w:val="-4"/>
        </w:rPr>
        <w:t>力低下等因素。为了防止感染的发生，术前应充分准备，术中严格执</w:t>
      </w:r>
      <w:r>
        <w:rPr>
          <w:spacing w:val="-4"/>
        </w:rPr>
        <w:t>行无菌操作规程，术后加强伤口护理，并对高风险患者给予抗生素预</w:t>
      </w:r>
      <w:r>
        <w:rPr>
          <w:spacing w:val="-6"/>
        </w:rPr>
        <w:t>防。</w:t>
      </w:r>
    </w:p>
    <w:p>
      <w:pPr>
        <w:pStyle w:val="BodyText"/>
      </w:pPr>
    </w:p>
    <w:p>
      <w:pPr>
        <w:pStyle w:val="BodyText"/>
        <w:spacing w:before="7"/>
        <w:rPr>
          <w:sz w:val="20"/>
        </w:rPr>
      </w:pPr>
    </w:p>
    <w:p>
      <w:pPr>
        <w:pStyle w:val="BodyText"/>
        <w:ind w:left="120"/>
      </w:pPr>
      <w:r>
        <w:rPr>
          <w:spacing w:val="-10"/>
        </w:rPr>
        <w:t>宫腔镜手术过程中，由于操作不当或器械问题可能导致穿孔或损伤等</w:t>
      </w:r>
    </w:p>
    <w:p>
      <w:pPr>
        <w:pStyle w:val="BodyText"/>
        <w:spacing w:before="9"/>
        <w:rPr>
          <w:sz w:val="20"/>
        </w:rPr>
      </w:pPr>
    </w:p>
    <w:p>
      <w:pPr>
        <w:pStyle w:val="BodyText"/>
        <w:spacing w:line="417" w:lineRule="auto"/>
        <w:ind w:left="120" w:right="98"/>
      </w:pPr>
      <w:r>
        <w:rPr>
          <w:spacing w:val="-6"/>
        </w:rPr>
        <w:t xml:space="preserve">严重并发症。一项研究显示，宫腔镜手术穿孔的发生率为 </w:t>
      </w:r>
      <w:r>
        <w:rPr>
          <w:rFonts w:ascii="仿宋" w:eastAsia="仿宋"/>
        </w:rPr>
        <w:t>0.1%-1.0%</w:t>
      </w:r>
      <w:r>
        <w:t>，</w:t>
      </w:r>
      <w:r>
        <w:rPr>
          <w:spacing w:val="-3"/>
        </w:rPr>
        <w:t xml:space="preserve">而子宫动脉损伤的发生率约为 </w:t>
      </w:r>
      <w:r>
        <w:rPr>
          <w:rFonts w:ascii="仿宋" w:eastAsia="仿宋"/>
        </w:rPr>
        <w:t>0.1%</w:t>
      </w:r>
      <w:r>
        <w:t>。这些并发症可能会导致严重的</w:t>
      </w:r>
    </w:p>
    <w:p>
      <w:pPr>
        <w:pStyle w:val="BodyText"/>
        <w:spacing w:line="417" w:lineRule="auto"/>
        <w:ind w:left="120" w:right="518"/>
        <w:jc w:val="both"/>
      </w:pPr>
      <w:r>
        <w:rPr>
          <w:spacing w:val="-4"/>
        </w:rPr>
        <w:t>后果，如出血、感染、不孕甚至死亡。因此，术前仔细评估患者的身</w:t>
      </w:r>
      <w:r>
        <w:rPr>
          <w:spacing w:val="-4"/>
        </w:rPr>
        <w:t>体状况，术中谨慎操作并随时监测病情变化，术后及时处理并发症是</w:t>
      </w:r>
      <w:r>
        <w:rPr>
          <w:spacing w:val="-2"/>
        </w:rPr>
        <w:t>非常关键的。</w:t>
      </w:r>
    </w:p>
    <w:p>
      <w:pPr>
        <w:pStyle w:val="BodyText"/>
      </w:pPr>
    </w:p>
    <w:p>
      <w:pPr>
        <w:pStyle w:val="BodyText"/>
        <w:spacing w:before="8"/>
        <w:rPr>
          <w:sz w:val="20"/>
        </w:rPr>
      </w:pPr>
    </w:p>
    <w:p>
      <w:pPr>
        <w:pStyle w:val="BodyText"/>
        <w:spacing w:line="417" w:lineRule="auto"/>
        <w:ind w:left="120" w:right="518"/>
        <w:jc w:val="both"/>
      </w:pPr>
      <w:r>
        <w:rPr>
          <w:spacing w:val="-4"/>
        </w:rPr>
        <w:t>总的来说，宫腔镜手术虽然是一种安全有效的治疗方法，但也存在一</w:t>
      </w:r>
      <w:r>
        <w:rPr>
          <w:spacing w:val="-4"/>
        </w:rPr>
        <w:t>定的并发症风险。通过对并发症的发生率进行统计与分析，可以更好</w:t>
      </w:r>
      <w:r>
        <w:rPr>
          <w:spacing w:val="-4"/>
        </w:rPr>
        <w:t>地了解其发生的规律和危险因素，从而采取相应的预防措施，提高手</w:t>
      </w:r>
      <w:r>
        <w:rPr>
          <w:spacing w:val="-4"/>
        </w:rPr>
        <w:t>术的安全性和成功率。在未来的研究中，还需要进一步探索更有效的</w:t>
      </w:r>
      <w:r>
        <w:rPr>
          <w:spacing w:val="-2"/>
        </w:rPr>
        <w:t>并发症防治策略，以满足临床需求。</w:t>
      </w:r>
    </w:p>
    <w:p>
      <w:pPr>
        <w:spacing w:after="0" w:line="417" w:lineRule="auto"/>
        <w:jc w:val="both"/>
        <w:sectPr>
          <w:footerReference w:type="default" r:id="rId12"/>
          <w:pgSz w:w="11910" w:h="16840"/>
          <w:pgMar w:top="1520" w:right="1280" w:bottom="1380" w:left="1680" w:header="0" w:footer="1195"/>
          <w:pgNumType w:start="8"/>
          <w:cols w:space="708"/>
        </w:sectPr>
      </w:pPr>
    </w:p>
    <w:p>
      <w:pPr>
        <w:pStyle w:val="Heading1"/>
        <w:spacing w:line="514" w:lineRule="exact"/>
      </w:pPr>
      <w:bookmarkStart w:id="3" w:name="_TOC_250006"/>
      <w:r>
        <w:t>第四部分</w:t>
      </w:r>
      <w:r>
        <w:rPr>
          <w:spacing w:val="213"/>
          <w:w w:val="150"/>
        </w:rPr>
        <w:t xml:space="preserve"> </w:t>
      </w:r>
      <w:bookmarkEnd w:id="3"/>
      <w:r>
        <w:rPr>
          <w:spacing w:val="-1"/>
        </w:rPr>
        <w:t>常见并发症类型及症状</w:t>
      </w:r>
    </w:p>
    <w:p>
      <w:pPr>
        <w:pStyle w:val="BodyText"/>
        <w:spacing w:before="3"/>
        <w:rPr>
          <w:rFonts w:ascii="Microsoft JhengHei"/>
          <w:b/>
          <w:sz w:val="23"/>
        </w:rPr>
      </w:pPr>
    </w:p>
    <w:p>
      <w:pPr>
        <w:pStyle w:val="BodyText"/>
        <w:spacing w:line="417" w:lineRule="auto"/>
        <w:ind w:left="120" w:right="238" w:firstLine="560"/>
      </w:pPr>
      <w:r>
        <w:rPr>
          <w:spacing w:val="-2"/>
        </w:rPr>
        <w:t>宫腔镜手术是现代妇科疾病诊疗中常用的一种微创技术。然而，</w:t>
      </w:r>
      <w:r>
        <w:rPr>
          <w:spacing w:val="-2"/>
        </w:rPr>
        <w:t>尽管该技术具有许多优点，如创伤小、恢复快等，但任何手术都有可</w:t>
      </w:r>
      <w:r>
        <w:rPr>
          <w:spacing w:val="-2"/>
        </w:rPr>
        <w:t xml:space="preserve"> </w:t>
      </w:r>
      <w:r>
        <w:rPr>
          <w:spacing w:val="-12"/>
        </w:rPr>
        <w:t>能出现并发症。本节将对宫腔镜手术后常见的并发症类型及其症状进</w:t>
      </w:r>
      <w:r>
        <w:rPr>
          <w:spacing w:val="-2"/>
        </w:rPr>
        <w:t xml:space="preserve"> </w:t>
      </w:r>
      <w:r>
        <w:rPr>
          <w:spacing w:val="-2"/>
        </w:rPr>
        <w:t>行详细介绍。</w:t>
      </w:r>
    </w:p>
    <w:p>
      <w:pPr>
        <w:pStyle w:val="BodyText"/>
      </w:pPr>
    </w:p>
    <w:p>
      <w:pPr>
        <w:pStyle w:val="BodyText"/>
        <w:spacing w:before="8"/>
        <w:rPr>
          <w:sz w:val="20"/>
        </w:rPr>
      </w:pPr>
    </w:p>
    <w:p>
      <w:pPr>
        <w:pStyle w:val="ListParagraph"/>
        <w:numPr>
          <w:ilvl w:val="0"/>
          <w:numId w:val="14"/>
        </w:numPr>
        <w:tabs>
          <w:tab w:val="left" w:pos="540"/>
        </w:tabs>
        <w:spacing w:before="0" w:after="0" w:line="240" w:lineRule="auto"/>
        <w:ind w:left="540" w:right="0" w:hanging="420"/>
        <w:jc w:val="left"/>
        <w:rPr>
          <w:sz w:val="28"/>
        </w:rPr>
      </w:pPr>
      <w:r>
        <w:rPr>
          <w:spacing w:val="-5"/>
          <w:sz w:val="28"/>
        </w:rPr>
        <w:t>出血</w:t>
      </w:r>
    </w:p>
    <w:p>
      <w:pPr>
        <w:pStyle w:val="BodyText"/>
      </w:pPr>
    </w:p>
    <w:p>
      <w:pPr>
        <w:pStyle w:val="BodyText"/>
        <w:spacing w:before="5"/>
        <w:rPr>
          <w:sz w:val="41"/>
        </w:rPr>
      </w:pPr>
    </w:p>
    <w:p>
      <w:pPr>
        <w:pStyle w:val="BodyText"/>
        <w:spacing w:before="1" w:line="417" w:lineRule="auto"/>
        <w:ind w:left="120" w:right="518"/>
        <w:jc w:val="both"/>
      </w:pPr>
      <w:r>
        <w:rPr>
          <w:spacing w:val="-4"/>
        </w:rPr>
        <w:t>出血是宫腔镜手术最常见的并发症之一。根据出血程度不同，可分为</w:t>
      </w:r>
      <w:r>
        <w:rPr>
          <w:spacing w:val="-28"/>
        </w:rPr>
        <w:t>轻度出血</w:t>
      </w:r>
      <w:r>
        <w:rPr>
          <w:spacing w:val="-2"/>
        </w:rPr>
        <w:t>（少量阴道出血</w:t>
      </w:r>
      <w:r>
        <w:rPr>
          <w:spacing w:val="-140"/>
        </w:rPr>
        <w:t>）</w:t>
      </w:r>
      <w:r>
        <w:rPr>
          <w:spacing w:val="-43"/>
        </w:rPr>
        <w:t>、中度出血</w:t>
      </w:r>
      <w:r>
        <w:rPr>
          <w:spacing w:val="-2"/>
        </w:rPr>
        <w:t>（大量阴道出血</w:t>
      </w:r>
      <w:r>
        <w:rPr>
          <w:spacing w:val="-104"/>
        </w:rPr>
        <w:t>）</w:t>
      </w:r>
      <w:r>
        <w:rPr>
          <w:spacing w:val="-23"/>
        </w:rPr>
        <w:t>和重度出血</w:t>
      </w:r>
      <w:r>
        <w:rPr>
          <w:spacing w:val="-2"/>
        </w:rPr>
        <w:t>（需</w:t>
      </w:r>
      <w:r>
        <w:rPr>
          <w:spacing w:val="-2"/>
        </w:rPr>
        <w:t>要输血或再次手术止血</w:t>
      </w:r>
      <w:r>
        <w:rPr>
          <w:spacing w:val="-139"/>
        </w:rPr>
        <w:t>）</w:t>
      </w:r>
      <w:r>
        <w:rPr>
          <w:spacing w:val="-2"/>
        </w:rPr>
        <w:t>。出血的原因可能是术中损伤血管、子宫收</w:t>
      </w:r>
      <w:r>
        <w:rPr>
          <w:spacing w:val="-2"/>
        </w:rPr>
        <w:t>缩不良或凝血功能障碍等。</w:t>
      </w:r>
    </w:p>
    <w:p>
      <w:pPr>
        <w:pStyle w:val="BodyText"/>
      </w:pPr>
    </w:p>
    <w:p>
      <w:pPr>
        <w:pStyle w:val="BodyText"/>
        <w:spacing w:before="7"/>
        <w:rPr>
          <w:sz w:val="20"/>
        </w:rPr>
      </w:pPr>
    </w:p>
    <w:p>
      <w:pPr>
        <w:pStyle w:val="ListParagraph"/>
        <w:numPr>
          <w:ilvl w:val="0"/>
          <w:numId w:val="14"/>
        </w:numPr>
        <w:tabs>
          <w:tab w:val="left" w:pos="540"/>
        </w:tabs>
        <w:spacing w:before="1" w:after="0" w:line="240" w:lineRule="auto"/>
        <w:ind w:left="540" w:right="0" w:hanging="420"/>
        <w:jc w:val="left"/>
        <w:rPr>
          <w:sz w:val="28"/>
        </w:rPr>
      </w:pPr>
      <w:r>
        <w:rPr>
          <w:spacing w:val="-5"/>
          <w:sz w:val="28"/>
        </w:rPr>
        <w:t>感染</w:t>
      </w:r>
    </w:p>
    <w:p>
      <w:pPr>
        <w:pStyle w:val="BodyText"/>
      </w:pPr>
    </w:p>
    <w:p>
      <w:pPr>
        <w:pStyle w:val="BodyText"/>
        <w:spacing w:before="5"/>
        <w:rPr>
          <w:sz w:val="41"/>
        </w:rPr>
      </w:pPr>
    </w:p>
    <w:p>
      <w:pPr>
        <w:pStyle w:val="BodyText"/>
        <w:spacing w:line="417" w:lineRule="auto"/>
        <w:ind w:left="120" w:right="518"/>
        <w:jc w:val="both"/>
      </w:pPr>
      <w:r>
        <w:rPr>
          <w:spacing w:val="-4"/>
        </w:rPr>
        <w:t>感染也是宫腔镜手术的常见并发症。表现为发热、腹痛、恶臭分泌物</w:t>
      </w:r>
      <w:r>
        <w:rPr>
          <w:spacing w:val="-4"/>
        </w:rPr>
        <w:t>等症状。感染的原因可能包括术前准备不足、手术操作不规范、器械</w:t>
      </w:r>
      <w:r>
        <w:rPr>
          <w:spacing w:val="-2"/>
        </w:rPr>
        <w:t>消毒不当等。</w:t>
      </w:r>
    </w:p>
    <w:p>
      <w:pPr>
        <w:pStyle w:val="BodyText"/>
      </w:pPr>
    </w:p>
    <w:p>
      <w:pPr>
        <w:pStyle w:val="BodyText"/>
        <w:spacing w:before="8"/>
        <w:rPr>
          <w:sz w:val="20"/>
        </w:rPr>
      </w:pPr>
    </w:p>
    <w:p>
      <w:pPr>
        <w:pStyle w:val="ListParagraph"/>
        <w:numPr>
          <w:ilvl w:val="0"/>
          <w:numId w:val="14"/>
        </w:numPr>
        <w:tabs>
          <w:tab w:val="left" w:pos="540"/>
        </w:tabs>
        <w:spacing w:before="0" w:after="0" w:line="240" w:lineRule="auto"/>
        <w:ind w:left="540" w:right="0" w:hanging="420"/>
        <w:jc w:val="left"/>
        <w:rPr>
          <w:sz w:val="28"/>
        </w:rPr>
      </w:pPr>
      <w:r>
        <w:rPr>
          <w:spacing w:val="-5"/>
          <w:sz w:val="28"/>
        </w:rPr>
        <w:t>穿孔</w:t>
      </w:r>
    </w:p>
    <w:p>
      <w:pPr>
        <w:pStyle w:val="BodyText"/>
      </w:pPr>
    </w:p>
    <w:p>
      <w:pPr>
        <w:pStyle w:val="BodyText"/>
        <w:spacing w:before="5"/>
        <w:rPr>
          <w:sz w:val="41"/>
        </w:rPr>
      </w:pPr>
    </w:p>
    <w:p>
      <w:pPr>
        <w:pStyle w:val="BodyText"/>
        <w:ind w:left="120"/>
      </w:pPr>
      <w:r>
        <w:rPr>
          <w:spacing w:val="-5"/>
        </w:rPr>
        <w:t>穿孔是指宫腔镜手术过程中器械穿透子宫壁导致的并发症。症状可能</w:t>
      </w:r>
    </w:p>
    <w:p>
      <w:pPr>
        <w:spacing w:after="0"/>
        <w:sectPr>
          <w:footerReference w:type="default" r:id="rId13"/>
          <w:pgSz w:w="11910" w:h="16840"/>
          <w:pgMar w:top="1500" w:right="1280" w:bottom="1380" w:left="1680" w:header="0" w:footer="1195"/>
          <w:pgNumType w:start="9"/>
          <w:cols w:space="708"/>
        </w:sectPr>
      </w:pPr>
    </w:p>
    <w:p>
      <w:pPr>
        <w:pStyle w:val="BodyText"/>
        <w:spacing w:before="37" w:line="417" w:lineRule="auto"/>
        <w:ind w:left="120" w:right="518"/>
      </w:pPr>
      <w:r>
        <w:rPr>
          <w:spacing w:val="-4"/>
        </w:rPr>
        <w:t>包括腹痛、腹胀、恶心呕吐等。穿孔的发生与医师的经验水平、手术</w:t>
      </w:r>
      <w:r>
        <w:rPr>
          <w:spacing w:val="-2"/>
        </w:rPr>
        <w:t>技巧等因素有关。</w:t>
      </w:r>
    </w:p>
    <w:p>
      <w:pPr>
        <w:pStyle w:val="BodyText"/>
      </w:pPr>
    </w:p>
    <w:p>
      <w:pPr>
        <w:pStyle w:val="BodyText"/>
        <w:spacing w:before="8"/>
        <w:rPr>
          <w:sz w:val="20"/>
        </w:rPr>
      </w:pPr>
    </w:p>
    <w:p>
      <w:pPr>
        <w:pStyle w:val="ListParagraph"/>
        <w:numPr>
          <w:ilvl w:val="0"/>
          <w:numId w:val="14"/>
        </w:numPr>
        <w:tabs>
          <w:tab w:val="left" w:pos="540"/>
        </w:tabs>
        <w:spacing w:before="0" w:after="0" w:line="240" w:lineRule="auto"/>
        <w:ind w:left="540" w:right="0" w:hanging="420"/>
        <w:jc w:val="left"/>
        <w:rPr>
          <w:sz w:val="28"/>
        </w:rPr>
      </w:pPr>
      <w:r>
        <w:rPr>
          <w:spacing w:val="-2"/>
          <w:sz w:val="28"/>
        </w:rPr>
        <w:t>电解质紊乱</w:t>
      </w:r>
    </w:p>
    <w:p>
      <w:pPr>
        <w:pStyle w:val="BodyText"/>
      </w:pPr>
    </w:p>
    <w:p>
      <w:pPr>
        <w:pStyle w:val="BodyText"/>
        <w:spacing w:before="5"/>
        <w:rPr>
          <w:sz w:val="41"/>
        </w:rPr>
      </w:pPr>
    </w:p>
    <w:p>
      <w:pPr>
        <w:pStyle w:val="BodyText"/>
        <w:spacing w:line="417" w:lineRule="auto"/>
        <w:ind w:left="120" w:right="378"/>
        <w:jc w:val="both"/>
      </w:pPr>
      <w:r>
        <w:rPr>
          <w:spacing w:val="-7"/>
        </w:rPr>
        <w:t>由于宫腔镜手术通常需要灌注液体以维持视野清晰，因此可能发生电</w:t>
      </w:r>
      <w:r>
        <w:rPr>
          <w:spacing w:val="-2"/>
        </w:rPr>
        <w:t>解质紊乱。其临床表现包括心律失常、肌肉痉挛、意识模糊等。电解</w:t>
      </w:r>
      <w:r>
        <w:rPr>
          <w:spacing w:val="-15"/>
        </w:rPr>
        <w:t>质紊乱的发生与灌注液的选择、灌注速度、患者个体差异等因素有关。</w:t>
      </w:r>
    </w:p>
    <w:p>
      <w:pPr>
        <w:pStyle w:val="BodyText"/>
      </w:pPr>
    </w:p>
    <w:p>
      <w:pPr>
        <w:pStyle w:val="BodyText"/>
        <w:spacing w:before="8"/>
        <w:rPr>
          <w:sz w:val="20"/>
        </w:rPr>
      </w:pPr>
    </w:p>
    <w:p>
      <w:pPr>
        <w:pStyle w:val="ListParagraph"/>
        <w:numPr>
          <w:ilvl w:val="0"/>
          <w:numId w:val="14"/>
        </w:numPr>
        <w:tabs>
          <w:tab w:val="left" w:pos="540"/>
        </w:tabs>
        <w:spacing w:before="1" w:after="0" w:line="240" w:lineRule="auto"/>
        <w:ind w:left="540" w:right="0" w:hanging="420"/>
        <w:jc w:val="left"/>
        <w:rPr>
          <w:sz w:val="28"/>
        </w:rPr>
      </w:pPr>
      <w:r>
        <w:rPr>
          <w:spacing w:val="-3"/>
          <w:sz w:val="28"/>
        </w:rPr>
        <w:t>肠道损伤</w:t>
      </w:r>
    </w:p>
    <w:p>
      <w:pPr>
        <w:pStyle w:val="BodyText"/>
      </w:pPr>
    </w:p>
    <w:p>
      <w:pPr>
        <w:pStyle w:val="BodyText"/>
        <w:spacing w:before="5"/>
        <w:rPr>
          <w:sz w:val="41"/>
        </w:rPr>
      </w:pPr>
    </w:p>
    <w:p>
      <w:pPr>
        <w:pStyle w:val="BodyText"/>
        <w:spacing w:line="417" w:lineRule="auto"/>
        <w:ind w:left="120" w:right="518"/>
        <w:jc w:val="both"/>
      </w:pPr>
      <w:r>
        <w:rPr>
          <w:spacing w:val="-4"/>
        </w:rPr>
        <w:t>肠道损伤是宫腔镜手术较为严重的并发症，可能导致肠梗阻、腹膜炎</w:t>
      </w:r>
      <w:r>
        <w:rPr>
          <w:spacing w:val="-4"/>
        </w:rPr>
        <w:t>等症状。发生原因可能与医师的操作技能、手术部位临近肠道等因素</w:t>
      </w:r>
      <w:r>
        <w:rPr>
          <w:spacing w:val="-4"/>
        </w:rPr>
        <w:t>有关。</w:t>
      </w:r>
    </w:p>
    <w:p>
      <w:pPr>
        <w:pStyle w:val="BodyText"/>
      </w:pPr>
    </w:p>
    <w:p>
      <w:pPr>
        <w:pStyle w:val="BodyText"/>
        <w:spacing w:before="8"/>
        <w:rPr>
          <w:sz w:val="20"/>
        </w:rPr>
      </w:pPr>
    </w:p>
    <w:p>
      <w:pPr>
        <w:pStyle w:val="ListParagraph"/>
        <w:numPr>
          <w:ilvl w:val="0"/>
          <w:numId w:val="14"/>
        </w:numPr>
        <w:tabs>
          <w:tab w:val="left" w:pos="540"/>
        </w:tabs>
        <w:spacing w:before="0" w:after="0" w:line="240" w:lineRule="auto"/>
        <w:ind w:left="540" w:right="0" w:hanging="420"/>
        <w:jc w:val="left"/>
        <w:rPr>
          <w:sz w:val="28"/>
        </w:rPr>
      </w:pPr>
      <w:r>
        <w:rPr>
          <w:spacing w:val="-3"/>
          <w:sz w:val="28"/>
        </w:rPr>
        <w:t>宫腔粘连</w:t>
      </w:r>
    </w:p>
    <w:p>
      <w:pPr>
        <w:pStyle w:val="BodyText"/>
      </w:pPr>
    </w:p>
    <w:p>
      <w:pPr>
        <w:pStyle w:val="BodyText"/>
        <w:spacing w:before="5"/>
        <w:rPr>
          <w:sz w:val="41"/>
        </w:rPr>
      </w:pPr>
    </w:p>
    <w:p>
      <w:pPr>
        <w:pStyle w:val="BodyText"/>
        <w:spacing w:line="417" w:lineRule="auto"/>
        <w:ind w:left="120" w:right="518"/>
        <w:jc w:val="both"/>
      </w:pPr>
      <w:r>
        <w:rPr>
          <w:spacing w:val="-4"/>
        </w:rPr>
        <w:t>宫腔粘连是指宫腔内组织之间的粘连，可能导致不孕症、月经异常等</w:t>
      </w:r>
      <w:r>
        <w:rPr>
          <w:spacing w:val="-4"/>
        </w:rPr>
        <w:t>症状。宫腔粘连的发生与手术创面愈合过程中的炎症反应、纤维化过</w:t>
      </w:r>
      <w:r>
        <w:rPr>
          <w:spacing w:val="-2"/>
        </w:rPr>
        <w:t>程等因素有关。</w:t>
      </w:r>
    </w:p>
    <w:p>
      <w:pPr>
        <w:pStyle w:val="BodyText"/>
      </w:pPr>
    </w:p>
    <w:p>
      <w:pPr>
        <w:pStyle w:val="BodyText"/>
        <w:spacing w:before="8"/>
        <w:rPr>
          <w:sz w:val="20"/>
        </w:rPr>
      </w:pPr>
    </w:p>
    <w:p>
      <w:pPr>
        <w:pStyle w:val="BodyText"/>
        <w:spacing w:before="1"/>
        <w:ind w:left="120"/>
      </w:pPr>
      <w:r>
        <w:rPr>
          <w:spacing w:val="-1"/>
        </w:rPr>
        <w:t>对于上述并发症，有效的风险评估和预防措施是非常重要的。例如，</w:t>
      </w:r>
    </w:p>
    <w:p>
      <w:pPr>
        <w:spacing w:after="0"/>
        <w:sectPr>
          <w:footerReference w:type="default" r:id="rId14"/>
          <w:pgSz w:w="11910" w:h="16840"/>
          <w:pgMar w:top="1520" w:right="1280" w:bottom="1380" w:left="1680" w:header="0" w:footer="1195"/>
          <w:pgNumType w:start="10"/>
          <w:cols w:space="708"/>
        </w:sectPr>
      </w:pPr>
    </w:p>
    <w:p>
      <w:pPr>
        <w:pStyle w:val="BodyText"/>
        <w:spacing w:before="37" w:line="417" w:lineRule="auto"/>
        <w:ind w:left="120" w:right="244"/>
      </w:pPr>
      <w:r>
        <w:rPr>
          <w:spacing w:val="-2"/>
        </w:rPr>
        <w:t>通过详细的病史询问、全面的身体检查以及必要的辅助检查，可以对</w:t>
      </w:r>
      <w:r>
        <w:rPr>
          <w:spacing w:val="-2"/>
        </w:rPr>
        <w:t xml:space="preserve"> </w:t>
      </w:r>
      <w:r>
        <w:rPr>
          <w:spacing w:val="-2"/>
        </w:rPr>
        <w:t>患者是否存在高风险因素进行评估。在手术过程中，应遵循严格的无</w:t>
      </w:r>
      <w:r>
        <w:rPr>
          <w:spacing w:val="-2"/>
        </w:rPr>
        <w:t xml:space="preserve"> </w:t>
      </w:r>
      <w:r>
        <w:rPr>
          <w:spacing w:val="-2"/>
        </w:rPr>
        <w:t>菌原则、精细的操作技巧，并根据患者的实际情况选择适当的灌注液</w:t>
      </w:r>
      <w:r>
        <w:rPr>
          <w:spacing w:val="-2"/>
        </w:rPr>
        <w:t xml:space="preserve"> </w:t>
      </w:r>
      <w:r>
        <w:rPr>
          <w:spacing w:val="-2"/>
        </w:rPr>
        <w:t>和灌注速度。术后应密切观察患者的病情变化，及时发现并处理可能</w:t>
      </w:r>
      <w:r>
        <w:rPr>
          <w:spacing w:val="-2"/>
        </w:rPr>
        <w:t xml:space="preserve"> </w:t>
      </w:r>
      <w:r>
        <w:rPr>
          <w:spacing w:val="-2"/>
        </w:rPr>
        <w:t>的并发症。同时，定期随访和复查也是监测并发症发生的重要手段。</w:t>
      </w:r>
    </w:p>
    <w:p>
      <w:pPr>
        <w:pStyle w:val="BodyText"/>
      </w:pPr>
    </w:p>
    <w:p>
      <w:pPr>
        <w:pStyle w:val="BodyText"/>
        <w:spacing w:before="7"/>
        <w:rPr>
          <w:sz w:val="20"/>
        </w:rPr>
      </w:pPr>
    </w:p>
    <w:p>
      <w:pPr>
        <w:pStyle w:val="BodyText"/>
        <w:spacing w:line="417" w:lineRule="auto"/>
        <w:ind w:left="120" w:right="518"/>
        <w:jc w:val="both"/>
      </w:pPr>
      <w:r>
        <w:rPr>
          <w:spacing w:val="-4"/>
        </w:rPr>
        <w:t>总的来说，虽然宫腔镜手术是一种安全有效的治疗手段，但仍然存在</w:t>
      </w:r>
      <w:r>
        <w:rPr>
          <w:spacing w:val="-4"/>
        </w:rPr>
        <w:t>一定的并发症风险。通过对并发症的充分认识和合理管理，我们可以</w:t>
      </w:r>
      <w:r>
        <w:rPr>
          <w:spacing w:val="-2"/>
        </w:rPr>
        <w:t>最大限度地降低并发症的风险，提高手术的安全性和有效性。</w:t>
      </w:r>
    </w:p>
    <w:p>
      <w:pPr>
        <w:pStyle w:val="BodyText"/>
      </w:pPr>
    </w:p>
    <w:p>
      <w:pPr>
        <w:pStyle w:val="Heading1"/>
        <w:spacing w:before="238"/>
      </w:pPr>
      <w:bookmarkStart w:id="4" w:name="_TOC_250005"/>
      <w:r>
        <w:t>第五部分</w:t>
      </w:r>
      <w:r>
        <w:rPr>
          <w:spacing w:val="213"/>
          <w:w w:val="150"/>
        </w:rPr>
        <w:t xml:space="preserve"> </w:t>
      </w:r>
      <w:bookmarkEnd w:id="4"/>
      <w:r>
        <w:rPr>
          <w:spacing w:val="-1"/>
        </w:rPr>
        <w:t>高风险人群识别与评估</w:t>
      </w:r>
    </w:p>
    <w:p>
      <w:pPr>
        <w:pStyle w:val="BodyText"/>
        <w:spacing w:before="3"/>
        <w:rPr>
          <w:rFonts w:ascii="Microsoft JhengHei"/>
          <w:b/>
          <w:sz w:val="23"/>
        </w:rPr>
      </w:pPr>
    </w:p>
    <w:p>
      <w:pPr>
        <w:pStyle w:val="BodyText"/>
        <w:spacing w:before="1" w:line="417" w:lineRule="auto"/>
        <w:ind w:left="120" w:right="518" w:firstLine="560"/>
      </w:pPr>
      <w:r>
        <w:rPr>
          <w:spacing w:val="-2"/>
        </w:rPr>
        <w:t>宫腔镜手术后并发症的风险评估和预防措施探究</w:t>
      </w:r>
      <w:r>
        <w:rPr>
          <w:rFonts w:ascii="仿宋" w:eastAsia="仿宋" w:hAnsi="仿宋"/>
          <w:spacing w:val="-2"/>
        </w:rPr>
        <w:t>——</w:t>
      </w:r>
      <w:r>
        <w:rPr>
          <w:spacing w:val="-2"/>
        </w:rPr>
        <w:t>高风险人</w:t>
      </w:r>
      <w:r>
        <w:rPr>
          <w:spacing w:val="-2"/>
        </w:rPr>
        <w:t>群识别与评估</w:t>
      </w:r>
    </w:p>
    <w:p>
      <w:pPr>
        <w:pStyle w:val="BodyText"/>
      </w:pPr>
    </w:p>
    <w:p>
      <w:pPr>
        <w:pStyle w:val="BodyText"/>
        <w:spacing w:before="8"/>
        <w:rPr>
          <w:sz w:val="20"/>
        </w:rPr>
      </w:pPr>
    </w:p>
    <w:p>
      <w:pPr>
        <w:pStyle w:val="BodyText"/>
        <w:spacing w:line="417" w:lineRule="auto"/>
        <w:ind w:left="120" w:right="518"/>
        <w:jc w:val="both"/>
      </w:pPr>
      <w:r>
        <w:rPr>
          <w:spacing w:val="-4"/>
        </w:rPr>
        <w:t>宫腔镜手术是一种常见的妇科微创手术，通过观察宫腔内部情况、诊</w:t>
      </w:r>
      <w:r>
        <w:rPr>
          <w:spacing w:val="-4"/>
        </w:rPr>
        <w:t>断和治疗多种疾病。然而，宫腔镜手术并非无风险操作，术后可能出</w:t>
      </w:r>
      <w:r>
        <w:rPr>
          <w:spacing w:val="-4"/>
        </w:rPr>
        <w:t>现一系列并发症，如出血、感染、穿孔等。因此，了解和评估高风险</w:t>
      </w:r>
      <w:r>
        <w:rPr>
          <w:spacing w:val="-2"/>
        </w:rPr>
        <w:t>人群对于降低并发症发生率具有重要意义。</w:t>
      </w:r>
    </w:p>
    <w:p>
      <w:pPr>
        <w:pStyle w:val="BodyText"/>
      </w:pPr>
    </w:p>
    <w:p>
      <w:pPr>
        <w:pStyle w:val="BodyText"/>
        <w:spacing w:before="8"/>
        <w:rPr>
          <w:sz w:val="20"/>
        </w:rPr>
      </w:pPr>
    </w:p>
    <w:p>
      <w:pPr>
        <w:pStyle w:val="ListParagraph"/>
        <w:numPr>
          <w:ilvl w:val="0"/>
          <w:numId w:val="13"/>
        </w:numPr>
        <w:tabs>
          <w:tab w:val="left" w:pos="540"/>
        </w:tabs>
        <w:spacing w:before="0" w:after="0" w:line="240" w:lineRule="auto"/>
        <w:ind w:left="540" w:right="0" w:hanging="420"/>
        <w:jc w:val="left"/>
        <w:rPr>
          <w:sz w:val="28"/>
        </w:rPr>
      </w:pPr>
      <w:r>
        <w:rPr>
          <w:spacing w:val="-2"/>
          <w:sz w:val="28"/>
        </w:rPr>
        <w:t>高风险人群识别</w:t>
      </w:r>
    </w:p>
    <w:p>
      <w:pPr>
        <w:pStyle w:val="BodyText"/>
        <w:spacing w:before="9"/>
        <w:rPr>
          <w:sz w:val="20"/>
        </w:rPr>
      </w:pPr>
    </w:p>
    <w:p>
      <w:pPr>
        <w:pStyle w:val="BodyText"/>
        <w:ind w:left="120"/>
      </w:pPr>
      <w:r>
        <w:rPr>
          <w:spacing w:val="-5"/>
        </w:rPr>
        <w:t>高风险人群是指在宫腔镜手术后较易出现并发症的患者群体。以下是</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https://d.book118.com/318053065125006043</w:t>
        </w:r>
      </w:hyperlink>
    </w:p>
    <w:p>
      <w:pPr>
        <w:spacing w:after="0"/>
      </w:pPr>
    </w:p>
    <w:sectPr>
      <w:footerReference w:type="default" r:id="rId16"/>
      <w:pgSz w:w="11910" w:h="16840"/>
      <w:pgMar w:top="1520" w:right="1280" w:bottom="1380" w:left="1680" w:header="0" w:footer="1195"/>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8pt;height:11pt;margin-top:771.15pt;margin-left:284pt;mso-position-horizontal-relative:page;mso-position-vertical-relative:page;position:absolute;z-index:-251658240"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8pt;height:11pt;margin-top:771.15pt;margin-left:284pt;mso-position-horizontal-relative:page;mso-position-vertical-relative:page;position:absolute;z-index:-251657216"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2</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8pt;height:11pt;margin-top:771.15pt;margin-left:284pt;mso-position-horizontal-relative:page;mso-position-vertical-relative:page;position:absolute;z-index:-251656192"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3</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8pt;height:11pt;margin-top:771.15pt;margin-left:284pt;mso-position-horizontal-relative:page;mso-position-vertical-relative:page;position:absolute;z-index:-251655168"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4</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8pt;height:11pt;margin-top:771.15pt;margin-left:284pt;mso-position-horizontal-relative:page;mso-position-vertical-relative:page;position:absolute;z-index:-251654144"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5</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8pt;height:11pt;margin-top:771.15pt;margin-left:284pt;mso-position-horizontal-relative:page;mso-position-vertical-relative:page;position:absolute;z-index:-251653120"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6</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8pt;height:11pt;margin-top:771.15pt;margin-left:284pt;mso-position-horizontal-relative:page;mso-position-vertical-relative:page;position:absolute;z-index:-251652096"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7</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8pt;height:11pt;margin-top:771.15pt;margin-left:284pt;mso-position-horizontal-relative:page;mso-position-vertical-relative:page;position:absolute;z-index:-251651072"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8</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8pt;height:11pt;margin-top:771.15pt;margin-left:284pt;mso-position-horizontal-relative:page;mso-position-vertical-relative:page;position:absolute;z-index:-251650048"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9</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8pt;height:11pt;margin-top:771.15pt;margin-left:284pt;mso-position-horizontal-relative:page;mso-position-vertical-relative:page;position:absolute;z-index:-251649024"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10</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9.8pt;height:11pt;margin-top:771.15pt;margin-left:284pt;mso-position-horizontal-relative:page;mso-position-vertical-relative:page;position:absolute;z-index:-251648000"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11</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11</w:t>
                </w:r>
                <w:r>
                  <w:rPr>
                    <w:rFonts w:ascii="Calibri"/>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E2525E"/>
    <w:multiLevelType w:val="hybridMultilevel"/>
    <w:tmpl w:val="00000000"/>
    <w:lvl w:ilvl="0">
      <w:start w:val="1"/>
      <w:numFmt w:val="decimal"/>
      <w:lvlText w:val="(%1)"/>
      <w:lvlJc w:val="left"/>
      <w:pPr>
        <w:ind w:left="120" w:hanging="421"/>
        <w:jc w:val="left"/>
      </w:pPr>
      <w:rPr>
        <w:rFonts w:ascii="仿宋" w:eastAsia="仿宋" w:hAnsi="仿宋" w:cs="仿宋" w:hint="default"/>
        <w:b w:val="0"/>
        <w:bCs w:val="0"/>
        <w:i w:val="0"/>
        <w:iCs w:val="0"/>
        <w:w w:val="100"/>
        <w:sz w:val="26"/>
        <w:szCs w:val="26"/>
        <w:lang w:val="en-US" w:eastAsia="zh-CN" w:bidi="ar-SA"/>
      </w:rPr>
    </w:lvl>
    <w:lvl w:ilvl="1">
      <w:start w:val="0"/>
      <w:numFmt w:val="bullet"/>
      <w:lvlText w:val="•"/>
      <w:lvlJc w:val="left"/>
      <w:pPr>
        <w:ind w:left="1002" w:hanging="421"/>
      </w:pPr>
      <w:rPr>
        <w:rFonts w:hint="default"/>
        <w:lang w:val="en-US" w:eastAsia="zh-CN" w:bidi="ar-SA"/>
      </w:rPr>
    </w:lvl>
    <w:lvl w:ilvl="2">
      <w:start w:val="0"/>
      <w:numFmt w:val="bullet"/>
      <w:lvlText w:val="•"/>
      <w:lvlJc w:val="left"/>
      <w:pPr>
        <w:ind w:left="1885" w:hanging="421"/>
      </w:pPr>
      <w:rPr>
        <w:rFonts w:hint="default"/>
        <w:lang w:val="en-US" w:eastAsia="zh-CN" w:bidi="ar-SA"/>
      </w:rPr>
    </w:lvl>
    <w:lvl w:ilvl="3">
      <w:start w:val="0"/>
      <w:numFmt w:val="bullet"/>
      <w:lvlText w:val="•"/>
      <w:lvlJc w:val="left"/>
      <w:pPr>
        <w:ind w:left="2767" w:hanging="421"/>
      </w:pPr>
      <w:rPr>
        <w:rFonts w:hint="default"/>
        <w:lang w:val="en-US" w:eastAsia="zh-CN" w:bidi="ar-SA"/>
      </w:rPr>
    </w:lvl>
    <w:lvl w:ilvl="4">
      <w:start w:val="0"/>
      <w:numFmt w:val="bullet"/>
      <w:lvlText w:val="•"/>
      <w:lvlJc w:val="left"/>
      <w:pPr>
        <w:ind w:left="3650" w:hanging="421"/>
      </w:pPr>
      <w:rPr>
        <w:rFonts w:hint="default"/>
        <w:lang w:val="en-US" w:eastAsia="zh-CN" w:bidi="ar-SA"/>
      </w:rPr>
    </w:lvl>
    <w:lvl w:ilvl="5">
      <w:start w:val="0"/>
      <w:numFmt w:val="bullet"/>
      <w:lvlText w:val="•"/>
      <w:lvlJc w:val="left"/>
      <w:pPr>
        <w:ind w:left="4533" w:hanging="421"/>
      </w:pPr>
      <w:rPr>
        <w:rFonts w:hint="default"/>
        <w:lang w:val="en-US" w:eastAsia="zh-CN" w:bidi="ar-SA"/>
      </w:rPr>
    </w:lvl>
    <w:lvl w:ilvl="6">
      <w:start w:val="0"/>
      <w:numFmt w:val="bullet"/>
      <w:lvlText w:val="•"/>
      <w:lvlJc w:val="left"/>
      <w:pPr>
        <w:ind w:left="5415" w:hanging="421"/>
      </w:pPr>
      <w:rPr>
        <w:rFonts w:hint="default"/>
        <w:lang w:val="en-US" w:eastAsia="zh-CN" w:bidi="ar-SA"/>
      </w:rPr>
    </w:lvl>
    <w:lvl w:ilvl="7">
      <w:start w:val="0"/>
      <w:numFmt w:val="bullet"/>
      <w:lvlText w:val="•"/>
      <w:lvlJc w:val="left"/>
      <w:pPr>
        <w:ind w:left="6298" w:hanging="421"/>
      </w:pPr>
      <w:rPr>
        <w:rFonts w:hint="default"/>
        <w:lang w:val="en-US" w:eastAsia="zh-CN" w:bidi="ar-SA"/>
      </w:rPr>
    </w:lvl>
    <w:lvl w:ilvl="8">
      <w:start w:val="0"/>
      <w:numFmt w:val="bullet"/>
      <w:lvlText w:val="•"/>
      <w:lvlJc w:val="left"/>
      <w:pPr>
        <w:ind w:left="7180" w:hanging="421"/>
      </w:pPr>
      <w:rPr>
        <w:rFonts w:hint="default"/>
        <w:lang w:val="en-US" w:eastAsia="zh-CN" w:bidi="ar-SA"/>
      </w:rPr>
    </w:lvl>
  </w:abstractNum>
  <w:abstractNum w:abstractNumId="1">
    <w:nsid w:val="18F713C0"/>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
    <w:nsid w:val="2AFE8CCC"/>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3">
    <w:nsid w:val="2C5ECD7E"/>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4">
    <w:nsid w:val="30BFCB4E"/>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5">
    <w:nsid w:val="354A9F05"/>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6">
    <w:nsid w:val="41A80E41"/>
    <w:multiLevelType w:val="hybridMultilevel"/>
    <w:tmpl w:val="00000000"/>
    <w:lvl w:ilvl="0">
      <w:start w:val="1"/>
      <w:numFmt w:val="decimal"/>
      <w:lvlText w:val="(%1)"/>
      <w:lvlJc w:val="left"/>
      <w:pPr>
        <w:ind w:left="120" w:hanging="421"/>
        <w:jc w:val="left"/>
      </w:pPr>
      <w:rPr>
        <w:rFonts w:ascii="仿宋" w:eastAsia="仿宋" w:hAnsi="仿宋" w:cs="仿宋" w:hint="default"/>
        <w:b w:val="0"/>
        <w:bCs w:val="0"/>
        <w:i w:val="0"/>
        <w:iCs w:val="0"/>
        <w:w w:val="100"/>
        <w:sz w:val="26"/>
        <w:szCs w:val="26"/>
        <w:lang w:val="en-US" w:eastAsia="zh-CN" w:bidi="ar-SA"/>
      </w:rPr>
    </w:lvl>
    <w:lvl w:ilvl="1">
      <w:start w:val="0"/>
      <w:numFmt w:val="bullet"/>
      <w:lvlText w:val="•"/>
      <w:lvlJc w:val="left"/>
      <w:pPr>
        <w:ind w:left="1002" w:hanging="421"/>
      </w:pPr>
      <w:rPr>
        <w:rFonts w:hint="default"/>
        <w:lang w:val="en-US" w:eastAsia="zh-CN" w:bidi="ar-SA"/>
      </w:rPr>
    </w:lvl>
    <w:lvl w:ilvl="2">
      <w:start w:val="0"/>
      <w:numFmt w:val="bullet"/>
      <w:lvlText w:val="•"/>
      <w:lvlJc w:val="left"/>
      <w:pPr>
        <w:ind w:left="1885" w:hanging="421"/>
      </w:pPr>
      <w:rPr>
        <w:rFonts w:hint="default"/>
        <w:lang w:val="en-US" w:eastAsia="zh-CN" w:bidi="ar-SA"/>
      </w:rPr>
    </w:lvl>
    <w:lvl w:ilvl="3">
      <w:start w:val="0"/>
      <w:numFmt w:val="bullet"/>
      <w:lvlText w:val="•"/>
      <w:lvlJc w:val="left"/>
      <w:pPr>
        <w:ind w:left="2767" w:hanging="421"/>
      </w:pPr>
      <w:rPr>
        <w:rFonts w:hint="default"/>
        <w:lang w:val="en-US" w:eastAsia="zh-CN" w:bidi="ar-SA"/>
      </w:rPr>
    </w:lvl>
    <w:lvl w:ilvl="4">
      <w:start w:val="0"/>
      <w:numFmt w:val="bullet"/>
      <w:lvlText w:val="•"/>
      <w:lvlJc w:val="left"/>
      <w:pPr>
        <w:ind w:left="3650" w:hanging="421"/>
      </w:pPr>
      <w:rPr>
        <w:rFonts w:hint="default"/>
        <w:lang w:val="en-US" w:eastAsia="zh-CN" w:bidi="ar-SA"/>
      </w:rPr>
    </w:lvl>
    <w:lvl w:ilvl="5">
      <w:start w:val="0"/>
      <w:numFmt w:val="bullet"/>
      <w:lvlText w:val="•"/>
      <w:lvlJc w:val="left"/>
      <w:pPr>
        <w:ind w:left="4533" w:hanging="421"/>
      </w:pPr>
      <w:rPr>
        <w:rFonts w:hint="default"/>
        <w:lang w:val="en-US" w:eastAsia="zh-CN" w:bidi="ar-SA"/>
      </w:rPr>
    </w:lvl>
    <w:lvl w:ilvl="6">
      <w:start w:val="0"/>
      <w:numFmt w:val="bullet"/>
      <w:lvlText w:val="•"/>
      <w:lvlJc w:val="left"/>
      <w:pPr>
        <w:ind w:left="5415" w:hanging="421"/>
      </w:pPr>
      <w:rPr>
        <w:rFonts w:hint="default"/>
        <w:lang w:val="en-US" w:eastAsia="zh-CN" w:bidi="ar-SA"/>
      </w:rPr>
    </w:lvl>
    <w:lvl w:ilvl="7">
      <w:start w:val="0"/>
      <w:numFmt w:val="bullet"/>
      <w:lvlText w:val="•"/>
      <w:lvlJc w:val="left"/>
      <w:pPr>
        <w:ind w:left="6298" w:hanging="421"/>
      </w:pPr>
      <w:rPr>
        <w:rFonts w:hint="default"/>
        <w:lang w:val="en-US" w:eastAsia="zh-CN" w:bidi="ar-SA"/>
      </w:rPr>
    </w:lvl>
    <w:lvl w:ilvl="8">
      <w:start w:val="0"/>
      <w:numFmt w:val="bullet"/>
      <w:lvlText w:val="•"/>
      <w:lvlJc w:val="left"/>
      <w:pPr>
        <w:ind w:left="7180" w:hanging="421"/>
      </w:pPr>
      <w:rPr>
        <w:rFonts w:hint="default"/>
        <w:lang w:val="en-US" w:eastAsia="zh-CN" w:bidi="ar-SA"/>
      </w:rPr>
    </w:lvl>
  </w:abstractNum>
  <w:abstractNum w:abstractNumId="7">
    <w:nsid w:val="425BC6CC"/>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8">
    <w:nsid w:val="46AE83A1"/>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9">
    <w:nsid w:val="4DABC45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0">
    <w:nsid w:val="4FA1EFEA"/>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1">
    <w:nsid w:val="56B31B72"/>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1"/>
      <w:numFmt w:val="decimal"/>
      <w:lvlText w:val="%1.%2"/>
      <w:lvlJc w:val="left"/>
      <w:pPr>
        <w:ind w:left="680" w:hanging="560"/>
        <w:jc w:val="left"/>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598" w:hanging="560"/>
      </w:pPr>
      <w:rPr>
        <w:rFonts w:hint="default"/>
        <w:lang w:val="en-US" w:eastAsia="zh-CN" w:bidi="ar-SA"/>
      </w:rPr>
    </w:lvl>
    <w:lvl w:ilvl="3">
      <w:start w:val="0"/>
      <w:numFmt w:val="bullet"/>
      <w:lvlText w:val="•"/>
      <w:lvlJc w:val="left"/>
      <w:pPr>
        <w:ind w:left="2516" w:hanging="560"/>
      </w:pPr>
      <w:rPr>
        <w:rFonts w:hint="default"/>
        <w:lang w:val="en-US" w:eastAsia="zh-CN" w:bidi="ar-SA"/>
      </w:rPr>
    </w:lvl>
    <w:lvl w:ilvl="4">
      <w:start w:val="0"/>
      <w:numFmt w:val="bullet"/>
      <w:lvlText w:val="•"/>
      <w:lvlJc w:val="left"/>
      <w:pPr>
        <w:ind w:left="3435" w:hanging="560"/>
      </w:pPr>
      <w:rPr>
        <w:rFonts w:hint="default"/>
        <w:lang w:val="en-US" w:eastAsia="zh-CN" w:bidi="ar-SA"/>
      </w:rPr>
    </w:lvl>
    <w:lvl w:ilvl="5">
      <w:start w:val="0"/>
      <w:numFmt w:val="bullet"/>
      <w:lvlText w:val="•"/>
      <w:lvlJc w:val="left"/>
      <w:pPr>
        <w:ind w:left="4353" w:hanging="560"/>
      </w:pPr>
      <w:rPr>
        <w:rFonts w:hint="default"/>
        <w:lang w:val="en-US" w:eastAsia="zh-CN" w:bidi="ar-SA"/>
      </w:rPr>
    </w:lvl>
    <w:lvl w:ilvl="6">
      <w:start w:val="0"/>
      <w:numFmt w:val="bullet"/>
      <w:lvlText w:val="•"/>
      <w:lvlJc w:val="left"/>
      <w:pPr>
        <w:ind w:left="5272" w:hanging="560"/>
      </w:pPr>
      <w:rPr>
        <w:rFonts w:hint="default"/>
        <w:lang w:val="en-US" w:eastAsia="zh-CN" w:bidi="ar-SA"/>
      </w:rPr>
    </w:lvl>
    <w:lvl w:ilvl="7">
      <w:start w:val="0"/>
      <w:numFmt w:val="bullet"/>
      <w:lvlText w:val="•"/>
      <w:lvlJc w:val="left"/>
      <w:pPr>
        <w:ind w:left="6190" w:hanging="560"/>
      </w:pPr>
      <w:rPr>
        <w:rFonts w:hint="default"/>
        <w:lang w:val="en-US" w:eastAsia="zh-CN" w:bidi="ar-SA"/>
      </w:rPr>
    </w:lvl>
    <w:lvl w:ilvl="8">
      <w:start w:val="0"/>
      <w:numFmt w:val="bullet"/>
      <w:lvlText w:val="•"/>
      <w:lvlJc w:val="left"/>
      <w:pPr>
        <w:ind w:left="7109" w:hanging="560"/>
      </w:pPr>
      <w:rPr>
        <w:rFonts w:hint="default"/>
        <w:lang w:val="en-US" w:eastAsia="zh-CN" w:bidi="ar-SA"/>
      </w:rPr>
    </w:lvl>
  </w:abstractNum>
  <w:abstractNum w:abstractNumId="12">
    <w:nsid w:val="57B3EA17"/>
    <w:multiLevelType w:val="hybridMultilevel"/>
    <w:tmpl w:val="00000000"/>
    <w:lvl w:ilvl="0">
      <w:start w:val="1"/>
      <w:numFmt w:val="decimal"/>
      <w:lvlText w:val="（%1）"/>
      <w:lvlJc w:val="left"/>
      <w:pPr>
        <w:ind w:left="120" w:hanging="704"/>
        <w:jc w:val="left"/>
      </w:pPr>
      <w:rPr>
        <w:rFonts w:ascii="宋体" w:eastAsia="宋体" w:hAnsi="宋体" w:cs="宋体" w:hint="default"/>
        <w:b w:val="0"/>
        <w:bCs w:val="0"/>
        <w:i w:val="0"/>
        <w:iCs w:val="0"/>
        <w:spacing w:val="0"/>
        <w:w w:val="100"/>
        <w:sz w:val="26"/>
        <w:szCs w:val="26"/>
        <w:lang w:val="en-US" w:eastAsia="zh-CN" w:bidi="ar-SA"/>
      </w:rPr>
    </w:lvl>
    <w:lvl w:ilvl="1">
      <w:start w:val="0"/>
      <w:numFmt w:val="bullet"/>
      <w:lvlText w:val="•"/>
      <w:lvlJc w:val="left"/>
      <w:pPr>
        <w:ind w:left="1002" w:hanging="704"/>
      </w:pPr>
      <w:rPr>
        <w:rFonts w:hint="default"/>
        <w:lang w:val="en-US" w:eastAsia="zh-CN" w:bidi="ar-SA"/>
      </w:rPr>
    </w:lvl>
    <w:lvl w:ilvl="2">
      <w:start w:val="0"/>
      <w:numFmt w:val="bullet"/>
      <w:lvlText w:val="•"/>
      <w:lvlJc w:val="left"/>
      <w:pPr>
        <w:ind w:left="1885" w:hanging="704"/>
      </w:pPr>
      <w:rPr>
        <w:rFonts w:hint="default"/>
        <w:lang w:val="en-US" w:eastAsia="zh-CN" w:bidi="ar-SA"/>
      </w:rPr>
    </w:lvl>
    <w:lvl w:ilvl="3">
      <w:start w:val="0"/>
      <w:numFmt w:val="bullet"/>
      <w:lvlText w:val="•"/>
      <w:lvlJc w:val="left"/>
      <w:pPr>
        <w:ind w:left="2767" w:hanging="704"/>
      </w:pPr>
      <w:rPr>
        <w:rFonts w:hint="default"/>
        <w:lang w:val="en-US" w:eastAsia="zh-CN" w:bidi="ar-SA"/>
      </w:rPr>
    </w:lvl>
    <w:lvl w:ilvl="4">
      <w:start w:val="0"/>
      <w:numFmt w:val="bullet"/>
      <w:lvlText w:val="•"/>
      <w:lvlJc w:val="left"/>
      <w:pPr>
        <w:ind w:left="3650" w:hanging="704"/>
      </w:pPr>
      <w:rPr>
        <w:rFonts w:hint="default"/>
        <w:lang w:val="en-US" w:eastAsia="zh-CN" w:bidi="ar-SA"/>
      </w:rPr>
    </w:lvl>
    <w:lvl w:ilvl="5">
      <w:start w:val="0"/>
      <w:numFmt w:val="bullet"/>
      <w:lvlText w:val="•"/>
      <w:lvlJc w:val="left"/>
      <w:pPr>
        <w:ind w:left="4533" w:hanging="704"/>
      </w:pPr>
      <w:rPr>
        <w:rFonts w:hint="default"/>
        <w:lang w:val="en-US" w:eastAsia="zh-CN" w:bidi="ar-SA"/>
      </w:rPr>
    </w:lvl>
    <w:lvl w:ilvl="6">
      <w:start w:val="0"/>
      <w:numFmt w:val="bullet"/>
      <w:lvlText w:val="•"/>
      <w:lvlJc w:val="left"/>
      <w:pPr>
        <w:ind w:left="5415" w:hanging="704"/>
      </w:pPr>
      <w:rPr>
        <w:rFonts w:hint="default"/>
        <w:lang w:val="en-US" w:eastAsia="zh-CN" w:bidi="ar-SA"/>
      </w:rPr>
    </w:lvl>
    <w:lvl w:ilvl="7">
      <w:start w:val="0"/>
      <w:numFmt w:val="bullet"/>
      <w:lvlText w:val="•"/>
      <w:lvlJc w:val="left"/>
      <w:pPr>
        <w:ind w:left="6298" w:hanging="704"/>
      </w:pPr>
      <w:rPr>
        <w:rFonts w:hint="default"/>
        <w:lang w:val="en-US" w:eastAsia="zh-CN" w:bidi="ar-SA"/>
      </w:rPr>
    </w:lvl>
    <w:lvl w:ilvl="8">
      <w:start w:val="0"/>
      <w:numFmt w:val="bullet"/>
      <w:lvlText w:val="•"/>
      <w:lvlJc w:val="left"/>
      <w:pPr>
        <w:ind w:left="7180" w:hanging="704"/>
      </w:pPr>
      <w:rPr>
        <w:rFonts w:hint="default"/>
        <w:lang w:val="en-US" w:eastAsia="zh-CN" w:bidi="ar-SA"/>
      </w:rPr>
    </w:lvl>
  </w:abstractNum>
  <w:abstractNum w:abstractNumId="13">
    <w:nsid w:val="5F6BAA42"/>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4">
    <w:nsid w:val="636B7FA1"/>
    <w:multiLevelType w:val="hybridMultilevel"/>
    <w:tmpl w:val="00000000"/>
    <w:lvl w:ilvl="0">
      <w:start w:val="1"/>
      <w:numFmt w:val="decimal"/>
      <w:lvlText w:val="（%1）"/>
      <w:lvlJc w:val="left"/>
      <w:pPr>
        <w:ind w:left="821" w:hanging="701"/>
        <w:jc w:val="left"/>
      </w:pPr>
      <w:rPr>
        <w:rFonts w:ascii="宋体" w:eastAsia="宋体" w:hAnsi="宋体" w:cs="宋体" w:hint="default"/>
        <w:b w:val="0"/>
        <w:bCs w:val="0"/>
        <w:i w:val="0"/>
        <w:iCs w:val="0"/>
        <w:w w:val="100"/>
        <w:sz w:val="26"/>
        <w:szCs w:val="26"/>
        <w:lang w:val="en-US" w:eastAsia="zh-CN" w:bidi="ar-SA"/>
      </w:rPr>
    </w:lvl>
    <w:lvl w:ilvl="1">
      <w:start w:val="0"/>
      <w:numFmt w:val="bullet"/>
      <w:lvlText w:val="•"/>
      <w:lvlJc w:val="left"/>
      <w:pPr>
        <w:ind w:left="1632" w:hanging="701"/>
      </w:pPr>
      <w:rPr>
        <w:rFonts w:hint="default"/>
        <w:lang w:val="en-US" w:eastAsia="zh-CN" w:bidi="ar-SA"/>
      </w:rPr>
    </w:lvl>
    <w:lvl w:ilvl="2">
      <w:start w:val="0"/>
      <w:numFmt w:val="bullet"/>
      <w:lvlText w:val="•"/>
      <w:lvlJc w:val="left"/>
      <w:pPr>
        <w:ind w:left="2445" w:hanging="701"/>
      </w:pPr>
      <w:rPr>
        <w:rFonts w:hint="default"/>
        <w:lang w:val="en-US" w:eastAsia="zh-CN" w:bidi="ar-SA"/>
      </w:rPr>
    </w:lvl>
    <w:lvl w:ilvl="3">
      <w:start w:val="0"/>
      <w:numFmt w:val="bullet"/>
      <w:lvlText w:val="•"/>
      <w:lvlJc w:val="left"/>
      <w:pPr>
        <w:ind w:left="3257" w:hanging="701"/>
      </w:pPr>
      <w:rPr>
        <w:rFonts w:hint="default"/>
        <w:lang w:val="en-US" w:eastAsia="zh-CN" w:bidi="ar-SA"/>
      </w:rPr>
    </w:lvl>
    <w:lvl w:ilvl="4">
      <w:start w:val="0"/>
      <w:numFmt w:val="bullet"/>
      <w:lvlText w:val="•"/>
      <w:lvlJc w:val="left"/>
      <w:pPr>
        <w:ind w:left="4070" w:hanging="701"/>
      </w:pPr>
      <w:rPr>
        <w:rFonts w:hint="default"/>
        <w:lang w:val="en-US" w:eastAsia="zh-CN" w:bidi="ar-SA"/>
      </w:rPr>
    </w:lvl>
    <w:lvl w:ilvl="5">
      <w:start w:val="0"/>
      <w:numFmt w:val="bullet"/>
      <w:lvlText w:val="•"/>
      <w:lvlJc w:val="left"/>
      <w:pPr>
        <w:ind w:left="4883" w:hanging="701"/>
      </w:pPr>
      <w:rPr>
        <w:rFonts w:hint="default"/>
        <w:lang w:val="en-US" w:eastAsia="zh-CN" w:bidi="ar-SA"/>
      </w:rPr>
    </w:lvl>
    <w:lvl w:ilvl="6">
      <w:start w:val="0"/>
      <w:numFmt w:val="bullet"/>
      <w:lvlText w:val="•"/>
      <w:lvlJc w:val="left"/>
      <w:pPr>
        <w:ind w:left="5695" w:hanging="701"/>
      </w:pPr>
      <w:rPr>
        <w:rFonts w:hint="default"/>
        <w:lang w:val="en-US" w:eastAsia="zh-CN" w:bidi="ar-SA"/>
      </w:rPr>
    </w:lvl>
    <w:lvl w:ilvl="7">
      <w:start w:val="0"/>
      <w:numFmt w:val="bullet"/>
      <w:lvlText w:val="•"/>
      <w:lvlJc w:val="left"/>
      <w:pPr>
        <w:ind w:left="6508" w:hanging="701"/>
      </w:pPr>
      <w:rPr>
        <w:rFonts w:hint="default"/>
        <w:lang w:val="en-US" w:eastAsia="zh-CN" w:bidi="ar-SA"/>
      </w:rPr>
    </w:lvl>
    <w:lvl w:ilvl="8">
      <w:start w:val="0"/>
      <w:numFmt w:val="bullet"/>
      <w:lvlText w:val="•"/>
      <w:lvlJc w:val="left"/>
      <w:pPr>
        <w:ind w:left="7320" w:hanging="701"/>
      </w:pPr>
      <w:rPr>
        <w:rFonts w:hint="default"/>
        <w:lang w:val="en-US" w:eastAsia="zh-CN" w:bidi="ar-SA"/>
      </w:rPr>
    </w:lvl>
  </w:abstractNum>
  <w:abstractNum w:abstractNumId="15">
    <w:nsid w:val="6BB1AAFE"/>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6">
    <w:nsid w:val="6D552007"/>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7">
    <w:nsid w:val="6E9DEDD5"/>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8">
    <w:nsid w:val="7B2AEBE4"/>
    <w:multiLevelType w:val="hybridMultilevel"/>
    <w:tmpl w:val="00000000"/>
    <w:lvl w:ilvl="0">
      <w:start w:val="1"/>
      <w:numFmt w:val="decimal"/>
      <w:lvlText w:val="（%1）"/>
      <w:lvlJc w:val="left"/>
      <w:pPr>
        <w:ind w:left="120" w:hanging="704"/>
        <w:jc w:val="left"/>
      </w:pPr>
      <w:rPr>
        <w:rFonts w:ascii="宋体" w:eastAsia="宋体" w:hAnsi="宋体" w:cs="宋体" w:hint="default"/>
        <w:b w:val="0"/>
        <w:bCs w:val="0"/>
        <w:i w:val="0"/>
        <w:iCs w:val="0"/>
        <w:spacing w:val="0"/>
        <w:w w:val="100"/>
        <w:sz w:val="26"/>
        <w:szCs w:val="26"/>
        <w:lang w:val="en-US" w:eastAsia="zh-CN" w:bidi="ar-SA"/>
      </w:rPr>
    </w:lvl>
    <w:lvl w:ilvl="1">
      <w:start w:val="0"/>
      <w:numFmt w:val="bullet"/>
      <w:lvlText w:val="•"/>
      <w:lvlJc w:val="left"/>
      <w:pPr>
        <w:ind w:left="1002" w:hanging="704"/>
      </w:pPr>
      <w:rPr>
        <w:rFonts w:hint="default"/>
        <w:lang w:val="en-US" w:eastAsia="zh-CN" w:bidi="ar-SA"/>
      </w:rPr>
    </w:lvl>
    <w:lvl w:ilvl="2">
      <w:start w:val="0"/>
      <w:numFmt w:val="bullet"/>
      <w:lvlText w:val="•"/>
      <w:lvlJc w:val="left"/>
      <w:pPr>
        <w:ind w:left="1885" w:hanging="704"/>
      </w:pPr>
      <w:rPr>
        <w:rFonts w:hint="default"/>
        <w:lang w:val="en-US" w:eastAsia="zh-CN" w:bidi="ar-SA"/>
      </w:rPr>
    </w:lvl>
    <w:lvl w:ilvl="3">
      <w:start w:val="0"/>
      <w:numFmt w:val="bullet"/>
      <w:lvlText w:val="•"/>
      <w:lvlJc w:val="left"/>
      <w:pPr>
        <w:ind w:left="2767" w:hanging="704"/>
      </w:pPr>
      <w:rPr>
        <w:rFonts w:hint="default"/>
        <w:lang w:val="en-US" w:eastAsia="zh-CN" w:bidi="ar-SA"/>
      </w:rPr>
    </w:lvl>
    <w:lvl w:ilvl="4">
      <w:start w:val="0"/>
      <w:numFmt w:val="bullet"/>
      <w:lvlText w:val="•"/>
      <w:lvlJc w:val="left"/>
      <w:pPr>
        <w:ind w:left="3650" w:hanging="704"/>
      </w:pPr>
      <w:rPr>
        <w:rFonts w:hint="default"/>
        <w:lang w:val="en-US" w:eastAsia="zh-CN" w:bidi="ar-SA"/>
      </w:rPr>
    </w:lvl>
    <w:lvl w:ilvl="5">
      <w:start w:val="0"/>
      <w:numFmt w:val="bullet"/>
      <w:lvlText w:val="•"/>
      <w:lvlJc w:val="left"/>
      <w:pPr>
        <w:ind w:left="4533" w:hanging="704"/>
      </w:pPr>
      <w:rPr>
        <w:rFonts w:hint="default"/>
        <w:lang w:val="en-US" w:eastAsia="zh-CN" w:bidi="ar-SA"/>
      </w:rPr>
    </w:lvl>
    <w:lvl w:ilvl="6">
      <w:start w:val="0"/>
      <w:numFmt w:val="bullet"/>
      <w:lvlText w:val="•"/>
      <w:lvlJc w:val="left"/>
      <w:pPr>
        <w:ind w:left="5415" w:hanging="704"/>
      </w:pPr>
      <w:rPr>
        <w:rFonts w:hint="default"/>
        <w:lang w:val="en-US" w:eastAsia="zh-CN" w:bidi="ar-SA"/>
      </w:rPr>
    </w:lvl>
    <w:lvl w:ilvl="7">
      <w:start w:val="0"/>
      <w:numFmt w:val="bullet"/>
      <w:lvlText w:val="•"/>
      <w:lvlJc w:val="left"/>
      <w:pPr>
        <w:ind w:left="6298" w:hanging="704"/>
      </w:pPr>
      <w:rPr>
        <w:rFonts w:hint="default"/>
        <w:lang w:val="en-US" w:eastAsia="zh-CN" w:bidi="ar-SA"/>
      </w:rPr>
    </w:lvl>
    <w:lvl w:ilvl="8">
      <w:start w:val="0"/>
      <w:numFmt w:val="bullet"/>
      <w:lvlText w:val="•"/>
      <w:lvlJc w:val="left"/>
      <w:pPr>
        <w:ind w:left="7180" w:hanging="704"/>
      </w:pPr>
      <w:rPr>
        <w:rFonts w:hint="default"/>
        <w:lang w:val="en-US" w:eastAsia="zh-CN" w:bidi="ar-SA"/>
      </w:rPr>
    </w:lvl>
  </w:abstractNum>
  <w:abstractNum w:abstractNumId="19">
    <w:nsid w:val="7CA1C700"/>
    <w:multiLevelType w:val="hybridMultilevel"/>
    <w:tmpl w:val="00000000"/>
    <w:lvl w:ilvl="0">
      <w:start w:val="1"/>
      <w:numFmt w:val="decimal"/>
      <w:lvlText w:val="（%1）"/>
      <w:lvlJc w:val="left"/>
      <w:pPr>
        <w:ind w:left="823" w:hanging="704"/>
        <w:jc w:val="left"/>
      </w:pPr>
      <w:rPr>
        <w:rFonts w:ascii="宋体" w:eastAsia="宋体" w:hAnsi="宋体" w:cs="宋体" w:hint="default"/>
        <w:b w:val="0"/>
        <w:bCs w:val="0"/>
        <w:i w:val="0"/>
        <w:iCs w:val="0"/>
        <w:spacing w:val="0"/>
        <w:w w:val="100"/>
        <w:sz w:val="26"/>
        <w:szCs w:val="26"/>
        <w:lang w:val="en-US" w:eastAsia="zh-CN" w:bidi="ar-SA"/>
      </w:rPr>
    </w:lvl>
    <w:lvl w:ilvl="1">
      <w:start w:val="0"/>
      <w:numFmt w:val="bullet"/>
      <w:lvlText w:val="•"/>
      <w:lvlJc w:val="left"/>
      <w:pPr>
        <w:ind w:left="1632" w:hanging="704"/>
      </w:pPr>
      <w:rPr>
        <w:rFonts w:hint="default"/>
        <w:lang w:val="en-US" w:eastAsia="zh-CN" w:bidi="ar-SA"/>
      </w:rPr>
    </w:lvl>
    <w:lvl w:ilvl="2">
      <w:start w:val="0"/>
      <w:numFmt w:val="bullet"/>
      <w:lvlText w:val="•"/>
      <w:lvlJc w:val="left"/>
      <w:pPr>
        <w:ind w:left="2445" w:hanging="704"/>
      </w:pPr>
      <w:rPr>
        <w:rFonts w:hint="default"/>
        <w:lang w:val="en-US" w:eastAsia="zh-CN" w:bidi="ar-SA"/>
      </w:rPr>
    </w:lvl>
    <w:lvl w:ilvl="3">
      <w:start w:val="0"/>
      <w:numFmt w:val="bullet"/>
      <w:lvlText w:val="•"/>
      <w:lvlJc w:val="left"/>
      <w:pPr>
        <w:ind w:left="3257" w:hanging="704"/>
      </w:pPr>
      <w:rPr>
        <w:rFonts w:hint="default"/>
        <w:lang w:val="en-US" w:eastAsia="zh-CN" w:bidi="ar-SA"/>
      </w:rPr>
    </w:lvl>
    <w:lvl w:ilvl="4">
      <w:start w:val="0"/>
      <w:numFmt w:val="bullet"/>
      <w:lvlText w:val="•"/>
      <w:lvlJc w:val="left"/>
      <w:pPr>
        <w:ind w:left="4070" w:hanging="704"/>
      </w:pPr>
      <w:rPr>
        <w:rFonts w:hint="default"/>
        <w:lang w:val="en-US" w:eastAsia="zh-CN" w:bidi="ar-SA"/>
      </w:rPr>
    </w:lvl>
    <w:lvl w:ilvl="5">
      <w:start w:val="0"/>
      <w:numFmt w:val="bullet"/>
      <w:lvlText w:val="•"/>
      <w:lvlJc w:val="left"/>
      <w:pPr>
        <w:ind w:left="4883" w:hanging="704"/>
      </w:pPr>
      <w:rPr>
        <w:rFonts w:hint="default"/>
        <w:lang w:val="en-US" w:eastAsia="zh-CN" w:bidi="ar-SA"/>
      </w:rPr>
    </w:lvl>
    <w:lvl w:ilvl="6">
      <w:start w:val="0"/>
      <w:numFmt w:val="bullet"/>
      <w:lvlText w:val="•"/>
      <w:lvlJc w:val="left"/>
      <w:pPr>
        <w:ind w:left="5695" w:hanging="704"/>
      </w:pPr>
      <w:rPr>
        <w:rFonts w:hint="default"/>
        <w:lang w:val="en-US" w:eastAsia="zh-CN" w:bidi="ar-SA"/>
      </w:rPr>
    </w:lvl>
    <w:lvl w:ilvl="7">
      <w:start w:val="0"/>
      <w:numFmt w:val="bullet"/>
      <w:lvlText w:val="•"/>
      <w:lvlJc w:val="left"/>
      <w:pPr>
        <w:ind w:left="6508" w:hanging="704"/>
      </w:pPr>
      <w:rPr>
        <w:rFonts w:hint="default"/>
        <w:lang w:val="en-US" w:eastAsia="zh-CN" w:bidi="ar-SA"/>
      </w:rPr>
    </w:lvl>
    <w:lvl w:ilvl="8">
      <w:start w:val="0"/>
      <w:numFmt w:val="bullet"/>
      <w:lvlText w:val="•"/>
      <w:lvlJc w:val="left"/>
      <w:pPr>
        <w:ind w:left="7320" w:hanging="704"/>
      </w:pPr>
      <w:rPr>
        <w:rFonts w:hint="default"/>
        <w:lang w:val="en-US" w:eastAsia="zh-CN" w:bidi="ar-SA"/>
      </w:rPr>
    </w:lvl>
  </w:abstractNum>
  <w:num w:numId="1">
    <w:abstractNumId w:val="14"/>
  </w:num>
  <w:num w:numId="2">
    <w:abstractNumId w:val="12"/>
  </w:num>
  <w:num w:numId="3">
    <w:abstractNumId w:val="17"/>
  </w:num>
  <w:num w:numId="4">
    <w:abstractNumId w:val="19"/>
  </w:num>
  <w:num w:numId="5">
    <w:abstractNumId w:val="18"/>
  </w:num>
  <w:num w:numId="6">
    <w:abstractNumId w:val="9"/>
  </w:num>
  <w:num w:numId="7">
    <w:abstractNumId w:val="1"/>
  </w:num>
  <w:num w:numId="8">
    <w:abstractNumId w:val="7"/>
  </w:num>
  <w:num w:numId="9">
    <w:abstractNumId w:val="4"/>
  </w:num>
  <w:num w:numId="10">
    <w:abstractNumId w:val="8"/>
  </w:num>
  <w:num w:numId="11">
    <w:abstractNumId w:val="3"/>
  </w:num>
  <w:num w:numId="12">
    <w:abstractNumId w:val="2"/>
  </w:num>
  <w:num w:numId="13">
    <w:abstractNumId w:val="11"/>
  </w:num>
  <w:num w:numId="14">
    <w:abstractNumId w:val="16"/>
  </w:num>
  <w:num w:numId="15">
    <w:abstractNumId w:val="13"/>
  </w:num>
  <w:num w:numId="16">
    <w:abstractNumId w:val="10"/>
  </w:num>
  <w:num w:numId="17">
    <w:abstractNumId w:val="15"/>
  </w:num>
  <w:num w:numId="18">
    <w:abstractNumId w:val="5"/>
  </w:num>
  <w:num w:numId="19">
    <w:abstractNumId w:val="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120"/>
      <w:jc w:val="both"/>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宋体" w:eastAsia="宋体" w:hAnsi="宋体" w:cs="宋体"/>
      <w:sz w:val="21"/>
      <w:szCs w:val="21"/>
      <w:lang w:val="en-US" w:eastAsia="zh-CN" w:bidi="ar-SA"/>
    </w:rPr>
  </w:style>
  <w:style w:type="paragraph" w:styleId="BodyText">
    <w:name w:val="Body Text"/>
    <w:basedOn w:val="Normal"/>
    <w:uiPriority w:val="1"/>
    <w:qFormat/>
    <w:rPr>
      <w:rFonts w:ascii="宋体" w:eastAsia="宋体" w:hAnsi="宋体" w:cs="宋体"/>
      <w:sz w:val="28"/>
      <w:szCs w:val="28"/>
      <w:lang w:val="en-US" w:eastAsia="zh-CN" w:bidi="ar-SA"/>
    </w:rPr>
  </w:style>
  <w:style w:type="paragraph" w:styleId="Title">
    <w:name w:val="Title"/>
    <w:basedOn w:val="Normal"/>
    <w:uiPriority w:val="1"/>
    <w:qFormat/>
    <w:pPr>
      <w:spacing w:line="569" w:lineRule="exact"/>
      <w:ind w:left="567"/>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518"/>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hyperlink" Target="https://d.book118.com/318053065125006043" TargetMode="External" /><Relationship Id="rId16" Type="http://schemas.openxmlformats.org/officeDocument/2006/relationships/footer" Target="footer1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2024-03-05T04:50:55Z</dcterms:created>
  <dcterms:modified xsi:type="dcterms:W3CDTF">2024-03-05T04:50:55Z</dcterms:modified>
</cp:coreProperties>
</file>