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both"/>
        <w:rPr>
          <w:rFonts w:ascii="黑体" w:eastAsia="黑体" w:hint="eastAsia"/>
          <w:b/>
          <w:sz w:val="13"/>
          <w:szCs w:val="13"/>
        </w:rPr>
      </w:pPr>
      <w:r>
        <w:rPr>
          <w:rFonts w:ascii="黑体" w:eastAsia="黑体" w:hint="eastAsia"/>
          <w:b/>
          <w:sz w:val="13"/>
          <w:szCs w:val="13"/>
        </w:rPr>
        <w:t>中班幼儿在角色游戏中社会交往能力</w:t>
      </w:r>
      <w:r>
        <w:rPr>
          <w:rFonts w:ascii="黑体" w:eastAsia="黑体" w:hint="eastAsia"/>
          <w:b/>
          <w:sz w:val="13"/>
          <w:szCs w:val="13"/>
          <w:lang w:eastAsia="zh-CN"/>
        </w:rPr>
        <w:t>现状的</w:t>
      </w:r>
      <w:r>
        <w:rPr>
          <w:rFonts w:ascii="黑体" w:eastAsia="黑体" w:hint="eastAsia"/>
          <w:b/>
          <w:sz w:val="13"/>
          <w:szCs w:val="13"/>
        </w:rPr>
        <w:t>研究</w:t>
      </w:r>
      <w:r>
        <w:rPr>
          <w:rFonts w:ascii="黑体" w:eastAsia="黑体" w:hint="eastAsia"/>
          <w:b/>
          <w:sz w:val="13"/>
          <w:szCs w:val="13"/>
          <w:lang w:val="en-US" w:eastAsia="zh-CN"/>
        </w:rPr>
        <w:t>——以广元S幼儿园为例</w:t>
      </w:r>
    </w:p>
    <w:p>
      <w:pPr>
        <w:pStyle w:val="a1"/>
        <w:rPr>
          <w:rFonts w:ascii="仿宋" w:eastAsia="仿宋" w:hAnsi="仿宋" w:cs="仿宋" w:hint="eastAsia"/>
          <w:szCs w:val="24"/>
          <w:lang w:val="en-US" w:eastAsia="zh-CN"/>
        </w:rPr>
      </w:pPr>
      <w:r>
        <w:rPr>
          <w:rFonts w:ascii="黑体" w:eastAsia="黑体" w:hint="eastAsia"/>
          <w:b w:val="0"/>
          <w:bCs/>
          <w:sz w:val="24"/>
          <w:szCs w:val="24"/>
          <w:lang w:val="en-US" w:eastAsia="zh-CN"/>
        </w:rPr>
        <w:t>摘要：</w:t>
      </w:r>
      <w:r>
        <w:rPr>
          <w:rFonts w:ascii="仿宋" w:eastAsia="仿宋" w:hAnsi="仿宋" w:cs="仿宋" w:hint="eastAsia"/>
          <w:sz w:val="24"/>
          <w:szCs w:val="24"/>
          <w:lang w:val="en-US" w:eastAsia="zh-CN"/>
        </w:rPr>
        <w:t>幼儿的社会交往能力是幼儿身心发展中最重要的一部分，良好的社会交往能力有助于促进幼儿认识社会、对幼儿身心发展和其他方面的发展都具有重要的影响。在角色游戏中，幼儿更加容易能够摆脱自我为中心意识、建立基础情感，角色游戏能够促进幼儿的语言、主动、合作的发展。</w:t>
      </w:r>
    </w:p>
    <w:p>
      <w:pPr>
        <w:numPr>
          <w:ilvl w:val="0"/>
          <w:numId w:val="0"/>
        </w:numPr>
        <w:ind w:firstLine="480" w:firstLineChars="200"/>
        <w:rPr>
          <w:rFonts w:ascii="仿宋" w:eastAsia="仿宋" w:hAnsi="仿宋" w:cs="仿宋" w:hint="eastAsia"/>
          <w:sz w:val="24"/>
        </w:rPr>
      </w:pPr>
      <w:r>
        <w:rPr>
          <w:rFonts w:ascii="仿宋" w:eastAsia="仿宋" w:hAnsi="仿宋" w:cs="仿宋" w:hint="eastAsia"/>
          <w:b w:val="0"/>
          <w:bCs/>
          <w:sz w:val="24"/>
          <w:szCs w:val="24"/>
          <w:lang w:val="en-US" w:eastAsia="zh-CN"/>
        </w:rPr>
        <w:t>为了明确了解中班幼儿在角色游戏中社会交往能力现状的基本情况，利用《社会行为观察量表》，结合对教师的访谈，分析案列后，发现中班幼儿在角色游戏中的社会交往行为特点如下：</w:t>
      </w:r>
    </w:p>
    <w:p>
      <w:pPr>
        <w:numPr>
          <w:ilvl w:val="0"/>
          <w:numId w:val="1"/>
        </w:numPr>
        <w:ind w:leftChars="0"/>
        <w:rPr>
          <w:rFonts w:ascii="仿宋" w:eastAsia="仿宋" w:hAnsi="仿宋" w:cs="仿宋" w:hint="eastAsia"/>
          <w:sz w:val="24"/>
        </w:rPr>
      </w:pPr>
      <w:r>
        <w:rPr>
          <w:rFonts w:ascii="仿宋" w:eastAsia="仿宋" w:hAnsi="仿宋" w:cs="仿宋" w:hint="eastAsia"/>
          <w:sz w:val="24"/>
          <w:szCs w:val="24"/>
          <w:lang w:val="en-US" w:eastAsia="zh-CN"/>
        </w:rPr>
        <w:t>该幼儿园中班幼儿在角色游戏中的社会交往能力整体水平偏低。</w:t>
      </w:r>
    </w:p>
    <w:p>
      <w:pPr>
        <w:numPr>
          <w:ilvl w:val="0"/>
          <w:numId w:val="1"/>
        </w:numPr>
        <w:ind w:leftChars="0"/>
        <w:rPr>
          <w:rFonts w:ascii="仿宋" w:eastAsia="仿宋" w:hAnsi="仿宋" w:cs="仿宋" w:hint="eastAsia"/>
          <w:sz w:val="24"/>
        </w:rPr>
      </w:pPr>
      <w:r>
        <w:rPr>
          <w:rFonts w:ascii="仿宋" w:eastAsia="仿宋" w:hAnsi="仿宋" w:cs="仿宋" w:hint="eastAsia"/>
          <w:sz w:val="24"/>
          <w:szCs w:val="24"/>
          <w:lang w:val="en-US" w:eastAsia="zh-CN"/>
        </w:rPr>
        <w:t>其语言表达能力发展最好，然后是合作性能力，主动性发展能力最低。</w:t>
      </w:r>
    </w:p>
    <w:p>
      <w:pPr>
        <w:numPr>
          <w:ilvl w:val="0"/>
          <w:numId w:val="1"/>
        </w:numPr>
        <w:ind w:leftChars="0"/>
        <w:rPr>
          <w:rFonts w:ascii="仿宋" w:eastAsia="仿宋" w:hAnsi="仿宋" w:cs="仿宋" w:hint="eastAsia"/>
          <w:sz w:val="24"/>
        </w:rPr>
      </w:pPr>
      <w:r>
        <w:rPr>
          <w:rFonts w:ascii="仿宋" w:eastAsia="仿宋" w:hAnsi="仿宋" w:cs="仿宋" w:hint="eastAsia"/>
          <w:sz w:val="24"/>
          <w:szCs w:val="24"/>
          <w:lang w:val="en-US" w:eastAsia="zh-CN"/>
        </w:rPr>
        <w:t>中班幼儿在角色游戏中与教师发展的能力弱于与同伴发展的能力，且幼儿最偏向于喜欢和教师一起游戏，但是邀请教师参加游戏的能力最差。</w:t>
      </w:r>
    </w:p>
    <w:p>
      <w:pPr>
        <w:numPr>
          <w:ilvl w:val="0"/>
          <w:numId w:val="1"/>
        </w:numPr>
        <w:ind w:leftChars="0"/>
        <w:rPr>
          <w:rFonts w:ascii="仿宋" w:eastAsia="仿宋" w:hAnsi="仿宋" w:cs="仿宋" w:hint="eastAsia"/>
          <w:sz w:val="24"/>
        </w:rPr>
      </w:pPr>
      <w:r>
        <w:rPr>
          <w:rFonts w:ascii="仿宋" w:eastAsia="仿宋" w:hAnsi="仿宋" w:cs="仿宋" w:hint="eastAsia"/>
          <w:sz w:val="24"/>
          <w:szCs w:val="24"/>
          <w:lang w:val="en-US" w:eastAsia="zh-CN"/>
        </w:rPr>
        <w:t>中班幼儿在角色游戏中合作性维度中，其轮流与等待行为最好，冲突解决能力最差。</w:t>
      </w:r>
    </w:p>
    <w:p>
      <w:pPr>
        <w:numPr>
          <w:ilvl w:val="0"/>
          <w:numId w:val="1"/>
        </w:numPr>
        <w:ind w:leftChars="0"/>
        <w:rPr>
          <w:rFonts w:ascii="仿宋" w:eastAsia="仿宋" w:hAnsi="仿宋" w:cs="仿宋" w:hint="eastAsia"/>
          <w:sz w:val="24"/>
        </w:rPr>
      </w:pPr>
      <w:r>
        <w:rPr>
          <w:rFonts w:ascii="仿宋" w:eastAsia="仿宋" w:hAnsi="仿宋" w:cs="仿宋" w:hint="eastAsia"/>
          <w:sz w:val="24"/>
          <w:szCs w:val="24"/>
          <w:lang w:val="en-US" w:eastAsia="zh-CN"/>
        </w:rPr>
        <w:t>中班幼儿在角色游戏中能够用连贯的语言表达自己的意见；同时语言运用也比较准确，两者的水平相近。</w:t>
      </w:r>
    </w:p>
    <w:p>
      <w:pPr>
        <w:numPr>
          <w:ilvl w:val="0"/>
          <w:numId w:val="1"/>
        </w:numPr>
        <w:ind w:leftChars="0"/>
        <w:rPr>
          <w:rFonts w:ascii="仿宋" w:eastAsia="仿宋" w:hAnsi="仿宋" w:cs="仿宋" w:hint="eastAsia"/>
          <w:sz w:val="24"/>
        </w:rPr>
      </w:pPr>
      <w:r>
        <w:rPr>
          <w:rFonts w:ascii="仿宋" w:eastAsia="仿宋" w:hAnsi="仿宋" w:cs="仿宋" w:hint="eastAsia"/>
          <w:sz w:val="24"/>
          <w:szCs w:val="24"/>
          <w:lang w:val="en-US" w:eastAsia="zh-CN"/>
        </w:rPr>
        <w:t>中班幼儿在角色游戏中，其轮流与等待行为最好，邀请教师参加游戏的行为最不好。</w:t>
      </w:r>
    </w:p>
    <w:p>
      <w:pPr>
        <w:numPr>
          <w:ilvl w:val="0"/>
          <w:numId w:val="1"/>
        </w:numPr>
        <w:ind w:leftChars="0"/>
        <w:rPr>
          <w:rFonts w:ascii="仿宋" w:eastAsia="仿宋" w:hAnsi="仿宋" w:cs="仿宋" w:hint="eastAsia"/>
          <w:sz w:val="24"/>
        </w:rPr>
      </w:pPr>
      <w:r>
        <w:rPr>
          <w:rFonts w:ascii="仿宋" w:eastAsia="仿宋" w:hAnsi="仿宋" w:cs="仿宋" w:hint="eastAsia"/>
          <w:sz w:val="24"/>
          <w:szCs w:val="24"/>
          <w:lang w:val="en-US" w:eastAsia="zh-CN"/>
        </w:rPr>
        <w:t>在有角色主题的情况下进行游戏，中班幼儿与教师互动的行为比自由活动下的与教师互动行为好。</w:t>
      </w:r>
    </w:p>
    <w:p>
      <w:pPr>
        <w:ind w:firstLine="420"/>
        <w:rPr>
          <w:rFonts w:ascii="仿宋" w:eastAsia="仿宋" w:hAnsi="仿宋" w:cs="仿宋" w:hint="eastAsia"/>
          <w:sz w:val="24"/>
        </w:rPr>
      </w:pPr>
      <w:r>
        <w:rPr>
          <w:rFonts w:ascii="仿宋" w:eastAsia="仿宋" w:hAnsi="仿宋" w:cs="仿宋" w:hint="eastAsia"/>
          <w:sz w:val="24"/>
          <w:szCs w:val="24"/>
          <w:lang w:val="en-US" w:eastAsia="zh-CN"/>
        </w:rPr>
        <w:t>经过对教师的访谈后，整理资料，得出以下的建议，来促进中班幼儿在角色游戏中的社会交往能力的发展。</w:t>
      </w:r>
    </w:p>
    <w:p>
      <w:pPr>
        <w:rPr>
          <w:rFonts w:ascii="仿宋" w:eastAsia="仿宋" w:hAnsi="仿宋" w:cs="仿宋" w:hint="eastAsia"/>
          <w:sz w:val="24"/>
        </w:rPr>
      </w:pPr>
      <w:r>
        <w:rPr>
          <w:rFonts w:ascii="仿宋" w:eastAsia="仿宋" w:hAnsi="仿宋" w:cs="仿宋" w:hint="eastAsia"/>
          <w:sz w:val="24"/>
          <w:szCs w:val="24"/>
          <w:lang w:val="en-US" w:eastAsia="zh-CN"/>
        </w:rPr>
        <w:t>（一）重视中班幼儿在角色游戏中与教师交往，激发幼儿主动与成人的交往。</w:t>
      </w:r>
    </w:p>
    <w:p>
      <w:pPr>
        <w:numPr>
          <w:ilvl w:val="0"/>
          <w:numId w:val="0"/>
        </w:numPr>
        <w:rPr>
          <w:rFonts w:ascii="仿宋" w:eastAsia="仿宋" w:hAnsi="仿宋" w:cs="仿宋" w:hint="eastAsia"/>
          <w:sz w:val="24"/>
        </w:rPr>
      </w:pPr>
      <w:r>
        <w:rPr>
          <w:rFonts w:ascii="仿宋" w:eastAsia="仿宋" w:hAnsi="仿宋" w:cs="仿宋" w:hint="eastAsia"/>
          <w:sz w:val="24"/>
          <w:szCs w:val="24"/>
          <w:lang w:val="en-US" w:eastAsia="zh-CN"/>
        </w:rPr>
        <w:t>（二）角色游戏主题多样性，来促进幼儿的社会交往能力。</w:t>
      </w:r>
    </w:p>
    <w:p>
      <w:pPr>
        <w:numPr>
          <w:ilvl w:val="0"/>
          <w:numId w:val="0"/>
        </w:numPr>
        <w:outlineLvl w:val="1"/>
        <w:rPr>
          <w:rFonts w:ascii="仿宋" w:eastAsia="仿宋" w:hAnsi="仿宋" w:cs="仿宋" w:hint="eastAsia"/>
          <w:sz w:val="24"/>
        </w:rPr>
      </w:pPr>
      <w:r>
        <w:rPr>
          <w:rFonts w:ascii="仿宋" w:eastAsia="仿宋" w:hAnsi="仿宋" w:cs="仿宋" w:hint="eastAsia"/>
          <w:sz w:val="24"/>
          <w:szCs w:val="24"/>
          <w:lang w:val="en-US" w:eastAsia="zh-CN"/>
        </w:rPr>
        <w:t>（三）正确利用日常生活交往情景，来培养幼儿语言表达的发展。</w:t>
      </w:r>
    </w:p>
    <w:p>
      <w:pPr>
        <w:numPr>
          <w:ilvl w:val="0"/>
          <w:numId w:val="0"/>
        </w:numPr>
        <w:outlineLvl w:val="1"/>
        <w:rPr>
          <w:rFonts w:ascii="仿宋" w:eastAsia="仿宋" w:hAnsi="仿宋" w:cs="仿宋" w:hint="eastAsia"/>
          <w:sz w:val="24"/>
        </w:rPr>
      </w:pPr>
      <w:r>
        <w:rPr>
          <w:rFonts w:ascii="仿宋" w:eastAsia="仿宋" w:hAnsi="仿宋" w:cs="仿宋" w:hint="eastAsia"/>
          <w:sz w:val="24"/>
          <w:szCs w:val="24"/>
          <w:lang w:val="en-US" w:eastAsia="zh-CN"/>
        </w:rPr>
        <w:t>（四）增加角色游戏区域中的游戏材料，促进</w:t>
      </w:r>
      <w:r>
        <w:rPr>
          <w:rFonts w:ascii="仿宋" w:eastAsia="仿宋" w:hAnsi="仿宋" w:cs="仿宋" w:hint="eastAsia"/>
          <w:sz w:val="24"/>
          <w:szCs w:val="24"/>
          <w:highlight w:val="none"/>
          <w:lang w:val="en-US" w:eastAsia="zh-CN"/>
        </w:rPr>
        <w:t>幼儿</w:t>
      </w:r>
      <w:r>
        <w:rPr>
          <w:rFonts w:ascii="仿宋" w:eastAsia="仿宋" w:hAnsi="仿宋" w:cs="仿宋" w:hint="eastAsia"/>
          <w:sz w:val="24"/>
          <w:szCs w:val="24"/>
          <w:lang w:val="en-US" w:eastAsia="zh-CN"/>
        </w:rPr>
        <w:t>之间的合作性发展。</w:t>
      </w:r>
    </w:p>
    <w:p>
      <w:pPr>
        <w:numPr>
          <w:ilvl w:val="0"/>
          <w:numId w:val="0"/>
        </w:numPr>
        <w:outlineLvl w:val="1"/>
        <w:rPr>
          <w:rFonts w:ascii="仿宋" w:eastAsia="仿宋" w:hAnsi="仿宋" w:cs="仿宋" w:hint="eastAsia"/>
          <w:sz w:val="24"/>
        </w:rPr>
      </w:pPr>
      <w:r>
        <w:rPr>
          <w:rFonts w:ascii="仿宋" w:eastAsia="仿宋" w:hAnsi="仿宋" w:cs="仿宋" w:hint="eastAsia"/>
          <w:sz w:val="24"/>
          <w:szCs w:val="24"/>
          <w:lang w:val="en-US" w:eastAsia="zh-CN"/>
        </w:rPr>
        <w:t>（五）家长利用日常创造学习的机会，可以培养幼儿社会交往能力的发展。</w:t>
      </w:r>
    </w:p>
    <w:p>
      <w:pPr>
        <w:numPr>
          <w:ilvl w:val="0"/>
          <w:numId w:val="0"/>
        </w:numPr>
        <w:outlineLvl w:val="1"/>
        <w:rPr>
          <w:rFonts w:ascii="仿宋" w:eastAsia="仿宋" w:hAnsi="仿宋" w:cs="仿宋" w:hint="eastAsia"/>
          <w:sz w:val="24"/>
        </w:rPr>
      </w:pPr>
    </w:p>
    <w:p>
      <w:pPr>
        <w:numPr>
          <w:ilvl w:val="0"/>
          <w:numId w:val="0"/>
        </w:numPr>
        <w:rPr>
          <w:rFonts w:ascii="仿宋" w:eastAsia="仿宋" w:hAnsi="仿宋" w:cs="仿宋" w:hint="eastAsia"/>
          <w:sz w:val="24"/>
        </w:rPr>
      </w:pPr>
    </w:p>
    <w:p>
      <w:pPr>
        <w:numPr>
          <w:ilvl w:val="0"/>
          <w:numId w:val="0"/>
        </w:numPr>
        <w:outlineLvl w:val="1"/>
        <w:rPr>
          <w:rFonts w:ascii="仿宋" w:eastAsia="仿宋" w:hAnsi="仿宋" w:cs="仿宋" w:hint="eastAsia"/>
          <w:sz w:val="24"/>
        </w:rPr>
      </w:pPr>
      <w:r>
        <w:rPr>
          <w:rFonts w:ascii="黑体" w:eastAsia="黑体" w:hAnsi="Times New Roman" w:cs="宋体" w:hint="eastAsia"/>
          <w:b w:val="0"/>
          <w:bCs/>
          <w:kern w:val="2"/>
          <w:sz w:val="24"/>
          <w:szCs w:val="24"/>
          <w:lang w:val="en-US" w:eastAsia="zh-CN" w:bidi="ar-SA"/>
        </w:rPr>
        <w:t>关键字：</w:t>
      </w:r>
      <w:r>
        <w:rPr>
          <w:rFonts w:ascii="仿宋" w:eastAsia="仿宋" w:hAnsi="仿宋" w:cs="仿宋" w:hint="eastAsia"/>
          <w:sz w:val="24"/>
          <w:szCs w:val="24"/>
          <w:lang w:val="en-US" w:eastAsia="zh-CN"/>
        </w:rPr>
        <w:t>角色游戏   中班幼儿   社会交往能力</w:t>
      </w:r>
    </w:p>
    <w:p>
      <w:pPr>
        <w:numPr>
          <w:ilvl w:val="0"/>
          <w:numId w:val="0"/>
        </w:numPr>
        <w:outlineLvl w:val="1"/>
        <w:rPr>
          <w:rFonts w:ascii="仿宋" w:eastAsia="仿宋" w:hAnsi="仿宋" w:cs="仿宋" w:hint="eastAsia"/>
          <w:sz w:val="24"/>
        </w:rPr>
      </w:pPr>
      <w:r>
        <w:rPr>
          <w:rFonts w:ascii="仿宋" w:eastAsia="仿宋" w:hAnsi="仿宋" w:cs="仿宋" w:hint="eastAsia"/>
          <w:sz w:val="24"/>
          <w:szCs w:val="24"/>
          <w:lang w:val="en-US" w:eastAsia="zh-CN"/>
        </w:rPr>
        <w:t xml:space="preserve">   </w:t>
      </w:r>
    </w:p>
    <w:p>
      <w:pPr>
        <w:jc w:val="left"/>
        <w:rPr>
          <w:rFonts w:ascii="宋体" w:hAnsi="宋体" w:hint="eastAsia"/>
        </w:rPr>
      </w:pPr>
    </w:p>
    <w:p>
      <w:pPr>
        <w:jc w:val="left"/>
        <w:rPr>
          <w:rFonts w:ascii="宋体" w:hAnsi="宋体" w:hint="eastAsia"/>
        </w:rPr>
      </w:pPr>
    </w:p>
    <w:p>
      <w:pPr>
        <w:jc w:val="left"/>
        <w:rPr>
          <w:rFonts w:ascii="宋体" w:hAnsi="宋体" w:hint="eastAsia"/>
        </w:rPr>
      </w:pPr>
    </w:p>
    <w:p>
      <w:pPr>
        <w:jc w:val="left"/>
        <w:rPr>
          <w:rFonts w:ascii="宋体" w:hAnsi="宋体" w:hint="eastAsia"/>
        </w:rPr>
      </w:pPr>
    </w:p>
    <w:p>
      <w:pPr>
        <w:jc w:val="left"/>
        <w:rPr>
          <w:rFonts w:ascii="宋体" w:hAnsi="宋体" w:hint="eastAsia"/>
        </w:rPr>
        <w:sectPr>
          <w:headerReference w:type="default" r:id="rId5"/>
          <w:footerReference w:type="default" r:id="rId6"/>
          <w:footnotePr>
            <w:numFmt w:val="decimalEnclosedCircleChinese"/>
            <w:numRestart w:val="eachPage"/>
          </w:footnotePr>
          <w:pgSz w:w="11906" w:h="16838"/>
          <w:pgMar w:top="1440" w:right="1797" w:bottom="1440" w:left="1797" w:header="851" w:footer="992" w:gutter="0"/>
          <w:pgBorders>
            <w:top w:val="none" w:sz="0" w:space="0" w:color="auto"/>
            <w:left w:val="none" w:sz="0" w:space="0" w:color="auto"/>
            <w:bottom w:val="none" w:sz="0" w:space="0" w:color="auto"/>
            <w:right w:val="none" w:sz="0" w:space="0" w:color="auto"/>
          </w:pgBorders>
          <w:pgNumType w:fmt="upperRoman" w:start="1"/>
          <w:cols w:num="1" w:space="0"/>
          <w:rtlGutter w:val="0"/>
          <w:docGrid w:type="lines" w:linePitch="312" w:charSpace="0"/>
        </w:sectPr>
      </w:pPr>
    </w:p>
    <w:p>
      <w:pPr>
        <w:ind w:firstLine="480" w:firstLineChars="200"/>
        <w:rPr>
          <w:rFonts w:ascii="Times New Roman" w:hAnsi="Times New Roman" w:cs="Times New Roman" w:hint="default"/>
          <w:b/>
          <w:bCs/>
          <w:sz w:val="24"/>
        </w:rPr>
      </w:pPr>
      <w:r>
        <w:rPr>
          <w:rFonts w:ascii="Times New Roman" w:hAnsi="Times New Roman" w:cs="Times New Roman" w:hint="default"/>
          <w:b/>
          <w:bCs/>
          <w:sz w:val="24"/>
          <w:szCs w:val="24"/>
        </w:rPr>
        <w:t>A Study on the Status of Social Communication Ability of Middle School Children in Role Games</w:t>
      </w:r>
    </w:p>
    <w:p>
      <w:pPr>
        <w:ind w:firstLine="480" w:firstLineChars="200"/>
        <w:rPr>
          <w:rFonts w:ascii="Times New Roman" w:hAnsi="Times New Roman" w:cs="Times New Roman" w:hint="default"/>
          <w:b/>
          <w:bCs/>
          <w:sz w:val="24"/>
        </w:rPr>
      </w:pPr>
      <w:r>
        <w:rPr>
          <w:rFonts w:ascii="Times New Roman" w:hAnsi="Times New Roman" w:cs="Times New Roman" w:hint="default"/>
          <w:b/>
          <w:bCs/>
          <w:sz w:val="24"/>
          <w:szCs w:val="24"/>
        </w:rPr>
        <w:t>——Taking Guangyuan S Kindergarten as an example</w:t>
      </w:r>
    </w:p>
    <w:p>
      <w:pPr>
        <w:ind w:firstLine="480" w:firstLineChars="200"/>
        <w:rPr>
          <w:rFonts w:ascii="Times New Roman" w:hAnsi="Times New Roman" w:cs="Times New Roman" w:hint="default"/>
          <w:sz w:val="24"/>
        </w:rPr>
      </w:pPr>
      <w:bookmarkStart w:id="0" w:name="_GoBack"/>
      <w:bookmarkEnd w:id="0"/>
      <w:r>
        <w:rPr>
          <w:rFonts w:ascii="Times New Roman" w:hAnsi="Times New Roman" w:cs="Times New Roman" w:hint="default"/>
          <w:b/>
          <w:bCs/>
          <w:sz w:val="24"/>
          <w:szCs w:val="24"/>
        </w:rPr>
        <w:t>Abstract:</w:t>
      </w:r>
      <w:r>
        <w:rPr>
          <w:rFonts w:ascii="Times New Roman" w:hAnsi="Times New Roman" w:cs="Times New Roman" w:hint="default"/>
          <w:sz w:val="24"/>
          <w:szCs w:val="24"/>
        </w:rPr>
        <w:t xml:space="preserve"> Children's social communication ability is the most important part of their physical and mental development. Good social communication ability helps to promote children's understanding of society, and has an important impact on their physical and mental development and other aspects of development.In role games, it is easier to get rid of self-centered consciousness and build children's basic emotions. It can cultivate self-confidence, optimism, and cheerfulness, and reflect children's social interaction.In order to clearly understand the basic situation of the status of social interaction among middle school children in role games, using the "Social Behavior Observation Scale" and the interviews with teachers, after analyzing the case list, it was found that the social interaction behavior of middle school children in role games feature is:</w:t>
      </w:r>
    </w:p>
    <w:p>
      <w:pPr>
        <w:rPr>
          <w:rFonts w:ascii="Times New Roman" w:hAnsi="Times New Roman" w:cs="Times New Roman" w:hint="default"/>
          <w:sz w:val="24"/>
        </w:rPr>
      </w:pPr>
      <w:r>
        <w:rPr>
          <w:rFonts w:ascii="Times New Roman" w:hAnsi="Times New Roman" w:cs="Times New Roman" w:hint="default"/>
          <w:sz w:val="24"/>
          <w:szCs w:val="24"/>
        </w:rPr>
        <w:t>1. The overall level of social interaction ability of the kindergarten children in role games is low.</w:t>
      </w:r>
    </w:p>
    <w:p>
      <w:pPr>
        <w:rPr>
          <w:rFonts w:ascii="Times New Roman" w:hAnsi="Times New Roman" w:cs="Times New Roman" w:hint="default"/>
          <w:sz w:val="24"/>
        </w:rPr>
      </w:pPr>
      <w:r>
        <w:rPr>
          <w:rFonts w:ascii="Times New Roman" w:hAnsi="Times New Roman" w:cs="Times New Roman" w:hint="default"/>
          <w:sz w:val="24"/>
          <w:szCs w:val="24"/>
        </w:rPr>
        <w:t>2. Its language development ability is the best, then it is the cooperative ability, and its initiative development ability is the lowest.</w:t>
      </w:r>
    </w:p>
    <w:p>
      <w:pPr>
        <w:rPr>
          <w:rFonts w:ascii="Times New Roman" w:hAnsi="Times New Roman" w:cs="Times New Roman" w:hint="default"/>
          <w:sz w:val="24"/>
        </w:rPr>
      </w:pPr>
      <w:r>
        <w:rPr>
          <w:rFonts w:ascii="Times New Roman" w:hAnsi="Times New Roman" w:cs="Times New Roman" w:hint="default"/>
          <w:sz w:val="24"/>
          <w:szCs w:val="24"/>
        </w:rPr>
        <w:t>3. Middle school children's ability to develop with teachers in role games is weaker than their peers' development. Children are most inclined to play with teachers, but the ability to invite teachers to play games is the worst.</w:t>
      </w:r>
    </w:p>
    <w:p>
      <w:pPr>
        <w:rPr>
          <w:rFonts w:ascii="Times New Roman" w:hAnsi="Times New Roman" w:cs="Times New Roman" w:hint="default"/>
          <w:sz w:val="24"/>
        </w:rPr>
      </w:pPr>
      <w:r>
        <w:rPr>
          <w:rFonts w:ascii="Times New Roman" w:hAnsi="Times New Roman" w:cs="Times New Roman" w:hint="default"/>
          <w:sz w:val="24"/>
          <w:szCs w:val="24"/>
        </w:rPr>
        <w:t>4. In the cooperative dimension of role games for middle-school children, their rotation and waiting behavior are the best, and their conflict resolution ability is the worst.</w:t>
      </w:r>
    </w:p>
    <w:p>
      <w:pPr>
        <w:rPr>
          <w:rFonts w:ascii="Times New Roman" w:hAnsi="Times New Roman" w:cs="Times New Roman" w:hint="default"/>
          <w:sz w:val="24"/>
        </w:rPr>
      </w:pPr>
      <w:r>
        <w:rPr>
          <w:rFonts w:ascii="Times New Roman" w:hAnsi="Times New Roman" w:cs="Times New Roman" w:hint="default"/>
          <w:sz w:val="24"/>
          <w:szCs w:val="24"/>
        </w:rPr>
        <w:t>5. Middle school children can express their opinions with coherent language in role games; at the same time, language use is also more accurate, and the level of the two is similar.</w:t>
      </w:r>
    </w:p>
    <w:p>
      <w:pPr>
        <w:rPr>
          <w:rFonts w:ascii="Times New Roman" w:hAnsi="Times New Roman" w:cs="Times New Roman" w:hint="default"/>
          <w:sz w:val="24"/>
        </w:rPr>
      </w:pPr>
      <w:r>
        <w:rPr>
          <w:rFonts w:ascii="Times New Roman" w:hAnsi="Times New Roman" w:cs="Times New Roman" w:hint="default"/>
          <w:sz w:val="24"/>
          <w:szCs w:val="24"/>
        </w:rPr>
        <w:t>6. In the role game, the children in the middle class have the best turns and waiting behavior, and the behavior of inviting teachers to participate in the game is the worst.</w:t>
      </w:r>
    </w:p>
    <w:p>
      <w:pPr>
        <w:rPr>
          <w:rFonts w:ascii="Times New Roman" w:hAnsi="Times New Roman" w:cs="Times New Roman" w:hint="default"/>
          <w:sz w:val="24"/>
        </w:rPr>
      </w:pPr>
      <w:r>
        <w:rPr>
          <w:rFonts w:ascii="Times New Roman" w:hAnsi="Times New Roman" w:cs="Times New Roman" w:hint="default"/>
          <w:sz w:val="24"/>
          <w:szCs w:val="24"/>
        </w:rPr>
        <w:t>7. Playing in the context of a role theme, the interaction between the middle school child and the teacher is better than the interaction with the teacher under free activities.</w:t>
      </w:r>
    </w:p>
    <w:p>
      <w:pPr>
        <w:ind w:firstLine="480" w:firstLineChars="200"/>
        <w:rPr>
          <w:rFonts w:ascii="Times New Roman" w:hAnsi="Times New Roman" w:cs="Times New Roman" w:hint="default"/>
          <w:sz w:val="24"/>
        </w:rPr>
      </w:pPr>
      <w:r>
        <w:rPr>
          <w:rFonts w:ascii="Times New Roman" w:hAnsi="Times New Roman" w:cs="Times New Roman" w:hint="default"/>
          <w:sz w:val="24"/>
          <w:szCs w:val="24"/>
        </w:rPr>
        <w:t>After interviewing the teachers, the materials were sorted out, and the following suggestions were drawn to promote the development of social interaction skills of middle school children in role games.</w:t>
      </w:r>
    </w:p>
    <w:p>
      <w:pPr>
        <w:ind w:firstLine="480" w:firstLineChars="200"/>
        <w:rPr>
          <w:rFonts w:ascii="Times New Roman" w:hAnsi="Times New Roman" w:cs="Times New Roman" w:hint="default"/>
          <w:sz w:val="24"/>
        </w:rPr>
      </w:pPr>
      <w:r>
        <w:rPr>
          <w:rFonts w:ascii="Times New Roman" w:hAnsi="Times New Roman" w:cs="Times New Roman" w:hint="default"/>
          <w:sz w:val="24"/>
          <w:szCs w:val="24"/>
        </w:rPr>
        <w:t>(I) Attach importance to the interaction between middle school children and teachers in role games, and encourage children to actively communicate with adults.</w:t>
      </w:r>
    </w:p>
    <w:p>
      <w:pPr>
        <w:ind w:firstLine="480" w:firstLineChars="200"/>
        <w:rPr>
          <w:rFonts w:ascii="Times New Roman" w:hAnsi="Times New Roman" w:cs="Times New Roman" w:hint="default"/>
          <w:sz w:val="24"/>
        </w:rPr>
      </w:pPr>
      <w:r>
        <w:rPr>
          <w:rFonts w:ascii="Times New Roman" w:hAnsi="Times New Roman" w:cs="Times New Roman" w:hint="default"/>
          <w:sz w:val="24"/>
          <w:szCs w:val="24"/>
        </w:rPr>
        <w:t>(2) Choose a rich role-playing theme to promote children's social communication skills.</w:t>
      </w:r>
    </w:p>
    <w:p>
      <w:pPr>
        <w:ind w:firstLine="480" w:firstLineChars="200"/>
        <w:rPr>
          <w:rFonts w:ascii="Times New Roman" w:hAnsi="Times New Roman" w:cs="Times New Roman" w:hint="default"/>
          <w:sz w:val="24"/>
        </w:rPr>
      </w:pPr>
      <w:r>
        <w:rPr>
          <w:rFonts w:ascii="Times New Roman" w:hAnsi="Times New Roman" w:cs="Times New Roman" w:hint="default"/>
          <w:sz w:val="24"/>
          <w:szCs w:val="24"/>
        </w:rPr>
        <w:t>(3) Correctly use daily communication situations to cultivate the development of children's language expression.</w:t>
      </w:r>
    </w:p>
    <w:p>
      <w:pPr>
        <w:ind w:firstLine="480" w:firstLineChars="200"/>
        <w:rPr>
          <w:rFonts w:ascii="Times New Roman" w:hAnsi="Times New Roman" w:cs="Times New Roman" w:hint="default"/>
          <w:sz w:val="24"/>
        </w:rPr>
      </w:pPr>
      <w:r>
        <w:rPr>
          <w:rFonts w:ascii="Times New Roman" w:hAnsi="Times New Roman" w:cs="Times New Roman" w:hint="default"/>
          <w:sz w:val="24"/>
          <w:szCs w:val="24"/>
        </w:rPr>
        <w:t>(4) Increasing game materials in role-playing areas to promote cooperative development among young children.</w:t>
      </w:r>
    </w:p>
    <w:p>
      <w:pPr>
        <w:ind w:firstLine="480" w:firstLineChars="200"/>
        <w:rPr>
          <w:rFonts w:ascii="Times New Roman" w:hAnsi="Times New Roman" w:cs="Times New Roman" w:hint="default"/>
          <w:sz w:val="24"/>
        </w:rPr>
      </w:pPr>
      <w:r>
        <w:rPr>
          <w:rFonts w:ascii="Times New Roman" w:hAnsi="Times New Roman" w:cs="Times New Roman" w:hint="default"/>
          <w:sz w:val="24"/>
          <w:szCs w:val="24"/>
        </w:rPr>
        <w:t>(5)</w:t>
      </w:r>
      <w:r>
        <w:rPr>
          <w:rFonts w:ascii="Times New Roman" w:hAnsi="Times New Roman" w:cs="Times New Roman" w:hint="default"/>
          <w:sz w:val="24"/>
          <w:szCs w:val="24"/>
        </w:rPr>
        <w:t xml:space="preserve"> Parents</w:t>
      </w:r>
      <w:r>
        <w:rPr>
          <w:rFonts w:ascii="Times New Roman" w:hAnsi="Times New Roman" w:cs="Times New Roman" w:hint="default"/>
          <w:sz w:val="24"/>
          <w:szCs w:val="24"/>
        </w:rPr>
        <w:t xml:space="preserve"> can</w:t>
      </w:r>
      <w:r>
        <w:rPr>
          <w:rFonts w:ascii="Times New Roman" w:hAnsi="Times New Roman" w:cs="Times New Roman" w:hint="default"/>
          <w:sz w:val="24"/>
          <w:szCs w:val="24"/>
        </w:rPr>
        <w:t xml:space="preserve"> take</w:t>
      </w:r>
      <w:r>
        <w:rPr>
          <w:rFonts w:ascii="Times New Roman" w:hAnsi="Times New Roman" w:cs="Times New Roman" w:hint="default"/>
          <w:sz w:val="24"/>
          <w:szCs w:val="24"/>
        </w:rPr>
        <w:t xml:space="preserve"> advantage</w:t>
      </w:r>
      <w:r>
        <w:rPr>
          <w:rFonts w:ascii="Times New Roman" w:hAnsi="Times New Roman" w:cs="Times New Roman" w:hint="default"/>
          <w:sz w:val="24"/>
          <w:szCs w:val="24"/>
        </w:rPr>
        <w:t xml:space="preserve"> of</w:t>
      </w:r>
      <w:r>
        <w:rPr>
          <w:rFonts w:ascii="Times New Roman" w:hAnsi="Times New Roman" w:cs="Times New Roman" w:hint="default"/>
          <w:sz w:val="24"/>
          <w:szCs w:val="24"/>
        </w:rPr>
        <w:t xml:space="preserve"> the</w:t>
      </w:r>
      <w:r>
        <w:rPr>
          <w:rFonts w:ascii="Times New Roman" w:hAnsi="Times New Roman" w:cs="Times New Roman" w:hint="default"/>
          <w:sz w:val="24"/>
          <w:szCs w:val="24"/>
        </w:rPr>
        <w:t xml:space="preserve"> opportunities</w:t>
      </w:r>
      <w:r>
        <w:rPr>
          <w:rFonts w:ascii="Times New Roman" w:hAnsi="Times New Roman" w:cs="Times New Roman" w:hint="default"/>
          <w:sz w:val="24"/>
          <w:szCs w:val="24"/>
        </w:rPr>
        <w:t xml:space="preserve"> of</w:t>
      </w:r>
      <w:r>
        <w:rPr>
          <w:rFonts w:ascii="Times New Roman" w:hAnsi="Times New Roman" w:cs="Times New Roman" w:hint="default"/>
          <w:sz w:val="24"/>
          <w:szCs w:val="24"/>
        </w:rPr>
        <w:t xml:space="preserve"> daily</w:t>
      </w:r>
      <w:r>
        <w:rPr>
          <w:rFonts w:ascii="Times New Roman" w:hAnsi="Times New Roman" w:cs="Times New Roman" w:hint="default"/>
          <w:sz w:val="24"/>
          <w:szCs w:val="24"/>
        </w:rPr>
        <w:t xml:space="preserve"> creative</w:t>
      </w:r>
      <w:r>
        <w:rPr>
          <w:rFonts w:ascii="Times New Roman" w:hAnsi="Times New Roman" w:cs="Times New Roman" w:hint="default"/>
          <w:sz w:val="24"/>
          <w:szCs w:val="24"/>
        </w:rPr>
        <w:t xml:space="preserve"> learning</w:t>
      </w:r>
      <w:r>
        <w:rPr>
          <w:rFonts w:ascii="Times New Roman" w:hAnsi="Times New Roman" w:cs="Times New Roman" w:hint="default"/>
          <w:sz w:val="24"/>
          <w:szCs w:val="24"/>
        </w:rPr>
        <w:t xml:space="preserve"> to</w:t>
      </w:r>
      <w:r>
        <w:rPr>
          <w:rFonts w:ascii="Times New Roman" w:hAnsi="Times New Roman" w:cs="Times New Roman" w:hint="default"/>
          <w:sz w:val="24"/>
        </w:rPr>
        <w:br/>
      </w:r>
      <w:r>
        <w:rPr>
          <w:rFonts w:ascii="Times New Roman" w:hAnsi="Times New Roman" w:cs="Times New Roman" w:hint="default"/>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https://d.book118.com/318053136134006034</w:t>
        </w:r>
      </w:hyperlink>
    </w:p>
    <w:p>
      <w:pPr>
        <w:ind w:firstLine="480" w:firstLineChars="200"/>
        <w:rPr>
          <w:rFonts w:ascii="Times New Roman" w:hAnsi="Times New Roman" w:cs="Times New Roman" w:hint="default"/>
          <w:sz w:val="24"/>
        </w:rPr>
      </w:pPr>
    </w:p>
    <w:sectPr>
      <w:headerReference w:type="default" r:id="rId8"/>
      <w:footerReference w:type="default" r:id="rId9"/>
      <w:footnotePr>
        <w:numFmt w:val="decimalEnclosedCircleChinese"/>
        <w:numRestart w:val="eachPage"/>
      </w:footnotePr>
      <w:type w:val="nextPage"/>
      <w:pgSz w:w="11906" w:h="16838"/>
      <w:pgMar w:top="1440" w:right="1797" w:bottom="1440" w:left="1797" w:header="851" w:footer="992" w:gutter="0"/>
      <w:pgBorders>
        <w:top w:val="none" w:sz="0" w:space="0" w:color="auto"/>
        <w:left w:val="none" w:sz="0" w:space="0" w:color="auto"/>
        <w:bottom w:val="none" w:sz="0" w:space="0" w:color="auto"/>
        <w:right w:val="none" w:sz="0" w:space="0" w:color="auto"/>
      </w:pgBorders>
      <w:pgNumType w:fmt="upperRoman" w:start="2"/>
      <w:cols w:num="1" w:space="0"/>
      <w:titlePg w:val="0"/>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000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49" type="#_x0000_t202" style="width:2in;height:2in;margin-top:0;margin-left:0;mso-position-horizontal:center;mso-position-horizontal-relative:margin;mso-wrap-distance-bottom:0;mso-wrap-distance-left:0;mso-wrap-distance-right:0;mso-wrap-distance-top:0;mso-wrap-style:none;position:absolute;v-text-anchor:top;z-index:251658240"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w:t>
                    </w:r>
                    <w:r>
                      <w:rPr>
                        <w:rFonts w:hint="eastAsia"/>
                        <w:lang w:eastAsia="zh-CN"/>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21"/>
      </w:rPr>
      <mc:AlternateContent>
        <mc:Choice Requires="wps">
          <w:drawing>
            <wp:anchor distT="0" distB="0" distL="0" distR="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5318557" name="文本框 28"/>
              <wp:cNvGraphicFramePr/>
              <a:graphic xmlns:a="http://schemas.openxmlformats.org/drawingml/2006/main">
                <a:graphicData uri="http://schemas.microsoft.com/office/word/2010/wordprocessingShape">
                  <wps:wsp xmlns:wps="http://schemas.microsoft.com/office/word/2010/wordprocessingShape">
                    <wps:cNvSpPr/>
                    <wps:spPr>
                      <a:xfrm>
                        <a:off x="0" y="0"/>
                        <a:ext cx="1828800" cy="1828800"/>
                      </a:xfrm>
                      <a:prstGeom prst="rect">
                        <a:avLst/>
                      </a:prstGeom>
                      <a:ln>
                        <a:noFill/>
                      </a:ln>
                    </wps:spPr>
                    <wps:txbx>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28" o:spid="_x0000_s2050" type="#_x0000_t202" style="width:2in;height:2in;margin-top:0;margin-left:0;mso-position-horizontal:center;mso-position-horizontal-relative:margin;mso-wrap-distance-bottom:0;mso-wrap-distance-left:0;mso-wrap-distance-right:0;mso-wrap-distance-top:0;mso-wrap-style:none;position:absolute;v-text-anchor:top;z-index:251660288" fillcolor="this" stroked="f">
              <v:textbox style="mso-fit-shape-to-text:t" inset="0,0,0,0">
                <w:txbxContent>
                  <w:p>
                    <w:pPr>
                      <w:pStyle w:val="Footer"/>
                      <w:rPr>
                        <w:rFonts w:eastAsia="宋体"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II</w:t>
                    </w:r>
                    <w:r>
                      <w:rPr>
                        <w:rFonts w:hint="eastAsia"/>
                        <w:lang w:eastAsia="zh-CN"/>
                      </w:rP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8D301E1F"/>
    <w:multiLevelType w:val="singleLevel"/>
    <w:tmpl w:val="8D301E1F"/>
    <w:lvl w:ilvl="0">
      <w:start w:val="2"/>
      <w:numFmt w:val="decimal"/>
      <w:lvlText w:val="%1."/>
      <w:lvlJc w:val="left"/>
      <w:pPr>
        <w:tabs>
          <w:tab w:val="left" w:pos="312"/>
        </w:tabs>
      </w:pPr>
    </w:lvl>
  </w:abstractNum>
  <w:abstractNum w:abstractNumId="1">
    <w:nsid w:val="00000000"/>
    <w:multiLevelType w:val="singleLevel"/>
    <w:tmpl w:val="00000000"/>
    <w:lvl w:ilvl="0">
      <w:start w:val="2"/>
      <w:numFmt w:val="decimal"/>
      <w:lvlText w:val="%1."/>
      <w:lvlJc w:val="left"/>
      <w:pPr>
        <w:tabs>
          <w:tab w:val="left" w:pos="312"/>
        </w:tabs>
      </w:pPr>
    </w:lvl>
  </w:abstractNum>
  <w:abstractNum w:abstractNumId="2">
    <w:nsid w:val="00000001"/>
    <w:multiLevelType w:val="singleLevel"/>
    <w:tmpl w:val="00000001"/>
    <w:lvl w:ilvl="0">
      <w:start w:val="1"/>
      <w:numFmt w:val="decimal"/>
      <w:lvlText w:val="%1."/>
      <w:lvlJc w:val="left"/>
      <w:pPr>
        <w:tabs>
          <w:tab w:val="left" w:pos="312"/>
        </w:tabs>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70"/>
  <w:defaultTabStop w:val="420"/>
  <w:drawingGridVerticalSpacing w:val="156"/>
  <w:displayHorizontalDrawingGridEvery w:val="0"/>
  <w:displayVerticalDrawingGridEvery w:val="2"/>
  <w:characterSpacingControl w:val="compressPunctuation"/>
  <w:footnotePr>
    <w:numFmt w:val="decimalEnclosedCircleChinese"/>
    <w:numRestart w:val="eachPage"/>
  </w:foot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3A650E6"/>
    <w:rsid w:val="04D634C0"/>
    <w:rsid w:val="095F53B2"/>
    <w:rsid w:val="0DE16DF1"/>
    <w:rsid w:val="131A3D8C"/>
    <w:rsid w:val="139A2DC4"/>
    <w:rsid w:val="14127364"/>
    <w:rsid w:val="1C336CEE"/>
    <w:rsid w:val="1D877EAA"/>
    <w:rsid w:val="23C97B6D"/>
    <w:rsid w:val="24414ECA"/>
    <w:rsid w:val="277322AC"/>
    <w:rsid w:val="28B70018"/>
    <w:rsid w:val="2B350A83"/>
    <w:rsid w:val="2E397CC8"/>
    <w:rsid w:val="34C803AF"/>
    <w:rsid w:val="3B365F51"/>
    <w:rsid w:val="3D4E29F7"/>
    <w:rsid w:val="3F217B4D"/>
    <w:rsid w:val="45C52934"/>
    <w:rsid w:val="4F7942F5"/>
    <w:rsid w:val="5E6025FC"/>
    <w:rsid w:val="5E8F3DD4"/>
    <w:rsid w:val="616D415F"/>
    <w:rsid w:val="6201314D"/>
    <w:rsid w:val="62D0329F"/>
    <w:rsid w:val="718128CA"/>
    <w:rsid w:val="76720503"/>
    <w:rsid w:val="7E2F7042"/>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qFormat="1"/>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qFormat="1"/>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semiHidden="0"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Calibri" w:eastAsia="宋体" w:hAnsi="Calibri" w:cs="宋体"/>
      <w:kern w:val="2"/>
      <w:sz w:val="21"/>
      <w:szCs w:val="24"/>
      <w:lang w:val="en-US" w:eastAsia="zh-CN" w:bidi="ar-SA"/>
    </w:rPr>
  </w:style>
  <w:style w:type="paragraph" w:styleId="Heading1">
    <w:name w:val="heading 1"/>
    <w:basedOn w:val="Normal"/>
    <w:next w:val="Normal"/>
    <w:autoRedefine/>
    <w:qFormat/>
    <w:pPr>
      <w:keepNext/>
      <w:keepLines/>
      <w:spacing w:before="340" w:beforeAutospacing="0" w:after="330" w:afterAutospacing="0" w:line="576" w:lineRule="auto"/>
      <w:outlineLvl w:val="0"/>
    </w:pPr>
    <w:rPr>
      <w:rFonts w:ascii="Calibri" w:eastAsia="宋体" w:hAnsi="Calibri"/>
      <w:kern w:val="44"/>
      <w:sz w:val="24"/>
    </w:rPr>
  </w:style>
  <w:style w:type="character" w:default="1" w:styleId="DefaultParagraphFont">
    <w:name w:val="Default Paragraph Font"/>
    <w:qFormat/>
  </w:style>
  <w:style w:type="table" w:default="1" w:styleId="TableNormal">
    <w:name w:val="Normal Table"/>
    <w:qFormat/>
    <w:tblPr>
      <w:tblCellMar>
        <w:top w:w="0" w:type="dxa"/>
        <w:left w:w="108" w:type="dxa"/>
        <w:bottom w:w="0" w:type="dxa"/>
        <w:right w:w="108" w:type="dxa"/>
      </w:tblCellMar>
    </w:tblPr>
  </w:style>
  <w:style w:type="paragraph" w:styleId="Footer">
    <w:name w:val="footer"/>
    <w:basedOn w:val="Normal"/>
    <w:qFormat/>
    <w:pPr>
      <w:tabs>
        <w:tab w:val="center" w:pos="4153"/>
        <w:tab w:val="right" w:pos="8306"/>
      </w:tabs>
      <w:snapToGrid w:val="0"/>
      <w:jc w:val="left"/>
    </w:pPr>
    <w:rPr>
      <w:sz w:val="18"/>
    </w:rPr>
  </w:style>
  <w:style w:type="paragraph" w:styleId="FootnoteText">
    <w:name w:val="footnote text"/>
    <w:basedOn w:val="Normal"/>
    <w:autoRedefine/>
    <w:qFormat/>
    <w:pPr>
      <w:snapToGrid w:val="0"/>
      <w:jc w:val="left"/>
    </w:pPr>
    <w:rPr>
      <w:sz w:val="18"/>
    </w:rPr>
  </w:style>
  <w:style w:type="paragraph" w:styleId="NormalWeb">
    <w:name w:val="Normal (Web)"/>
    <w:basedOn w:val="Normal"/>
    <w:autoRedefine/>
    <w:uiPriority w:val="99"/>
    <w:qFormat/>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autoRedefine/>
    <w:qFormat/>
    <w:rPr>
      <w:vertAlign w:val="superscript"/>
    </w:rPr>
  </w:style>
  <w:style w:type="character" w:styleId="FootnoteReference">
    <w:name w:val="footnote reference"/>
    <w:basedOn w:val="DefaultParagraphFont"/>
    <w:autoRedefine/>
    <w:qFormat/>
    <w:rPr>
      <w:vertAlign w:val="superscript"/>
    </w:rPr>
  </w:style>
  <w:style w:type="paragraph" w:customStyle="1" w:styleId="1">
    <w:name w:val="样式1"/>
    <w:basedOn w:val="a"/>
    <w:autoRedefine/>
    <w:qFormat/>
  </w:style>
  <w:style w:type="paragraph" w:customStyle="1" w:styleId="a">
    <w:name w:val="所有正文"/>
    <w:basedOn w:val="Normal"/>
    <w:link w:val="Char"/>
    <w:autoRedefine/>
    <w:qFormat/>
    <w:pPr>
      <w:spacing w:line="400" w:lineRule="exact"/>
      <w:ind w:firstLine="883" w:firstLineChars="200"/>
    </w:pPr>
    <w:rPr>
      <w:rFonts w:ascii="Times New Roman" w:hAnsi="Times New Roman"/>
      <w:b/>
      <w:sz w:val="24"/>
    </w:rPr>
  </w:style>
  <w:style w:type="paragraph" w:customStyle="1" w:styleId="a0">
    <w:name w:val="二级标题"/>
    <w:basedOn w:val="Normal"/>
    <w:link w:val="Char0"/>
    <w:autoRedefine/>
    <w:qFormat/>
    <w:pPr>
      <w:spacing w:line="400" w:lineRule="exact"/>
      <w:ind w:firstLine="883" w:firstLineChars="200"/>
    </w:pPr>
    <w:rPr>
      <w:rFonts w:ascii="Calibri" w:eastAsia="宋体" w:hAnsi="Calibri"/>
      <w:sz w:val="24"/>
    </w:rPr>
  </w:style>
  <w:style w:type="character" w:customStyle="1" w:styleId="Char">
    <w:name w:val="一级标题 Char"/>
    <w:link w:val="a"/>
    <w:autoRedefine/>
    <w:qFormat/>
    <w:rPr>
      <w:rFonts w:ascii="Times New Roman" w:eastAsia="宋体" w:hAnsi="Times New Roman"/>
      <w:b/>
      <w:sz w:val="24"/>
    </w:rPr>
  </w:style>
  <w:style w:type="character" w:customStyle="1" w:styleId="Char0">
    <w:name w:val="二级标题 Char"/>
    <w:link w:val="a0"/>
    <w:qFormat/>
    <w:rPr>
      <w:rFonts w:ascii="Calibri" w:eastAsia="宋体" w:hAnsi="Calibri"/>
      <w:sz w:val="24"/>
    </w:rPr>
  </w:style>
  <w:style w:type="paragraph" w:customStyle="1" w:styleId="a1">
    <w:name w:val="正文中文"/>
    <w:basedOn w:val="Normal"/>
    <w:link w:val="Char1"/>
    <w:autoRedefine/>
    <w:qFormat/>
    <w:pPr>
      <w:spacing w:line="400" w:lineRule="exact"/>
      <w:ind w:firstLine="720" w:firstLineChars="200"/>
    </w:pPr>
    <w:rPr>
      <w:rFonts w:ascii="Times New Roman" w:eastAsia="宋体" w:hAnsi="Times New Roman"/>
      <w:sz w:val="24"/>
    </w:rPr>
  </w:style>
  <w:style w:type="character" w:customStyle="1" w:styleId="Char1">
    <w:name w:val="正文中文 Char"/>
    <w:link w:val="a1"/>
    <w:autoRedefine/>
    <w:qFormat/>
    <w:rPr>
      <w:rFonts w:ascii="Times New Roman" w:eastAsia="宋体" w:hAnsi="Times New Roman"/>
      <w:sz w:val="24"/>
    </w:rPr>
  </w:style>
  <w:style w:type="paragraph" w:customStyle="1" w:styleId="a2">
    <w:name w:val="三级及以上"/>
    <w:basedOn w:val="a1"/>
    <w:qFormat/>
  </w:style>
  <w:style w:type="paragraph" w:customStyle="1" w:styleId="a3">
    <w:name w:val="注释"/>
    <w:basedOn w:val="a1"/>
    <w:link w:val="Char2"/>
    <w:autoRedefine/>
    <w:qFormat/>
    <w:pPr>
      <w:spacing w:line="240" w:lineRule="auto"/>
      <w:ind w:firstLine="0" w:firstLineChars="0"/>
      <w:jc w:val="left"/>
    </w:pPr>
    <w:rPr>
      <w:rFonts w:ascii="Times New Roman" w:hAnsi="Times New Roman"/>
      <w:sz w:val="18"/>
    </w:rPr>
  </w:style>
  <w:style w:type="character" w:customStyle="1" w:styleId="Char2">
    <w:name w:val="注释 Char"/>
    <w:link w:val="a3"/>
    <w:autoRedefine/>
    <w:qFormat/>
    <w:rPr>
      <w:rFonts w:ascii="Times New Roman" w:eastAsia="宋体" w:hAnsi="Times New Roman"/>
      <w:sz w:val="18"/>
    </w:rPr>
  </w:style>
  <w:style w:type="paragraph" w:customStyle="1" w:styleId="a4">
    <w:name w:val="文献尾注"/>
    <w:basedOn w:val="a3"/>
    <w:autoRedefine/>
    <w:qFormat/>
    <w:pPr>
      <w:jc w:val="both"/>
    </w:pPr>
    <w:rPr>
      <w:rFonts w:ascii="Times New Roman" w:hAnsi="Times New Roman"/>
      <w:sz w:val="21"/>
    </w:rPr>
  </w:style>
  <w:style w:type="paragraph" w:customStyle="1" w:styleId="a5">
    <w:name w:val="各章标题"/>
    <w:basedOn w:val="a"/>
    <w:qFormat/>
    <w:rPr>
      <w:rFonts w:ascii="Times New Roman" w:eastAsia="黑体" w:hAnsi="Times New Roman"/>
      <w:sz w:val="28"/>
    </w:rPr>
  </w:style>
  <w:style w:type="paragraph" w:customStyle="1" w:styleId="a6">
    <w:name w:val="标题正文"/>
    <w:basedOn w:val="a1"/>
    <w:autoRedefine/>
    <w:qFormat/>
    <w:rPr>
      <w:rFonts w:ascii="Times New Roman" w:hAnsi="Times New Roman"/>
    </w:rPr>
  </w:style>
  <w:style w:type="table" w:customStyle="1" w:styleId="31">
    <w:name w:val="无格式表格 31"/>
    <w:basedOn w:val="TableNormal"/>
    <w:qFormat/>
    <w:rPr>
      <w:rFonts w:hint="eastAsia"/>
    </w:rPr>
    <w:tblPr/>
    <w:tblStylePr w:type="firstRow">
      <w:rPr>
        <w:b/>
        <w:bCs/>
        <w:caps/>
      </w:rPr>
      <w:tblPr/>
      <w:tcPr>
        <w:tcBorders>
          <w:top w:val="nil"/>
          <w:left w:val="nil"/>
          <w:bottom w:val="single" w:sz="4" w:space="0" w:color="7F7F7F"/>
          <w:right w:val="nil"/>
          <w:insideH w:val="nil"/>
          <w:insideV w:val="nil"/>
          <w:tl2br w:val="nil"/>
          <w:tr2bl w:val="nil"/>
        </w:tcBorders>
      </w:tcPr>
    </w:tblStylePr>
    <w:tblStylePr w:type="lastRow">
      <w:rPr>
        <w:b/>
        <w:bCs/>
        <w:caps/>
      </w:rPr>
      <w:tblPr/>
      <w:tcPr>
        <w:tcBorders>
          <w:top w:val="nil"/>
          <w:left w:val="nil"/>
          <w:bottom w:val="nil"/>
          <w:right w:val="nil"/>
          <w:insideH w:val="nil"/>
          <w:insideV w:val="nil"/>
          <w:tl2br w:val="nil"/>
          <w:tr2bl w:val="nil"/>
        </w:tcBorders>
      </w:tcPr>
    </w:tblStylePr>
    <w:tblStylePr w:type="firstCol">
      <w:rPr>
        <w:b/>
        <w:bCs/>
        <w:caps/>
      </w:rPr>
      <w:tblPr/>
      <w:tcPr>
        <w:tcBorders>
          <w:top w:val="nil"/>
          <w:left w:val="nil"/>
          <w:bottom w:val="nil"/>
          <w:right w:val="single" w:sz="4" w:space="0" w:color="7F7F7F"/>
          <w:insideH w:val="nil"/>
          <w:insideV w:val="nil"/>
          <w:tl2br w:val="nil"/>
          <w:tr2bl w:val="nil"/>
        </w:tcBorders>
      </w:tcPr>
    </w:tblStylePr>
    <w:tblStylePr w:type="lastCol">
      <w:rPr>
        <w:b/>
        <w:bCs/>
        <w:caps/>
      </w:rPr>
      <w:tblPr/>
      <w:tcPr>
        <w:tcBorders>
          <w:top w:val="nil"/>
          <w:left w:val="nil"/>
          <w:bottom w:val="nil"/>
          <w:right w:val="nil"/>
          <w:insideH w:val="nil"/>
          <w:insideV w:val="nil"/>
          <w:tl2br w:val="nil"/>
          <w:tr2bl w:val="nil"/>
        </w:tcBorders>
      </w:tcPr>
    </w:tblStylePr>
    <w:tblStylePr w:type="band1Vert">
      <w:tblPr/>
      <w:tcPr>
        <w:shd w:val="clear" w:color="auto" w:fill="F2F2F2"/>
      </w:tcPr>
    </w:tblStylePr>
    <w:tblStylePr w:type="band1Horz">
      <w:tblPr/>
      <w:tcPr>
        <w:shd w:val="clear" w:color="auto" w:fill="F2F2F2"/>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style>
  <w:style w:type="paragraph" w:customStyle="1" w:styleId="WPSOffice1">
    <w:name w:val="WPSOffice手动目录 1"/>
    <w:autoRedefine/>
    <w:qFormat/>
    <w:pPr>
      <w:ind w:leftChars="0"/>
    </w:pPr>
    <w:rPr>
      <w:rFonts w:ascii="等线" w:eastAsia="等线" w:hAnsi="等线" w:cs="等线"/>
      <w:sz w:val="20"/>
      <w:szCs w:val="20"/>
    </w:rPr>
  </w:style>
  <w:style w:type="paragraph" w:customStyle="1" w:styleId="WPSOffice2">
    <w:name w:val="WPSOffice手动目录 2"/>
    <w:autoRedefine/>
    <w:qFormat/>
    <w:pPr>
      <w:ind w:leftChars="200"/>
    </w:pPr>
    <w:rPr>
      <w:rFonts w:ascii="等线" w:eastAsia="等线" w:hAnsi="等线" w:cs="等线"/>
      <w:sz w:val="20"/>
      <w:szCs w:val="20"/>
    </w:rPr>
  </w:style>
  <w:style w:type="paragraph" w:customStyle="1" w:styleId="WPSOffice3">
    <w:name w:val="WPSOffice手动目录 3"/>
    <w:autoRedefine/>
    <w:qFormat/>
    <w:pPr>
      <w:ind w:leftChars="400"/>
    </w:pPr>
    <w:rPr>
      <w:rFonts w:ascii="等线" w:eastAsia="等线" w:hAnsi="等线" w:cs="等线"/>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yperlink" Target="https://d.book118.com/318053136134006034" TargetMode="Externa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2</Pages>
  <Words>28927</Words>
  <Characters>31726</Characters>
  <Application>Microsoft Office Word</Application>
  <DocSecurity>0</DocSecurity>
  <Lines>1</Lines>
  <Paragraphs>1</Paragraphs>
  <ScaleCrop>false</ScaleCrop>
  <Company/>
  <LinksUpToDate>false</LinksUpToDate>
  <CharactersWithSpaces>32655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Beautiful</dc:creator>
  <cp:lastModifiedBy>张老师</cp:lastModifiedBy>
  <cp:revision>1</cp:revision>
  <dcterms:created xsi:type="dcterms:W3CDTF">2020-01-01T02:27:00Z</dcterms:created>
  <dcterms:modified xsi:type="dcterms:W3CDTF">2024-01-08T08:48:10Z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80DAA5C8F74C4A79A835727CFCAC0C97_12</vt:lpwstr>
  </property>
  <property fmtid="{D5CDD505-2E9C-101B-9397-08002B2CF9AE}" pid="3" name="KSOProductBuildVer">
    <vt:lpwstr>2052-12.1.0.16120</vt:lpwstr>
  </property>
  <property fmtid="{D5CDD505-2E9C-101B-9397-08002B2CF9AE}" pid="4" name="KSORubyTemplateID" linkTarget="0">
    <vt:lpwstr>6</vt:lpwstr>
  </property>
</Properties>
</file>