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PCB感光油墨项目规划设计纲要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8" w:history="1">
        <w:r>
          <w:rPr>
            <w:rFonts w:ascii="仿宋" w:eastAsia="仿宋" w:hAnsi="仿宋" w:cs="仿宋" w:hint="eastAsia"/>
            <w:lang w:eastAsia="zh-CN"/>
          </w:rPr>
          <w:t>概论</w:t>
        </w:r>
        <w:r>
          <w:tab/>
        </w:r>
        <w:r>
          <w:fldChar w:fldCharType="begin"/>
        </w:r>
        <w:r>
          <w:instrText xml:space="preserve"> PAGEREF _Toc19428 \h </w:instrText>
        </w:r>
        <w:r>
          <w:fldChar w:fldCharType="separate"/>
        </w:r>
        <w:r>
          <w:t>3</w:t>
        </w:r>
        <w:r>
          <w:fldChar w:fldCharType="end"/>
        </w:r>
      </w:hyperlink>
    </w:p>
    <w:p>
      <w:pPr>
        <w:pStyle w:val="TOC1"/>
        <w:tabs>
          <w:tab w:val="right" w:leader="dot" w:pos="8306"/>
        </w:tabs>
      </w:pPr>
      <w:hyperlink w:anchor="_Toc18842" w:history="1">
        <w:r>
          <w:rPr>
            <w:rFonts w:ascii="仿宋" w:eastAsia="仿宋" w:hAnsi="仿宋" w:cs="仿宋" w:hint="eastAsia"/>
            <w:lang w:eastAsia="zh-CN"/>
          </w:rPr>
          <w:t>一、PCB感光油墨项目危机管理</w:t>
        </w:r>
        <w:r>
          <w:tab/>
        </w:r>
        <w:r>
          <w:fldChar w:fldCharType="begin"/>
        </w:r>
        <w:r>
          <w:instrText xml:space="preserve"> PAGEREF _Toc18842 \h </w:instrText>
        </w:r>
        <w:r>
          <w:fldChar w:fldCharType="separate"/>
        </w:r>
        <w:r>
          <w:t>3</w:t>
        </w:r>
        <w:r>
          <w:fldChar w:fldCharType="end"/>
        </w:r>
      </w:hyperlink>
    </w:p>
    <w:p>
      <w:pPr>
        <w:pStyle w:val="TOC2"/>
        <w:tabs>
          <w:tab w:val="right" w:leader="dot" w:pos="8306"/>
        </w:tabs>
      </w:pPr>
      <w:hyperlink w:anchor="_Toc20327" w:history="1">
        <w:r>
          <w:rPr>
            <w:rFonts w:ascii="仿宋" w:eastAsia="仿宋" w:hAnsi="仿宋" w:cs="仿宋" w:hint="eastAsia"/>
            <w:lang w:eastAsia="zh-CN"/>
          </w:rPr>
          <w:t>(一)、危机预警与识别</w:t>
        </w:r>
        <w:r>
          <w:tab/>
        </w:r>
        <w:r>
          <w:fldChar w:fldCharType="begin"/>
        </w:r>
        <w:r>
          <w:instrText xml:space="preserve"> PAGEREF _Toc20327 \h </w:instrText>
        </w:r>
        <w:r>
          <w:fldChar w:fldCharType="separate"/>
        </w:r>
        <w:r>
          <w:t>3</w:t>
        </w:r>
        <w:r>
          <w:fldChar w:fldCharType="end"/>
        </w:r>
      </w:hyperlink>
    </w:p>
    <w:p>
      <w:pPr>
        <w:pStyle w:val="TOC2"/>
        <w:tabs>
          <w:tab w:val="right" w:leader="dot" w:pos="8306"/>
        </w:tabs>
      </w:pPr>
      <w:hyperlink w:anchor="_Toc22370" w:history="1">
        <w:r>
          <w:rPr>
            <w:rFonts w:ascii="仿宋" w:eastAsia="仿宋" w:hAnsi="仿宋" w:cs="仿宋" w:hint="eastAsia"/>
            <w:lang w:eastAsia="zh-CN"/>
          </w:rPr>
          <w:t>(二)、危机应对与恢复</w:t>
        </w:r>
        <w:r>
          <w:tab/>
        </w:r>
        <w:r>
          <w:fldChar w:fldCharType="begin"/>
        </w:r>
        <w:r>
          <w:instrText xml:space="preserve"> PAGEREF _Toc22370 \h </w:instrText>
        </w:r>
        <w:r>
          <w:fldChar w:fldCharType="separate"/>
        </w:r>
        <w:r>
          <w:t>4</w:t>
        </w:r>
        <w:r>
          <w:fldChar w:fldCharType="end"/>
        </w:r>
      </w:hyperlink>
    </w:p>
    <w:p>
      <w:pPr>
        <w:pStyle w:val="TOC1"/>
        <w:tabs>
          <w:tab w:val="right" w:leader="dot" w:pos="8306"/>
        </w:tabs>
      </w:pPr>
      <w:hyperlink w:anchor="_Toc28861" w:history="1">
        <w:r>
          <w:rPr>
            <w:rFonts w:ascii="仿宋" w:eastAsia="仿宋" w:hAnsi="仿宋" w:cs="仿宋" w:hint="eastAsia"/>
            <w:lang w:eastAsia="zh-CN"/>
          </w:rPr>
          <w:t>二、PCB感光油墨项目建设背景及必要性分析</w:t>
        </w:r>
        <w:r>
          <w:tab/>
        </w:r>
        <w:r>
          <w:fldChar w:fldCharType="begin"/>
        </w:r>
        <w:r>
          <w:instrText xml:space="preserve"> PAGEREF _Toc28861 \h </w:instrText>
        </w:r>
        <w:r>
          <w:fldChar w:fldCharType="separate"/>
        </w:r>
        <w:r>
          <w:t>5</w:t>
        </w:r>
        <w:r>
          <w:fldChar w:fldCharType="end"/>
        </w:r>
      </w:hyperlink>
    </w:p>
    <w:p>
      <w:pPr>
        <w:pStyle w:val="TOC2"/>
        <w:tabs>
          <w:tab w:val="right" w:leader="dot" w:pos="8306"/>
        </w:tabs>
      </w:pPr>
      <w:hyperlink w:anchor="_Toc22642" w:history="1">
        <w:r>
          <w:rPr>
            <w:rFonts w:ascii="仿宋" w:eastAsia="仿宋" w:hAnsi="仿宋" w:cs="仿宋" w:hint="eastAsia"/>
            <w:lang w:eastAsia="zh-CN"/>
          </w:rPr>
          <w:t>(一)、PCB感光油墨项目背景分析</w:t>
        </w:r>
        <w:r>
          <w:tab/>
        </w:r>
        <w:r>
          <w:fldChar w:fldCharType="begin"/>
        </w:r>
        <w:r>
          <w:instrText xml:space="preserve"> PAGEREF _Toc22642 \h </w:instrText>
        </w:r>
        <w:r>
          <w:fldChar w:fldCharType="separate"/>
        </w:r>
        <w:r>
          <w:t>5</w:t>
        </w:r>
        <w:r>
          <w:fldChar w:fldCharType="end"/>
        </w:r>
      </w:hyperlink>
    </w:p>
    <w:p>
      <w:pPr>
        <w:pStyle w:val="TOC2"/>
        <w:tabs>
          <w:tab w:val="right" w:leader="dot" w:pos="8306"/>
        </w:tabs>
      </w:pPr>
      <w:hyperlink w:anchor="_Toc28403" w:history="1">
        <w:r>
          <w:rPr>
            <w:rFonts w:ascii="仿宋" w:eastAsia="仿宋" w:hAnsi="仿宋" w:cs="仿宋" w:hint="eastAsia"/>
            <w:lang w:eastAsia="zh-CN"/>
          </w:rPr>
          <w:t>(二)、PCB感光油墨项目建设必要性分析</w:t>
        </w:r>
        <w:r>
          <w:tab/>
        </w:r>
        <w:r>
          <w:fldChar w:fldCharType="begin"/>
        </w:r>
        <w:r>
          <w:instrText xml:space="preserve"> PAGEREF _Toc28403 \h </w:instrText>
        </w:r>
        <w:r>
          <w:fldChar w:fldCharType="separate"/>
        </w:r>
        <w:r>
          <w:t>7</w:t>
        </w:r>
        <w:r>
          <w:fldChar w:fldCharType="end"/>
        </w:r>
      </w:hyperlink>
    </w:p>
    <w:p>
      <w:pPr>
        <w:pStyle w:val="TOC1"/>
        <w:tabs>
          <w:tab w:val="right" w:leader="dot" w:pos="8306"/>
        </w:tabs>
      </w:pPr>
      <w:hyperlink w:anchor="_Toc18370" w:history="1">
        <w:r>
          <w:rPr>
            <w:rFonts w:ascii="仿宋" w:eastAsia="仿宋" w:hAnsi="仿宋" w:cs="仿宋" w:hint="eastAsia"/>
            <w:lang w:eastAsia="zh-CN"/>
          </w:rPr>
          <w:t>三、PCB感光油墨项目选址可行性分析</w:t>
        </w:r>
        <w:r>
          <w:tab/>
        </w:r>
        <w:r>
          <w:fldChar w:fldCharType="begin"/>
        </w:r>
        <w:r>
          <w:instrText xml:space="preserve"> PAGEREF _Toc18370 \h </w:instrText>
        </w:r>
        <w:r>
          <w:fldChar w:fldCharType="separate"/>
        </w:r>
        <w:r>
          <w:t>8</w:t>
        </w:r>
        <w:r>
          <w:fldChar w:fldCharType="end"/>
        </w:r>
      </w:hyperlink>
    </w:p>
    <w:p>
      <w:pPr>
        <w:pStyle w:val="TOC2"/>
        <w:tabs>
          <w:tab w:val="right" w:leader="dot" w:pos="8306"/>
        </w:tabs>
      </w:pPr>
      <w:hyperlink w:anchor="_Toc6353" w:history="1">
        <w:r>
          <w:rPr>
            <w:rFonts w:ascii="仿宋" w:eastAsia="仿宋" w:hAnsi="仿宋" w:cs="仿宋" w:hint="eastAsia"/>
            <w:lang w:eastAsia="zh-CN"/>
          </w:rPr>
          <w:t>(一)、PCB感光油墨项目选址</w:t>
        </w:r>
        <w:r>
          <w:tab/>
        </w:r>
        <w:r>
          <w:fldChar w:fldCharType="begin"/>
        </w:r>
        <w:r>
          <w:instrText xml:space="preserve"> PAGEREF _Toc6353 \h </w:instrText>
        </w:r>
        <w:r>
          <w:fldChar w:fldCharType="separate"/>
        </w:r>
        <w:r>
          <w:t>8</w:t>
        </w:r>
        <w:r>
          <w:fldChar w:fldCharType="end"/>
        </w:r>
      </w:hyperlink>
    </w:p>
    <w:p>
      <w:pPr>
        <w:pStyle w:val="TOC2"/>
        <w:tabs>
          <w:tab w:val="right" w:leader="dot" w:pos="8306"/>
        </w:tabs>
      </w:pPr>
      <w:hyperlink w:anchor="_Toc16864" w:history="1">
        <w:r>
          <w:rPr>
            <w:rFonts w:ascii="仿宋" w:eastAsia="仿宋" w:hAnsi="仿宋" w:cs="仿宋" w:hint="eastAsia"/>
            <w:lang w:eastAsia="zh-CN"/>
          </w:rPr>
          <w:t>(二)、用地控制指标</w:t>
        </w:r>
        <w:r>
          <w:tab/>
        </w:r>
        <w:r>
          <w:fldChar w:fldCharType="begin"/>
        </w:r>
        <w:r>
          <w:instrText xml:space="preserve"> PAGEREF _Toc16864 \h </w:instrText>
        </w:r>
        <w:r>
          <w:fldChar w:fldCharType="separate"/>
        </w:r>
        <w:r>
          <w:t>9</w:t>
        </w:r>
        <w:r>
          <w:fldChar w:fldCharType="end"/>
        </w:r>
      </w:hyperlink>
    </w:p>
    <w:p>
      <w:pPr>
        <w:pStyle w:val="TOC2"/>
        <w:tabs>
          <w:tab w:val="right" w:leader="dot" w:pos="8306"/>
        </w:tabs>
      </w:pPr>
      <w:hyperlink w:anchor="_Toc9710" w:history="1">
        <w:r>
          <w:rPr>
            <w:rFonts w:ascii="仿宋" w:eastAsia="仿宋" w:hAnsi="仿宋" w:cs="仿宋" w:hint="eastAsia"/>
            <w:lang w:eastAsia="zh-CN"/>
          </w:rPr>
          <w:t>(三)、节约用地措施</w:t>
        </w:r>
        <w:r>
          <w:tab/>
        </w:r>
        <w:r>
          <w:fldChar w:fldCharType="begin"/>
        </w:r>
        <w:r>
          <w:instrText xml:space="preserve"> PAGEREF _Toc9710 \h </w:instrText>
        </w:r>
        <w:r>
          <w:fldChar w:fldCharType="separate"/>
        </w:r>
        <w:r>
          <w:t>10</w:t>
        </w:r>
        <w:r>
          <w:fldChar w:fldCharType="end"/>
        </w:r>
      </w:hyperlink>
    </w:p>
    <w:p>
      <w:pPr>
        <w:pStyle w:val="TOC2"/>
        <w:tabs>
          <w:tab w:val="right" w:leader="dot" w:pos="8306"/>
        </w:tabs>
      </w:pPr>
      <w:hyperlink w:anchor="_Toc66" w:history="1">
        <w:r>
          <w:rPr>
            <w:rFonts w:ascii="仿宋" w:eastAsia="仿宋" w:hAnsi="仿宋" w:cs="仿宋" w:hint="eastAsia"/>
            <w:lang w:eastAsia="zh-CN"/>
          </w:rPr>
          <w:t>(四)、总图布置方案</w:t>
        </w:r>
        <w:r>
          <w:tab/>
        </w:r>
        <w:r>
          <w:fldChar w:fldCharType="begin"/>
        </w:r>
        <w:r>
          <w:instrText xml:space="preserve"> PAGEREF _Toc66 \h </w:instrText>
        </w:r>
        <w:r>
          <w:fldChar w:fldCharType="separate"/>
        </w:r>
        <w:r>
          <w:t>12</w:t>
        </w:r>
        <w:r>
          <w:fldChar w:fldCharType="end"/>
        </w:r>
      </w:hyperlink>
    </w:p>
    <w:p>
      <w:pPr>
        <w:pStyle w:val="TOC2"/>
        <w:tabs>
          <w:tab w:val="right" w:leader="dot" w:pos="8306"/>
        </w:tabs>
      </w:pPr>
      <w:hyperlink w:anchor="_Toc12603" w:history="1">
        <w:r>
          <w:rPr>
            <w:rFonts w:ascii="仿宋" w:eastAsia="仿宋" w:hAnsi="仿宋" w:cs="仿宋" w:hint="eastAsia"/>
            <w:lang w:eastAsia="zh-CN"/>
          </w:rPr>
          <w:t>(五)、选址综合评价</w:t>
        </w:r>
        <w:r>
          <w:tab/>
        </w:r>
        <w:r>
          <w:fldChar w:fldCharType="begin"/>
        </w:r>
        <w:r>
          <w:instrText xml:space="preserve"> PAGEREF _Toc12603 \h </w:instrText>
        </w:r>
        <w:r>
          <w:fldChar w:fldCharType="separate"/>
        </w:r>
        <w:r>
          <w:t>13</w:t>
        </w:r>
        <w:r>
          <w:fldChar w:fldCharType="end"/>
        </w:r>
      </w:hyperlink>
    </w:p>
    <w:p>
      <w:pPr>
        <w:pStyle w:val="TOC1"/>
        <w:tabs>
          <w:tab w:val="right" w:leader="dot" w:pos="8306"/>
        </w:tabs>
      </w:pPr>
      <w:hyperlink w:anchor="_Toc9248" w:history="1">
        <w:r>
          <w:rPr>
            <w:rFonts w:ascii="仿宋" w:eastAsia="仿宋" w:hAnsi="仿宋" w:cs="仿宋" w:hint="eastAsia"/>
            <w:lang w:eastAsia="zh-CN"/>
          </w:rPr>
          <w:t>四、PCB感光油墨项目可持续发展</w:t>
        </w:r>
        <w:r>
          <w:tab/>
        </w:r>
        <w:r>
          <w:fldChar w:fldCharType="begin"/>
        </w:r>
        <w:r>
          <w:instrText xml:space="preserve"> PAGEREF _Toc9248 \h </w:instrText>
        </w:r>
        <w:r>
          <w:fldChar w:fldCharType="separate"/>
        </w:r>
        <w:r>
          <w:t>14</w:t>
        </w:r>
        <w:r>
          <w:fldChar w:fldCharType="end"/>
        </w:r>
      </w:hyperlink>
    </w:p>
    <w:p>
      <w:pPr>
        <w:pStyle w:val="TOC2"/>
        <w:tabs>
          <w:tab w:val="right" w:leader="dot" w:pos="8306"/>
        </w:tabs>
      </w:pPr>
      <w:hyperlink w:anchor="_Toc10485" w:history="1">
        <w:r>
          <w:rPr>
            <w:rFonts w:ascii="仿宋" w:eastAsia="仿宋" w:hAnsi="仿宋" w:cs="仿宋" w:hint="eastAsia"/>
            <w:lang w:eastAsia="zh-CN"/>
          </w:rPr>
          <w:t>(一)、可持续战略与实践</w:t>
        </w:r>
        <w:r>
          <w:tab/>
        </w:r>
        <w:r>
          <w:fldChar w:fldCharType="begin"/>
        </w:r>
        <w:r>
          <w:instrText xml:space="preserve"> PAGEREF _Toc10485 \h </w:instrText>
        </w:r>
        <w:r>
          <w:fldChar w:fldCharType="separate"/>
        </w:r>
        <w:r>
          <w:t>14</w:t>
        </w:r>
        <w:r>
          <w:fldChar w:fldCharType="end"/>
        </w:r>
      </w:hyperlink>
    </w:p>
    <w:p>
      <w:pPr>
        <w:pStyle w:val="TOC2"/>
        <w:tabs>
          <w:tab w:val="right" w:leader="dot" w:pos="8306"/>
        </w:tabs>
      </w:pPr>
      <w:hyperlink w:anchor="_Toc29980" w:history="1">
        <w:r>
          <w:rPr>
            <w:rFonts w:ascii="仿宋" w:eastAsia="仿宋" w:hAnsi="仿宋" w:cs="仿宋" w:hint="eastAsia"/>
            <w:lang w:eastAsia="zh-CN"/>
          </w:rPr>
          <w:t>(二)、环保与社会责任</w:t>
        </w:r>
        <w:r>
          <w:tab/>
        </w:r>
        <w:r>
          <w:fldChar w:fldCharType="begin"/>
        </w:r>
        <w:r>
          <w:instrText xml:space="preserve"> PAGEREF _Toc29980 \h </w:instrText>
        </w:r>
        <w:r>
          <w:fldChar w:fldCharType="separate"/>
        </w:r>
        <w:r>
          <w:t>14</w:t>
        </w:r>
        <w:r>
          <w:fldChar w:fldCharType="end"/>
        </w:r>
      </w:hyperlink>
    </w:p>
    <w:p>
      <w:pPr>
        <w:pStyle w:val="TOC1"/>
        <w:tabs>
          <w:tab w:val="right" w:leader="dot" w:pos="8306"/>
        </w:tabs>
      </w:pPr>
      <w:hyperlink w:anchor="_Toc26403" w:history="1">
        <w:r>
          <w:rPr>
            <w:rFonts w:ascii="仿宋" w:eastAsia="仿宋" w:hAnsi="仿宋" w:cs="仿宋" w:hint="eastAsia"/>
            <w:lang w:eastAsia="zh-CN"/>
          </w:rPr>
          <w:t>五、PCB感光油墨项目建设单位说明</w:t>
        </w:r>
        <w:r>
          <w:tab/>
        </w:r>
        <w:r>
          <w:fldChar w:fldCharType="begin"/>
        </w:r>
        <w:r>
          <w:instrText xml:space="preserve"> PAGEREF _Toc26403 \h </w:instrText>
        </w:r>
        <w:r>
          <w:fldChar w:fldCharType="separate"/>
        </w:r>
        <w:r>
          <w:t>15</w:t>
        </w:r>
        <w:r>
          <w:fldChar w:fldCharType="end"/>
        </w:r>
      </w:hyperlink>
    </w:p>
    <w:p>
      <w:pPr>
        <w:pStyle w:val="TOC2"/>
        <w:tabs>
          <w:tab w:val="right" w:leader="dot" w:pos="8306"/>
        </w:tabs>
      </w:pPr>
      <w:hyperlink w:anchor="_Toc6731" w:history="1">
        <w:r>
          <w:rPr>
            <w:rFonts w:ascii="仿宋" w:eastAsia="仿宋" w:hAnsi="仿宋" w:cs="仿宋" w:hint="eastAsia"/>
            <w:lang w:eastAsia="zh-CN"/>
          </w:rPr>
          <w:t>(一)、PCB感光油墨项目承办单位基本情况</w:t>
        </w:r>
        <w:r>
          <w:tab/>
        </w:r>
        <w:r>
          <w:fldChar w:fldCharType="begin"/>
        </w:r>
        <w:r>
          <w:instrText xml:space="preserve"> PAGEREF _Toc6731 \h </w:instrText>
        </w:r>
        <w:r>
          <w:fldChar w:fldCharType="separate"/>
        </w:r>
        <w:r>
          <w:t>15</w:t>
        </w:r>
        <w:r>
          <w:fldChar w:fldCharType="end"/>
        </w:r>
      </w:hyperlink>
    </w:p>
    <w:p>
      <w:pPr>
        <w:pStyle w:val="TOC2"/>
        <w:tabs>
          <w:tab w:val="right" w:leader="dot" w:pos="8306"/>
        </w:tabs>
      </w:pPr>
      <w:hyperlink w:anchor="_Toc32523" w:history="1">
        <w:r>
          <w:rPr>
            <w:rFonts w:ascii="仿宋" w:eastAsia="仿宋" w:hAnsi="仿宋" w:cs="仿宋" w:hint="eastAsia"/>
            <w:lang w:eastAsia="zh-CN"/>
          </w:rPr>
          <w:t>(二)、公司经济效益分析</w:t>
        </w:r>
        <w:r>
          <w:tab/>
        </w:r>
        <w:r>
          <w:fldChar w:fldCharType="begin"/>
        </w:r>
        <w:r>
          <w:instrText xml:space="preserve"> PAGEREF _Toc32523 \h </w:instrText>
        </w:r>
        <w:r>
          <w:fldChar w:fldCharType="separate"/>
        </w:r>
        <w:r>
          <w:t>16</w:t>
        </w:r>
        <w:r>
          <w:fldChar w:fldCharType="end"/>
        </w:r>
      </w:hyperlink>
    </w:p>
    <w:p>
      <w:pPr>
        <w:pStyle w:val="TOC1"/>
        <w:tabs>
          <w:tab w:val="right" w:leader="dot" w:pos="8306"/>
        </w:tabs>
      </w:pPr>
      <w:hyperlink w:anchor="_Toc18519" w:history="1">
        <w:r>
          <w:rPr>
            <w:rFonts w:ascii="仿宋" w:eastAsia="仿宋" w:hAnsi="仿宋" w:cs="仿宋" w:hint="eastAsia"/>
            <w:lang w:eastAsia="zh-CN"/>
          </w:rPr>
          <w:t>六、市场分析、调研</w:t>
        </w:r>
        <w:r>
          <w:tab/>
        </w:r>
        <w:r>
          <w:fldChar w:fldCharType="begin"/>
        </w:r>
        <w:r>
          <w:instrText xml:space="preserve"> PAGEREF _Toc18519 \h </w:instrText>
        </w:r>
        <w:r>
          <w:fldChar w:fldCharType="separate"/>
        </w:r>
        <w:r>
          <w:t>17</w:t>
        </w:r>
        <w:r>
          <w:fldChar w:fldCharType="end"/>
        </w:r>
      </w:hyperlink>
    </w:p>
    <w:p>
      <w:pPr>
        <w:pStyle w:val="TOC2"/>
        <w:tabs>
          <w:tab w:val="right" w:leader="dot" w:pos="8306"/>
        </w:tabs>
      </w:pPr>
      <w:hyperlink w:anchor="_Toc28480" w:history="1">
        <w:r>
          <w:rPr>
            <w:rFonts w:ascii="仿宋" w:eastAsia="仿宋" w:hAnsi="仿宋" w:cs="仿宋" w:hint="eastAsia"/>
            <w:lang w:eastAsia="zh-CN"/>
          </w:rPr>
          <w:t>(一)、PCB感光油墨行业分析</w:t>
        </w:r>
        <w:r>
          <w:tab/>
        </w:r>
        <w:r>
          <w:fldChar w:fldCharType="begin"/>
        </w:r>
        <w:r>
          <w:instrText xml:space="preserve"> PAGEREF _Toc28480 \h </w:instrText>
        </w:r>
        <w:r>
          <w:fldChar w:fldCharType="separate"/>
        </w:r>
        <w:r>
          <w:t>17</w:t>
        </w:r>
        <w:r>
          <w:fldChar w:fldCharType="end"/>
        </w:r>
      </w:hyperlink>
    </w:p>
    <w:p>
      <w:pPr>
        <w:pStyle w:val="TOC2"/>
        <w:tabs>
          <w:tab w:val="right" w:leader="dot" w:pos="8306"/>
        </w:tabs>
      </w:pPr>
      <w:hyperlink w:anchor="_Toc30157" w:history="1">
        <w:r>
          <w:rPr>
            <w:rFonts w:ascii="仿宋" w:eastAsia="仿宋" w:hAnsi="仿宋" w:cs="仿宋" w:hint="eastAsia"/>
            <w:lang w:eastAsia="zh-CN"/>
          </w:rPr>
          <w:t>(二)、PCB感光油墨市场分析预测</w:t>
        </w:r>
        <w:r>
          <w:tab/>
        </w:r>
        <w:r>
          <w:fldChar w:fldCharType="begin"/>
        </w:r>
        <w:r>
          <w:instrText xml:space="preserve"> PAGEREF _Toc30157 \h </w:instrText>
        </w:r>
        <w:r>
          <w:fldChar w:fldCharType="separate"/>
        </w:r>
        <w:r>
          <w:t>18</w:t>
        </w:r>
        <w:r>
          <w:fldChar w:fldCharType="end"/>
        </w:r>
      </w:hyperlink>
    </w:p>
    <w:p>
      <w:pPr>
        <w:pStyle w:val="TOC1"/>
        <w:tabs>
          <w:tab w:val="right" w:leader="dot" w:pos="8306"/>
        </w:tabs>
      </w:pPr>
      <w:hyperlink w:anchor="_Toc9530" w:history="1">
        <w:r>
          <w:rPr>
            <w:rFonts w:ascii="仿宋" w:eastAsia="仿宋" w:hAnsi="仿宋" w:cs="仿宋" w:hint="eastAsia"/>
            <w:lang w:eastAsia="zh-CN"/>
          </w:rPr>
          <w:t>七、PCB感光油墨项目社会影响</w:t>
        </w:r>
        <w:r>
          <w:tab/>
        </w:r>
        <w:r>
          <w:fldChar w:fldCharType="begin"/>
        </w:r>
        <w:r>
          <w:instrText xml:space="preserve"> PAGEREF _Toc9530 \h </w:instrText>
        </w:r>
        <w:r>
          <w:fldChar w:fldCharType="separate"/>
        </w:r>
        <w:r>
          <w:t>19</w:t>
        </w:r>
        <w:r>
          <w:fldChar w:fldCharType="end"/>
        </w:r>
      </w:hyperlink>
    </w:p>
    <w:p>
      <w:pPr>
        <w:pStyle w:val="TOC2"/>
        <w:tabs>
          <w:tab w:val="right" w:leader="dot" w:pos="8306"/>
        </w:tabs>
      </w:pPr>
      <w:hyperlink w:anchor="_Toc28384" w:history="1">
        <w:r>
          <w:rPr>
            <w:rFonts w:ascii="仿宋" w:eastAsia="仿宋" w:hAnsi="仿宋" w:cs="仿宋" w:hint="eastAsia"/>
            <w:lang w:eastAsia="zh-CN"/>
          </w:rPr>
          <w:t>(一)、社会责任与义务</w:t>
        </w:r>
        <w:r>
          <w:tab/>
        </w:r>
        <w:r>
          <w:fldChar w:fldCharType="begin"/>
        </w:r>
        <w:r>
          <w:instrText xml:space="preserve"> PAGEREF _Toc28384 \h </w:instrText>
        </w:r>
        <w:r>
          <w:fldChar w:fldCharType="separate"/>
        </w:r>
        <w:r>
          <w:t>19</w:t>
        </w:r>
        <w:r>
          <w:fldChar w:fldCharType="end"/>
        </w:r>
      </w:hyperlink>
    </w:p>
    <w:p>
      <w:pPr>
        <w:pStyle w:val="TOC2"/>
        <w:tabs>
          <w:tab w:val="right" w:leader="dot" w:pos="8306"/>
        </w:tabs>
      </w:pPr>
      <w:hyperlink w:anchor="_Toc26266" w:history="1">
        <w:r>
          <w:rPr>
            <w:rFonts w:ascii="仿宋" w:eastAsia="仿宋" w:hAnsi="仿宋" w:cs="仿宋" w:hint="eastAsia"/>
            <w:lang w:eastAsia="zh-CN"/>
          </w:rPr>
          <w:t>(二)、社会参与与沟通</w:t>
        </w:r>
        <w:r>
          <w:tab/>
        </w:r>
        <w:r>
          <w:fldChar w:fldCharType="begin"/>
        </w:r>
        <w:r>
          <w:instrText xml:space="preserve"> PAGEREF _Toc26266 \h </w:instrText>
        </w:r>
        <w:r>
          <w:fldChar w:fldCharType="separate"/>
        </w:r>
        <w:r>
          <w:t>19</w:t>
        </w:r>
        <w:r>
          <w:fldChar w:fldCharType="end"/>
        </w:r>
      </w:hyperlink>
    </w:p>
    <w:p>
      <w:pPr>
        <w:pStyle w:val="TOC1"/>
        <w:tabs>
          <w:tab w:val="right" w:leader="dot" w:pos="8306"/>
        </w:tabs>
      </w:pPr>
      <w:hyperlink w:anchor="_Toc11290" w:history="1">
        <w:r>
          <w:rPr>
            <w:rFonts w:ascii="仿宋" w:eastAsia="仿宋" w:hAnsi="仿宋" w:cs="仿宋" w:hint="eastAsia"/>
            <w:lang w:eastAsia="zh-CN"/>
          </w:rPr>
          <w:t>八、PCB感光油墨项目人力资源培养与发展</w:t>
        </w:r>
        <w:r>
          <w:tab/>
        </w:r>
        <w:r>
          <w:fldChar w:fldCharType="begin"/>
        </w:r>
        <w:r>
          <w:instrText xml:space="preserve"> PAGEREF _Toc11290 \h </w:instrText>
        </w:r>
        <w:r>
          <w:fldChar w:fldCharType="separate"/>
        </w:r>
        <w:r>
          <w:t>20</w:t>
        </w:r>
        <w:r>
          <w:fldChar w:fldCharType="end"/>
        </w:r>
      </w:hyperlink>
    </w:p>
    <w:p>
      <w:pPr>
        <w:pStyle w:val="TOC2"/>
        <w:tabs>
          <w:tab w:val="right" w:leader="dot" w:pos="8306"/>
        </w:tabs>
      </w:pPr>
      <w:hyperlink w:anchor="_Toc5501" w:history="1">
        <w:r>
          <w:rPr>
            <w:rFonts w:ascii="仿宋" w:eastAsia="仿宋" w:hAnsi="仿宋" w:cs="仿宋" w:hint="eastAsia"/>
            <w:lang w:eastAsia="zh-CN"/>
          </w:rPr>
          <w:t>(一)、人才需求与规划</w:t>
        </w:r>
        <w:r>
          <w:tab/>
        </w:r>
        <w:r>
          <w:fldChar w:fldCharType="begin"/>
        </w:r>
        <w:r>
          <w:instrText xml:space="preserve"> PAGEREF _Toc5501 \h </w:instrText>
        </w:r>
        <w:r>
          <w:fldChar w:fldCharType="separate"/>
        </w:r>
        <w:r>
          <w:t>20</w:t>
        </w:r>
        <w:r>
          <w:fldChar w:fldCharType="end"/>
        </w:r>
      </w:hyperlink>
    </w:p>
    <w:p>
      <w:pPr>
        <w:pStyle w:val="TOC2"/>
        <w:tabs>
          <w:tab w:val="right" w:leader="dot" w:pos="8306"/>
        </w:tabs>
      </w:pPr>
      <w:hyperlink w:anchor="_Toc11228" w:history="1">
        <w:r>
          <w:rPr>
            <w:rFonts w:ascii="仿宋" w:eastAsia="仿宋" w:hAnsi="仿宋" w:cs="仿宋" w:hint="eastAsia"/>
            <w:lang w:eastAsia="zh-CN"/>
          </w:rPr>
          <w:t>(二)、培训与发展计划</w:t>
        </w:r>
        <w:r>
          <w:tab/>
        </w:r>
        <w:r>
          <w:fldChar w:fldCharType="begin"/>
        </w:r>
        <w:r>
          <w:instrText xml:space="preserve"> PAGEREF _Toc11228 \h </w:instrText>
        </w:r>
        <w:r>
          <w:fldChar w:fldCharType="separate"/>
        </w:r>
        <w:r>
          <w:t>21</w:t>
        </w:r>
        <w:r>
          <w:fldChar w:fldCharType="end"/>
        </w:r>
      </w:hyperlink>
    </w:p>
    <w:p>
      <w:pPr>
        <w:pStyle w:val="TOC1"/>
        <w:tabs>
          <w:tab w:val="right" w:leader="dot" w:pos="8306"/>
        </w:tabs>
      </w:pPr>
      <w:hyperlink w:anchor="_Toc12437" w:history="1">
        <w:r>
          <w:rPr>
            <w:rFonts w:ascii="仿宋" w:eastAsia="仿宋" w:hAnsi="仿宋" w:cs="仿宋" w:hint="eastAsia"/>
            <w:lang w:eastAsia="zh-CN"/>
          </w:rPr>
          <w:t>九、生产安全保护</w:t>
        </w:r>
        <w:r>
          <w:tab/>
        </w:r>
        <w:r>
          <w:fldChar w:fldCharType="begin"/>
        </w:r>
        <w:r>
          <w:instrText xml:space="preserve"> PAGEREF _Toc12437 \h </w:instrText>
        </w:r>
        <w:r>
          <w:fldChar w:fldCharType="separate"/>
        </w:r>
        <w:r>
          <w:t>21</w:t>
        </w:r>
        <w:r>
          <w:fldChar w:fldCharType="end"/>
        </w:r>
      </w:hyperlink>
    </w:p>
    <w:p>
      <w:pPr>
        <w:pStyle w:val="TOC2"/>
        <w:tabs>
          <w:tab w:val="right" w:leader="dot" w:pos="8306"/>
        </w:tabs>
      </w:pPr>
      <w:hyperlink w:anchor="_Toc19613" w:history="1">
        <w:r>
          <w:rPr>
            <w:rFonts w:ascii="仿宋" w:eastAsia="仿宋" w:hAnsi="仿宋" w:cs="仿宋" w:hint="eastAsia"/>
            <w:lang w:eastAsia="zh-CN"/>
          </w:rPr>
          <w:t>(一)、消防安全</w:t>
        </w:r>
        <w:r>
          <w:tab/>
        </w:r>
        <w:r>
          <w:fldChar w:fldCharType="begin"/>
        </w:r>
        <w:r>
          <w:instrText xml:space="preserve"> PAGEREF _Toc19613 \h </w:instrText>
        </w:r>
        <w:r>
          <w:fldChar w:fldCharType="separate"/>
        </w:r>
        <w:r>
          <w:t>21</w:t>
        </w:r>
        <w:r>
          <w:fldChar w:fldCharType="end"/>
        </w:r>
      </w:hyperlink>
    </w:p>
    <w:p>
      <w:pPr>
        <w:pStyle w:val="TOC2"/>
        <w:tabs>
          <w:tab w:val="right" w:leader="dot" w:pos="8306"/>
        </w:tabs>
      </w:pPr>
      <w:hyperlink w:anchor="_Toc13534" w:history="1">
        <w:r>
          <w:rPr>
            <w:rFonts w:ascii="仿宋" w:eastAsia="仿宋" w:hAnsi="仿宋" w:cs="仿宋" w:hint="eastAsia"/>
            <w:lang w:eastAsia="zh-CN"/>
          </w:rPr>
          <w:t>(二)、防火防爆总图布置措施</w:t>
        </w:r>
        <w:r>
          <w:tab/>
        </w:r>
        <w:r>
          <w:fldChar w:fldCharType="begin"/>
        </w:r>
        <w:r>
          <w:instrText xml:space="preserve"> PAGEREF _Toc13534 \h </w:instrText>
        </w:r>
        <w:r>
          <w:fldChar w:fldCharType="separate"/>
        </w:r>
        <w:r>
          <w:t>23</w:t>
        </w:r>
        <w:r>
          <w:fldChar w:fldCharType="end"/>
        </w:r>
      </w:hyperlink>
    </w:p>
    <w:p>
      <w:pPr>
        <w:pStyle w:val="TOC2"/>
        <w:tabs>
          <w:tab w:val="right" w:leader="dot" w:pos="8306"/>
        </w:tabs>
      </w:pPr>
      <w:hyperlink w:anchor="_Toc22077" w:history="1">
        <w:r>
          <w:rPr>
            <w:rFonts w:ascii="仿宋" w:eastAsia="仿宋" w:hAnsi="仿宋" w:cs="仿宋" w:hint="eastAsia"/>
            <w:lang w:eastAsia="zh-CN"/>
          </w:rPr>
          <w:t>(三)、自然灾害防范措施</w:t>
        </w:r>
        <w:r>
          <w:tab/>
        </w:r>
        <w:r>
          <w:fldChar w:fldCharType="begin"/>
        </w:r>
        <w:r>
          <w:instrText xml:space="preserve"> PAGEREF _Toc22077 \h </w:instrText>
        </w:r>
        <w:r>
          <w:fldChar w:fldCharType="separate"/>
        </w:r>
        <w:r>
          <w:t>24</w:t>
        </w:r>
        <w:r>
          <w:fldChar w:fldCharType="end"/>
        </w:r>
      </w:hyperlink>
    </w:p>
    <w:p>
      <w:pPr>
        <w:pStyle w:val="TOC2"/>
        <w:tabs>
          <w:tab w:val="right" w:leader="dot" w:pos="8306"/>
        </w:tabs>
      </w:pPr>
      <w:hyperlink w:anchor="_Toc30251" w:history="1">
        <w:r>
          <w:rPr>
            <w:rFonts w:ascii="仿宋" w:eastAsia="仿宋" w:hAnsi="仿宋" w:cs="仿宋" w:hint="eastAsia"/>
            <w:lang w:eastAsia="zh-CN"/>
          </w:rPr>
          <w:t>(四)、安全色及安全标志使用要求</w:t>
        </w:r>
        <w:r>
          <w:tab/>
        </w:r>
        <w:r>
          <w:fldChar w:fldCharType="begin"/>
        </w:r>
        <w:r>
          <w:instrText xml:space="preserve"> PAGEREF _Toc30251 \h </w:instrText>
        </w:r>
        <w:r>
          <w:fldChar w:fldCharType="separate"/>
        </w:r>
        <w:r>
          <w:t>25</w:t>
        </w:r>
        <w:r>
          <w:fldChar w:fldCharType="end"/>
        </w:r>
      </w:hyperlink>
    </w:p>
    <w:p>
      <w:pPr>
        <w:pStyle w:val="TOC2"/>
        <w:tabs>
          <w:tab w:val="right" w:leader="dot" w:pos="8306"/>
        </w:tabs>
      </w:pPr>
      <w:hyperlink w:anchor="_Toc4849" w:history="1">
        <w:r>
          <w:rPr>
            <w:rFonts w:ascii="仿宋" w:eastAsia="仿宋" w:hAnsi="仿宋" w:cs="仿宋" w:hint="eastAsia"/>
            <w:lang w:eastAsia="zh-CN"/>
          </w:rPr>
          <w:t>(五)、防尘防毒措施</w:t>
        </w:r>
        <w:r>
          <w:tab/>
        </w:r>
        <w:r>
          <w:fldChar w:fldCharType="begin"/>
        </w:r>
        <w:r>
          <w:instrText xml:space="preserve"> PAGEREF _Toc4849 \h </w:instrText>
        </w:r>
        <w:r>
          <w:fldChar w:fldCharType="separate"/>
        </w:r>
        <w:r>
          <w:t>26</w:t>
        </w:r>
        <w:r>
          <w:fldChar w:fldCharType="end"/>
        </w:r>
      </w:hyperlink>
    </w:p>
    <w:p>
      <w:pPr>
        <w:pStyle w:val="TOC2"/>
        <w:tabs>
          <w:tab w:val="right" w:leader="dot" w:pos="8306"/>
        </w:tabs>
      </w:pPr>
      <w:hyperlink w:anchor="_Toc27868" w:history="1">
        <w:r>
          <w:rPr>
            <w:rFonts w:ascii="仿宋" w:eastAsia="仿宋" w:hAnsi="仿宋" w:cs="仿宋" w:hint="eastAsia"/>
            <w:lang w:eastAsia="zh-CN"/>
          </w:rPr>
          <w:t>(六)、防静电、触电防护及防雷措施</w:t>
        </w:r>
        <w:r>
          <w:tab/>
        </w:r>
        <w:r>
          <w:fldChar w:fldCharType="begin"/>
        </w:r>
        <w:r>
          <w:instrText xml:space="preserve"> PAGEREF _Toc27868 \h </w:instrText>
        </w:r>
        <w:r>
          <w:fldChar w:fldCharType="separate"/>
        </w:r>
        <w:r>
          <w:t>27</w:t>
        </w:r>
        <w:r>
          <w:fldChar w:fldCharType="end"/>
        </w:r>
      </w:hyperlink>
    </w:p>
    <w:p>
      <w:pPr>
        <w:pStyle w:val="TOC2"/>
        <w:tabs>
          <w:tab w:val="right" w:leader="dot" w:pos="8306"/>
        </w:tabs>
      </w:pPr>
      <w:hyperlink w:anchor="_Toc7315" w:history="1">
        <w:r>
          <w:rPr>
            <w:rFonts w:ascii="仿宋" w:eastAsia="仿宋" w:hAnsi="仿宋" w:cs="仿宋" w:hint="eastAsia"/>
            <w:lang w:eastAsia="zh-CN"/>
          </w:rPr>
          <w:t>(七)、机械设备安全保障措施</w:t>
        </w:r>
        <w:r>
          <w:tab/>
        </w:r>
        <w:r>
          <w:fldChar w:fldCharType="begin"/>
        </w:r>
        <w:r>
          <w:instrText xml:space="preserve"> PAGEREF _Toc7315 \h </w:instrText>
        </w:r>
        <w:r>
          <w:fldChar w:fldCharType="separate"/>
        </w:r>
        <w:r>
          <w:t>28</w:t>
        </w:r>
        <w:r>
          <w:fldChar w:fldCharType="end"/>
        </w:r>
      </w:hyperlink>
    </w:p>
    <w:p>
      <w:pPr>
        <w:pStyle w:val="TOC1"/>
        <w:tabs>
          <w:tab w:val="right" w:leader="dot" w:pos="8306"/>
        </w:tabs>
      </w:pPr>
      <w:hyperlink w:anchor="_Toc10873" w:history="1">
        <w:r>
          <w:rPr>
            <w:rFonts w:ascii="仿宋" w:eastAsia="仿宋" w:hAnsi="仿宋" w:cs="仿宋" w:hint="eastAsia"/>
            <w:lang w:eastAsia="zh-CN"/>
          </w:rPr>
          <w:t>十、PCB感光油墨项目技术管理</w:t>
        </w:r>
        <w:r>
          <w:tab/>
        </w:r>
        <w:r>
          <w:fldChar w:fldCharType="begin"/>
        </w:r>
        <w:r>
          <w:instrText xml:space="preserve"> PAGEREF _Toc10873 \h </w:instrText>
        </w:r>
        <w:r>
          <w:fldChar w:fldCharType="separate"/>
        </w:r>
        <w:r>
          <w:t>30</w:t>
        </w:r>
        <w:r>
          <w:fldChar w:fldCharType="end"/>
        </w:r>
      </w:hyperlink>
    </w:p>
    <w:p>
      <w:pPr>
        <w:pStyle w:val="TOC2"/>
        <w:tabs>
          <w:tab w:val="right" w:leader="dot" w:pos="8306"/>
        </w:tabs>
      </w:pPr>
      <w:hyperlink w:anchor="_Toc26964" w:history="1">
        <w:r>
          <w:rPr>
            <w:rFonts w:ascii="仿宋" w:eastAsia="仿宋" w:hAnsi="仿宋" w:cs="仿宋" w:hint="eastAsia"/>
            <w:lang w:eastAsia="zh-CN"/>
          </w:rPr>
          <w:t>(一)、技术方案选用方向</w:t>
        </w:r>
        <w:r>
          <w:tab/>
        </w:r>
        <w:r>
          <w:fldChar w:fldCharType="begin"/>
        </w:r>
        <w:r>
          <w:instrText xml:space="preserve"> PAGEREF _Toc26964 \h </w:instrText>
        </w:r>
        <w:r>
          <w:fldChar w:fldCharType="separate"/>
        </w:r>
        <w:r>
          <w:t>30</w:t>
        </w:r>
        <w:r>
          <w:fldChar w:fldCharType="end"/>
        </w:r>
      </w:hyperlink>
    </w:p>
    <w:p>
      <w:pPr>
        <w:pStyle w:val="TOC2"/>
        <w:tabs>
          <w:tab w:val="right" w:leader="dot" w:pos="8306"/>
        </w:tabs>
      </w:pPr>
      <w:hyperlink w:anchor="_Toc29711" w:history="1">
        <w:r>
          <w:rPr>
            <w:rFonts w:ascii="仿宋" w:eastAsia="仿宋" w:hAnsi="仿宋" w:cs="仿宋" w:hint="eastAsia"/>
            <w:lang w:eastAsia="zh-CN"/>
          </w:rPr>
          <w:t>(二)、工艺技术方案选用原则</w:t>
        </w:r>
        <w:r>
          <w:tab/>
        </w:r>
        <w:r>
          <w:fldChar w:fldCharType="begin"/>
        </w:r>
        <w:r>
          <w:instrText xml:space="preserve"> PAGEREF _Toc29711 \h </w:instrText>
        </w:r>
        <w:r>
          <w:fldChar w:fldCharType="separate"/>
        </w:r>
        <w:r>
          <w:t>31</w:t>
        </w:r>
        <w:r>
          <w:fldChar w:fldCharType="end"/>
        </w:r>
      </w:hyperlink>
    </w:p>
    <w:p>
      <w:pPr>
        <w:pStyle w:val="TOC2"/>
        <w:tabs>
          <w:tab w:val="right" w:leader="dot" w:pos="8306"/>
        </w:tabs>
      </w:pPr>
      <w:hyperlink w:anchor="_Toc15141" w:history="1">
        <w:r>
          <w:rPr>
            <w:rFonts w:ascii="仿宋" w:eastAsia="仿宋" w:hAnsi="仿宋" w:cs="仿宋" w:hint="eastAsia"/>
            <w:lang w:eastAsia="zh-CN"/>
          </w:rPr>
          <w:t>(三)、工艺技术方案要求</w:t>
        </w:r>
        <w:r>
          <w:tab/>
        </w:r>
        <w:r>
          <w:fldChar w:fldCharType="begin"/>
        </w:r>
        <w:r>
          <w:instrText xml:space="preserve"> PAGEREF _Toc15141 \h </w:instrText>
        </w:r>
        <w:r>
          <w:fldChar w:fldCharType="separate"/>
        </w:r>
        <w:r>
          <w:t>34</w:t>
        </w:r>
        <w:r>
          <w:fldChar w:fldCharType="end"/>
        </w:r>
      </w:hyperlink>
    </w:p>
    <w:p>
      <w:pPr>
        <w:pStyle w:val="TOC1"/>
        <w:tabs>
          <w:tab w:val="right" w:leader="dot" w:pos="8306"/>
        </w:tabs>
      </w:pPr>
      <w:hyperlink w:anchor="_Toc14461" w:history="1">
        <w:r>
          <w:rPr>
            <w:rFonts w:ascii="仿宋" w:eastAsia="仿宋" w:hAnsi="仿宋" w:cs="仿宋" w:hint="eastAsia"/>
            <w:lang w:eastAsia="zh-CN"/>
          </w:rPr>
          <w:t>十一、PCB感光油墨项目经营效益</w:t>
        </w:r>
        <w:r>
          <w:tab/>
        </w:r>
        <w:r>
          <w:fldChar w:fldCharType="begin"/>
        </w:r>
        <w:r>
          <w:instrText xml:space="preserve"> PAGEREF _Toc14461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05" w:history="1">
        <w:r>
          <w:rPr>
            <w:rFonts w:ascii="仿宋" w:eastAsia="仿宋" w:hAnsi="仿宋" w:cs="仿宋" w:hint="eastAsia"/>
            <w:lang w:eastAsia="zh-CN"/>
          </w:rPr>
          <w:t>(一)、经济评价财务测算</w:t>
        </w:r>
        <w:r>
          <w:tab/>
        </w:r>
        <w:r>
          <w:fldChar w:fldCharType="begin"/>
        </w:r>
        <w:r>
          <w:instrText xml:space="preserve"> PAGEREF _Toc28505 \h </w:instrText>
        </w:r>
        <w:r>
          <w:fldChar w:fldCharType="separate"/>
        </w:r>
        <w:r>
          <w:t>36</w:t>
        </w:r>
        <w:r>
          <w:fldChar w:fldCharType="end"/>
        </w:r>
      </w:hyperlink>
    </w:p>
    <w:p>
      <w:pPr>
        <w:pStyle w:val="TOC2"/>
        <w:tabs>
          <w:tab w:val="right" w:leader="dot" w:pos="8306"/>
        </w:tabs>
      </w:pPr>
      <w:hyperlink w:anchor="_Toc2575" w:history="1">
        <w:r>
          <w:rPr>
            <w:rFonts w:ascii="仿宋" w:eastAsia="仿宋" w:hAnsi="仿宋" w:cs="仿宋" w:hint="eastAsia"/>
            <w:lang w:eastAsia="zh-CN"/>
          </w:rPr>
          <w:t>(二)、PCB感光油墨项目盈利能力分析</w:t>
        </w:r>
        <w:r>
          <w:tab/>
        </w:r>
        <w:r>
          <w:fldChar w:fldCharType="begin"/>
        </w:r>
        <w:r>
          <w:instrText xml:space="preserve"> PAGEREF _Toc2575 \h </w:instrText>
        </w:r>
        <w:r>
          <w:fldChar w:fldCharType="separate"/>
        </w:r>
        <w:r>
          <w:t>37</w:t>
        </w:r>
        <w:r>
          <w:fldChar w:fldCharType="end"/>
        </w:r>
      </w:hyperlink>
    </w:p>
    <w:p>
      <w:pPr>
        <w:pStyle w:val="TOC1"/>
        <w:tabs>
          <w:tab w:val="right" w:leader="dot" w:pos="8306"/>
        </w:tabs>
      </w:pPr>
      <w:hyperlink w:anchor="_Toc22593" w:history="1">
        <w:r>
          <w:rPr>
            <w:rFonts w:ascii="仿宋" w:eastAsia="仿宋" w:hAnsi="仿宋" w:cs="仿宋" w:hint="eastAsia"/>
            <w:lang w:eastAsia="zh-CN"/>
          </w:rPr>
          <w:t>十二、PCB感光油墨项目人力资源管理</w:t>
        </w:r>
        <w:r>
          <w:tab/>
        </w:r>
        <w:r>
          <w:fldChar w:fldCharType="begin"/>
        </w:r>
        <w:r>
          <w:instrText xml:space="preserve"> PAGEREF _Toc22593 \h </w:instrText>
        </w:r>
        <w:r>
          <w:fldChar w:fldCharType="separate"/>
        </w:r>
        <w:r>
          <w:t>38</w:t>
        </w:r>
        <w:r>
          <w:fldChar w:fldCharType="end"/>
        </w:r>
      </w:hyperlink>
    </w:p>
    <w:p>
      <w:pPr>
        <w:pStyle w:val="TOC2"/>
        <w:tabs>
          <w:tab w:val="right" w:leader="dot" w:pos="8306"/>
        </w:tabs>
      </w:pPr>
      <w:hyperlink w:anchor="_Toc15902" w:history="1">
        <w:r>
          <w:rPr>
            <w:rFonts w:ascii="仿宋" w:eastAsia="仿宋" w:hAnsi="仿宋" w:cs="仿宋" w:hint="eastAsia"/>
            <w:lang w:eastAsia="zh-CN"/>
          </w:rPr>
          <w:t>(一)、建立健全的预算管理制度</w:t>
        </w:r>
        <w:r>
          <w:tab/>
        </w:r>
        <w:r>
          <w:fldChar w:fldCharType="begin"/>
        </w:r>
        <w:r>
          <w:instrText xml:space="preserve"> PAGEREF _Toc15902 \h </w:instrText>
        </w:r>
        <w:r>
          <w:fldChar w:fldCharType="separate"/>
        </w:r>
        <w:r>
          <w:t>38</w:t>
        </w:r>
        <w:r>
          <w:fldChar w:fldCharType="end"/>
        </w:r>
      </w:hyperlink>
    </w:p>
    <w:p>
      <w:pPr>
        <w:pStyle w:val="TOC2"/>
        <w:tabs>
          <w:tab w:val="right" w:leader="dot" w:pos="8306"/>
        </w:tabs>
      </w:pPr>
      <w:hyperlink w:anchor="_Toc22749" w:history="1">
        <w:r>
          <w:rPr>
            <w:rFonts w:ascii="仿宋" w:eastAsia="仿宋" w:hAnsi="仿宋" w:cs="仿宋" w:hint="eastAsia"/>
            <w:lang w:eastAsia="zh-CN"/>
          </w:rPr>
          <w:t>(二)、加强资金流动监控</w:t>
        </w:r>
        <w:r>
          <w:tab/>
        </w:r>
        <w:r>
          <w:fldChar w:fldCharType="begin"/>
        </w:r>
        <w:r>
          <w:instrText xml:space="preserve"> PAGEREF _Toc22749 \h </w:instrText>
        </w:r>
        <w:r>
          <w:fldChar w:fldCharType="separate"/>
        </w:r>
        <w:r>
          <w:t>40</w:t>
        </w:r>
        <w:r>
          <w:fldChar w:fldCharType="end"/>
        </w:r>
      </w:hyperlink>
    </w:p>
    <w:p>
      <w:pPr>
        <w:pStyle w:val="TOC2"/>
        <w:tabs>
          <w:tab w:val="right" w:leader="dot" w:pos="8306"/>
        </w:tabs>
      </w:pPr>
      <w:hyperlink w:anchor="_Toc10897" w:history="1">
        <w:r>
          <w:rPr>
            <w:rFonts w:ascii="仿宋" w:eastAsia="仿宋" w:hAnsi="仿宋" w:cs="仿宋" w:hint="eastAsia"/>
            <w:lang w:eastAsia="zh-CN"/>
          </w:rPr>
          <w:t>(三)、制定完善的风险控制机制</w:t>
        </w:r>
        <w:r>
          <w:tab/>
        </w:r>
        <w:r>
          <w:fldChar w:fldCharType="begin"/>
        </w:r>
        <w:r>
          <w:instrText xml:space="preserve"> PAGEREF _Toc10897 \h </w:instrText>
        </w:r>
        <w:r>
          <w:fldChar w:fldCharType="separate"/>
        </w:r>
        <w:r>
          <w:t>41</w:t>
        </w:r>
        <w:r>
          <w:fldChar w:fldCharType="end"/>
        </w:r>
      </w:hyperlink>
    </w:p>
    <w:p>
      <w:pPr>
        <w:pStyle w:val="TOC2"/>
        <w:tabs>
          <w:tab w:val="right" w:leader="dot" w:pos="8306"/>
        </w:tabs>
      </w:pPr>
      <w:hyperlink w:anchor="_Toc31440" w:history="1">
        <w:r>
          <w:rPr>
            <w:rFonts w:ascii="仿宋" w:eastAsia="仿宋" w:hAnsi="仿宋" w:cs="仿宋" w:hint="eastAsia"/>
            <w:lang w:eastAsia="zh-CN"/>
          </w:rPr>
          <w:t>(四)、优化成本管理</w:t>
        </w:r>
        <w:r>
          <w:tab/>
        </w:r>
        <w:r>
          <w:fldChar w:fldCharType="begin"/>
        </w:r>
        <w:r>
          <w:instrText xml:space="preserve"> PAGEREF _Toc31440 \h </w:instrText>
        </w:r>
        <w:r>
          <w:fldChar w:fldCharType="separate"/>
        </w:r>
        <w:r>
          <w:t>42</w:t>
        </w:r>
        <w:r>
          <w:fldChar w:fldCharType="end"/>
        </w:r>
      </w:hyperlink>
    </w:p>
    <w:p>
      <w:pPr>
        <w:pStyle w:val="TOC1"/>
        <w:tabs>
          <w:tab w:val="right" w:leader="dot" w:pos="8306"/>
        </w:tabs>
      </w:pPr>
      <w:hyperlink w:anchor="_Toc30828" w:history="1">
        <w:r>
          <w:rPr>
            <w:rFonts w:ascii="仿宋" w:eastAsia="仿宋" w:hAnsi="仿宋" w:cs="仿宋" w:hint="eastAsia"/>
            <w:lang w:eastAsia="zh-CN"/>
          </w:rPr>
          <w:t>十三、PCB感光油墨项目实施保障措施</w:t>
        </w:r>
        <w:r>
          <w:tab/>
        </w:r>
        <w:r>
          <w:fldChar w:fldCharType="begin"/>
        </w:r>
        <w:r>
          <w:instrText xml:space="preserve"> PAGEREF _Toc30828 \h </w:instrText>
        </w:r>
        <w:r>
          <w:fldChar w:fldCharType="separate"/>
        </w:r>
        <w:r>
          <w:t>43</w:t>
        </w:r>
        <w:r>
          <w:fldChar w:fldCharType="end"/>
        </w:r>
      </w:hyperlink>
    </w:p>
    <w:p>
      <w:pPr>
        <w:pStyle w:val="TOC2"/>
        <w:tabs>
          <w:tab w:val="right" w:leader="dot" w:pos="8306"/>
        </w:tabs>
      </w:pPr>
      <w:hyperlink w:anchor="_Toc14651" w:history="1">
        <w:r>
          <w:rPr>
            <w:rFonts w:ascii="仿宋" w:eastAsia="仿宋" w:hAnsi="仿宋" w:cs="仿宋" w:hint="eastAsia"/>
            <w:lang w:eastAsia="zh-CN"/>
          </w:rPr>
          <w:t>(一)、PCB感光油墨项目实施保障机制</w:t>
        </w:r>
        <w:r>
          <w:tab/>
        </w:r>
        <w:r>
          <w:fldChar w:fldCharType="begin"/>
        </w:r>
        <w:r>
          <w:instrText xml:space="preserve"> PAGEREF _Toc14651 \h </w:instrText>
        </w:r>
        <w:r>
          <w:fldChar w:fldCharType="separate"/>
        </w:r>
        <w:r>
          <w:t>43</w:t>
        </w:r>
        <w:r>
          <w:fldChar w:fldCharType="end"/>
        </w:r>
      </w:hyperlink>
    </w:p>
    <w:p>
      <w:pPr>
        <w:pStyle w:val="TOC2"/>
        <w:tabs>
          <w:tab w:val="right" w:leader="dot" w:pos="8306"/>
        </w:tabs>
      </w:pPr>
      <w:hyperlink w:anchor="_Toc31699" w:history="1">
        <w:r>
          <w:rPr>
            <w:rFonts w:ascii="仿宋" w:eastAsia="仿宋" w:hAnsi="仿宋" w:cs="仿宋" w:hint="eastAsia"/>
            <w:lang w:eastAsia="zh-CN"/>
          </w:rPr>
          <w:t>(二)、PCB感光油墨项目法律合规要求</w:t>
        </w:r>
        <w:r>
          <w:tab/>
        </w:r>
        <w:r>
          <w:fldChar w:fldCharType="begin"/>
        </w:r>
        <w:r>
          <w:instrText xml:space="preserve"> PAGEREF _Toc31699 \h </w:instrText>
        </w:r>
        <w:r>
          <w:fldChar w:fldCharType="separate"/>
        </w:r>
        <w:r>
          <w:t>47</w:t>
        </w:r>
        <w:r>
          <w:fldChar w:fldCharType="end"/>
        </w:r>
      </w:hyperlink>
    </w:p>
    <w:p>
      <w:pPr>
        <w:pStyle w:val="TOC2"/>
        <w:tabs>
          <w:tab w:val="right" w:leader="dot" w:pos="8306"/>
        </w:tabs>
      </w:pPr>
      <w:hyperlink w:anchor="_Toc20269" w:history="1">
        <w:r>
          <w:rPr>
            <w:rFonts w:ascii="仿宋" w:eastAsia="仿宋" w:hAnsi="仿宋" w:cs="仿宋" w:hint="eastAsia"/>
            <w:lang w:eastAsia="zh-CN"/>
          </w:rPr>
          <w:t>(三)、PCB感光油墨项目合同管理与法律事务</w:t>
        </w:r>
        <w:r>
          <w:tab/>
        </w:r>
        <w:r>
          <w:fldChar w:fldCharType="begin"/>
        </w:r>
        <w:r>
          <w:instrText xml:space="preserve"> PAGEREF _Toc20269 \h </w:instrText>
        </w:r>
        <w:r>
          <w:fldChar w:fldCharType="separate"/>
        </w:r>
        <w:r>
          <w:t>51</w:t>
        </w:r>
        <w:r>
          <w:fldChar w:fldCharType="end"/>
        </w:r>
      </w:hyperlink>
    </w:p>
    <w:p>
      <w:pPr>
        <w:pStyle w:val="TOC2"/>
        <w:tabs>
          <w:tab w:val="right" w:leader="dot" w:pos="8306"/>
        </w:tabs>
      </w:pPr>
      <w:hyperlink w:anchor="_Toc17706" w:history="1">
        <w:r>
          <w:rPr>
            <w:rFonts w:ascii="仿宋" w:eastAsia="仿宋" w:hAnsi="仿宋" w:cs="仿宋" w:hint="eastAsia"/>
            <w:lang w:eastAsia="zh-CN"/>
          </w:rPr>
          <w:t>(四)、PCB感光油墨项目知识产权保护策略</w:t>
        </w:r>
        <w:r>
          <w:tab/>
        </w:r>
        <w:r>
          <w:fldChar w:fldCharType="begin"/>
        </w:r>
        <w:r>
          <w:instrText xml:space="preserve"> PAGEREF _Toc17706 \h </w:instrText>
        </w:r>
        <w:r>
          <w:fldChar w:fldCharType="separate"/>
        </w:r>
        <w:r>
          <w:t>58</w:t>
        </w:r>
        <w:r>
          <w:fldChar w:fldCharType="end"/>
        </w:r>
      </w:hyperlink>
    </w:p>
    <w:p>
      <w:pPr>
        <w:pStyle w:val="TOC1"/>
        <w:tabs>
          <w:tab w:val="right" w:leader="dot" w:pos="8306"/>
        </w:tabs>
      </w:pPr>
      <w:hyperlink w:anchor="_Toc3780" w:history="1">
        <w:r>
          <w:rPr>
            <w:rFonts w:ascii="仿宋" w:eastAsia="仿宋" w:hAnsi="仿宋" w:cs="仿宋" w:hint="eastAsia"/>
            <w:lang w:eastAsia="zh-CN"/>
          </w:rPr>
          <w:t>十四、风险识别与分类</w:t>
        </w:r>
        <w:r>
          <w:tab/>
        </w:r>
        <w:r>
          <w:fldChar w:fldCharType="begin"/>
        </w:r>
        <w:r>
          <w:instrText xml:space="preserve"> PAGEREF _Toc3780 \h </w:instrText>
        </w:r>
        <w:r>
          <w:fldChar w:fldCharType="separate"/>
        </w:r>
        <w:r>
          <w:t>60</w:t>
        </w:r>
        <w:r>
          <w:fldChar w:fldCharType="end"/>
        </w:r>
      </w:hyperlink>
    </w:p>
    <w:p>
      <w:pPr>
        <w:pStyle w:val="TOC2"/>
        <w:tabs>
          <w:tab w:val="right" w:leader="dot" w:pos="8306"/>
        </w:tabs>
      </w:pPr>
      <w:hyperlink w:anchor="_Toc31803" w:history="1">
        <w:r>
          <w:rPr>
            <w:rFonts w:ascii="仿宋" w:eastAsia="仿宋" w:hAnsi="仿宋" w:cs="仿宋" w:hint="eastAsia"/>
            <w:lang w:eastAsia="zh-CN"/>
          </w:rPr>
          <w:t>(一)、风险识别</w:t>
        </w:r>
        <w:r>
          <w:tab/>
        </w:r>
        <w:r>
          <w:fldChar w:fldCharType="begin"/>
        </w:r>
        <w:r>
          <w:instrText xml:space="preserve"> PAGEREF _Toc31803 \h </w:instrText>
        </w:r>
        <w:r>
          <w:fldChar w:fldCharType="separate"/>
        </w:r>
        <w:r>
          <w:t>60</w:t>
        </w:r>
        <w:r>
          <w:fldChar w:fldCharType="end"/>
        </w:r>
      </w:hyperlink>
    </w:p>
    <w:p>
      <w:pPr>
        <w:pStyle w:val="TOC2"/>
        <w:tabs>
          <w:tab w:val="right" w:leader="dot" w:pos="8306"/>
        </w:tabs>
      </w:pPr>
      <w:hyperlink w:anchor="_Toc11832" w:history="1">
        <w:r>
          <w:rPr>
            <w:rFonts w:ascii="仿宋" w:eastAsia="仿宋" w:hAnsi="仿宋" w:cs="仿宋" w:hint="eastAsia"/>
            <w:lang w:eastAsia="zh-CN"/>
          </w:rPr>
          <w:t>(二)、风险分类</w:t>
        </w:r>
        <w:r>
          <w:tab/>
        </w:r>
        <w:r>
          <w:fldChar w:fldCharType="begin"/>
        </w:r>
        <w:r>
          <w:instrText xml:space="preserve"> PAGEREF _Toc11832 \h </w:instrText>
        </w:r>
        <w:r>
          <w:fldChar w:fldCharType="separate"/>
        </w:r>
        <w:r>
          <w:t>62</w:t>
        </w:r>
        <w:r>
          <w:fldChar w:fldCharType="end"/>
        </w:r>
      </w:hyperlink>
    </w:p>
    <w:p>
      <w:pPr>
        <w:pStyle w:val="TOC1"/>
        <w:tabs>
          <w:tab w:val="right" w:leader="dot" w:pos="8306"/>
        </w:tabs>
      </w:pPr>
      <w:hyperlink w:anchor="_Toc23946" w:history="1">
        <w:r>
          <w:rPr>
            <w:rFonts w:ascii="仿宋" w:eastAsia="仿宋" w:hAnsi="仿宋" w:cs="仿宋" w:hint="eastAsia"/>
            <w:lang w:eastAsia="zh-CN"/>
          </w:rPr>
          <w:t>十五、供应链管理</w:t>
        </w:r>
        <w:r>
          <w:tab/>
        </w:r>
        <w:r>
          <w:fldChar w:fldCharType="begin"/>
        </w:r>
        <w:r>
          <w:instrText xml:space="preserve"> PAGEREF _Toc23946 \h </w:instrText>
        </w:r>
        <w:r>
          <w:fldChar w:fldCharType="separate"/>
        </w:r>
        <w:r>
          <w:t>63</w:t>
        </w:r>
        <w:r>
          <w:fldChar w:fldCharType="end"/>
        </w:r>
      </w:hyperlink>
    </w:p>
    <w:p>
      <w:pPr>
        <w:pStyle w:val="TOC2"/>
        <w:tabs>
          <w:tab w:val="right" w:leader="dot" w:pos="8306"/>
        </w:tabs>
      </w:pPr>
      <w:hyperlink w:anchor="_Toc8809" w:history="1">
        <w:r>
          <w:rPr>
            <w:rFonts w:ascii="仿宋" w:eastAsia="仿宋" w:hAnsi="仿宋" w:cs="仿宋" w:hint="eastAsia"/>
            <w:lang w:eastAsia="zh-CN"/>
          </w:rPr>
          <w:t>(一)、供应链战略规划</w:t>
        </w:r>
        <w:r>
          <w:tab/>
        </w:r>
        <w:r>
          <w:fldChar w:fldCharType="begin"/>
        </w:r>
        <w:r>
          <w:instrText xml:space="preserve"> PAGEREF _Toc8809 \h </w:instrText>
        </w:r>
        <w:r>
          <w:fldChar w:fldCharType="separate"/>
        </w:r>
        <w:r>
          <w:t>63</w:t>
        </w:r>
        <w:r>
          <w:fldChar w:fldCharType="end"/>
        </w:r>
      </w:hyperlink>
    </w:p>
    <w:p>
      <w:pPr>
        <w:pStyle w:val="TOC2"/>
        <w:tabs>
          <w:tab w:val="right" w:leader="dot" w:pos="8306"/>
        </w:tabs>
      </w:pPr>
      <w:hyperlink w:anchor="_Toc13115" w:history="1">
        <w:r>
          <w:rPr>
            <w:rFonts w:ascii="仿宋" w:eastAsia="仿宋" w:hAnsi="仿宋" w:cs="仿宋" w:hint="eastAsia"/>
            <w:lang w:eastAsia="zh-CN"/>
          </w:rPr>
          <w:t>(二)、供应商选择与合作</w:t>
        </w:r>
        <w:r>
          <w:tab/>
        </w:r>
        <w:r>
          <w:fldChar w:fldCharType="begin"/>
        </w:r>
        <w:r>
          <w:instrText xml:space="preserve"> PAGEREF _Toc13115 \h </w:instrText>
        </w:r>
        <w:r>
          <w:fldChar w:fldCharType="separate"/>
        </w:r>
        <w:r>
          <w:t>65</w:t>
        </w:r>
        <w:r>
          <w:fldChar w:fldCharType="end"/>
        </w:r>
      </w:hyperlink>
    </w:p>
    <w:p>
      <w:pPr>
        <w:pStyle w:val="TOC2"/>
        <w:tabs>
          <w:tab w:val="right" w:leader="dot" w:pos="8306"/>
        </w:tabs>
      </w:pPr>
      <w:hyperlink w:anchor="_Toc6822" w:history="1">
        <w:r>
          <w:rPr>
            <w:rFonts w:ascii="仿宋" w:eastAsia="仿宋" w:hAnsi="仿宋" w:cs="仿宋" w:hint="eastAsia"/>
            <w:lang w:eastAsia="zh-CN"/>
          </w:rPr>
          <w:t>(三)、物流与库存管理</w:t>
        </w:r>
        <w:r>
          <w:tab/>
        </w:r>
        <w:r>
          <w:fldChar w:fldCharType="begin"/>
        </w:r>
        <w:r>
          <w:instrText xml:space="preserve"> PAGEREF _Toc6822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42"/>
      <w:r>
        <w:rPr>
          <w:rFonts w:ascii="仿宋" w:eastAsia="仿宋" w:hAnsi="仿宋" w:cs="仿宋" w:hint="eastAsia"/>
          <w:sz w:val="28"/>
          <w:lang w:eastAsia="zh-CN"/>
        </w:rPr>
        <w:t>一、PCB感光油墨项目危机管理</w:t>
      </w:r>
      <w:bookmarkEnd w:id="2"/>
    </w:p>
    <w:p>
      <w:pPr>
        <w:pStyle w:val="Heading2"/>
        <w:rPr>
          <w:rFonts w:ascii="仿宋" w:eastAsia="仿宋" w:hAnsi="仿宋" w:cs="仿宋" w:hint="eastAsia"/>
          <w:lang w:eastAsia="zh-CN"/>
        </w:rPr>
      </w:pPr>
      <w:bookmarkStart w:id="3" w:name="_Toc203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B感光油墨项目危机管理中，危机预警与识别是确保PCB感光油墨项目稳健运行的核心步骤。通过建立全面的监测机制，PCB感光油墨项目团队旨在及时发现和理解潜在的风险和危机因素，以便采取及时的预防和应对措施，确保PCB感光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首先，通过深入的风险评估，PCB感光油墨项目团队全面分析了整个PCB感光油墨项目和各个阶段可能存在的威胁。这包括准确评估每个潜在风险的发生概率和可能影响的程度，为后续危机预警提供了有力支持。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PCB感光油墨项目团队着重于明确定义PCB感光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B感光油墨项目进展的持续监控，团队能够及时发现潜在问题并作出迅速反应。PCB感光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在这一阶段，团队的专业素养和反应速度将发挥至关重要的作用，以确保潜在危机能够在初期得到有效的处理，最大程度地减轻负面影响。通过危机预警与识别，PCB感光油墨项目得以更有序、可控地推进。</w:t>
      </w:r>
    </w:p>
    <w:p>
      <w:pPr>
        <w:pStyle w:val="Heading2"/>
        <w:ind w:firstLine="560" w:firstLineChars="200"/>
        <w:rPr>
          <w:rFonts w:ascii="仿宋" w:eastAsia="仿宋" w:hAnsi="仿宋" w:cs="仿宋" w:hint="eastAsia"/>
          <w:sz w:val="28"/>
          <w:lang w:eastAsia="zh-CN"/>
        </w:rPr>
      </w:pPr>
      <w:bookmarkStart w:id="4" w:name="_Toc223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在危机发生时，PCB感光油墨项目团队立即行动，成立了应急小组。该小组的任务是迅速制定并实施紧急应对措施，以最小化潜在损失。以下是采取的主要措施：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暂停PCB感光油墨项目进度：为遏制危机蔓延，PCB感光油墨项目暂时停止进行，以便全面评估当前状况。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资源重新分配：重新评估PCB感光油墨项目资源的分配，确保最大限度地减小损失。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实时沟通：与关键利益相关者建立实时沟通机制，向他们传递PCB感光油墨项目危机的实际状况，保障PCB感光油墨项目核心利益。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在紧急应对的同时，PCB感光油墨项目团队强调了团队协作和有效沟通的重要性。以下是团队协作的关键举措：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信息共享机制：建立了信息共享平台，确保团队成员能够及时获取PCB感光油墨项目危机的实时信息。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领导者沟通：PCB感光油墨项目领导者通过定期会议和即时沟通工具，指导团队应对危机，保持团队稳定运行。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随着危机得到初步控制，PCB感光油墨项目团队转向制定恢复计划，以确保PCB感光油墨项目能够从中迅速恢复。主要恢复计划包括：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修复受损的进度计划：重新评估PCB感光油墨项目进度，制定修复计划，确保PCB感光油墨项目尽快回归正常进程。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重新调整资源分配：优化资源分配，确保PCB感光油墨项目在有限资源下高效运转。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风险管理机制加强：对PCB感光油墨项目风险进行全面评估，制定更强化的风险管理策略，以预防未来可能的危机。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61"/>
      <w:r>
        <w:rPr>
          <w:rFonts w:ascii="仿宋" w:eastAsia="仿宋" w:hAnsi="仿宋" w:cs="仿宋" w:hint="eastAsia"/>
          <w:sz w:val="28"/>
          <w:lang w:eastAsia="zh-CN"/>
        </w:rPr>
        <w:t>二、PCB感光油墨项目建设背景及必要性分析</w:t>
      </w:r>
      <w:bookmarkEnd w:id="5"/>
    </w:p>
    <w:p>
      <w:pPr>
        <w:pStyle w:val="Heading2"/>
        <w:rPr>
          <w:rFonts w:ascii="仿宋" w:eastAsia="仿宋" w:hAnsi="仿宋" w:cs="仿宋" w:hint="eastAsia"/>
          <w:lang w:eastAsia="zh-CN"/>
        </w:rPr>
      </w:pPr>
      <w:bookmarkStart w:id="6" w:name="_Toc22642"/>
      <w:r>
        <w:rPr>
          <w:rFonts w:ascii="仿宋" w:eastAsia="仿宋" w:hAnsi="仿宋" w:cs="仿宋" w:hint="eastAsia"/>
          <w:lang w:eastAsia="zh-CN"/>
        </w:rPr>
        <w:t>(一)、PCB感光油墨项目背景分析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感光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感光油墨项目在这个潮流中的定位。同时，我们将关注行业内涌现的新兴机遇，以便PCB感光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感光油墨项目提供了强大的发展动力。我们将聚焦于行业内最新的技术发展趋势，包括但不限于人工智能、大数据分析、物联网等领域。通过深度的技术研究，我们将确保PCB感光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感光油墨项目发展的源泉。我们将投入更多的精力对市场需求进行深入剖析，超越表面的需求，深入挖掘潜在的市场痛点和机遇。通过对市场需求的细致了解，PCB感光油墨项目将更有针对性地设计解决方案，满足市场的多样化需求，从而更好地促进PCB感光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感光油墨项目战略至关重要。我们将对竞争态势进行更为深入的分析，包括但不限于市场份额、产品特点、客户满意度等多个维度。通过深度的竞争分析，PCB感光油墨项目将能够更准确地把握市场脉搏，制定具有竞争力的PCB感光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感光油墨项目的发展具有直接的影响。我们将进行更为全面的法规和政策分析，了解行业发展中的潜在法律风险和合规挑战。通过充分了解和遵守相关法规，PCB感光油墨项目将确保在法律框架内合法合规运营，为PCB感光油墨项目的稳健发展提供有力支持。</w:t>
      </w:r>
    </w:p>
    <w:p>
      <w:pPr>
        <w:pStyle w:val="Heading2"/>
        <w:ind w:firstLine="560" w:firstLineChars="200"/>
        <w:rPr>
          <w:rFonts w:ascii="仿宋" w:eastAsia="仿宋" w:hAnsi="仿宋" w:cs="仿宋" w:hint="eastAsia"/>
          <w:sz w:val="28"/>
          <w:lang w:eastAsia="zh-CN"/>
        </w:rPr>
      </w:pPr>
      <w:bookmarkStart w:id="7" w:name="_Toc28403"/>
      <w:r>
        <w:rPr>
          <w:rFonts w:ascii="仿宋" w:eastAsia="仿宋" w:hAnsi="仿宋" w:cs="仿宋" w:hint="eastAsia"/>
          <w:sz w:val="28"/>
          <w:lang w:eastAsia="zh-CN"/>
        </w:rPr>
        <w:t>(二)、PCB感光油墨项目建设必要性分析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建设的迫切性源于对行业发展趋势的深刻洞察。我们正处于一个行业变革的时代，科技创新、数字化转型成为企业发展的关键动力。PCB感光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建设不仅仅是为了跟上潮流，更是为了通过技术创新推动企业的持续发展。通过引入先进的技术和解决方案，PCB感光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感光油墨项目的建设成为必然选择，通过提高产品质量、拓展服务领域，从而在竞争中获得更多的机会。PCB感光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感光油墨项目建设的必要性体现在对客户需求更精准的满足。通过PCB感光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建设的背后是对企业持续创新的追求。只有通过不断创新，企业才能在竞争中立于不败之地。PCB感光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370"/>
      <w:r>
        <w:rPr>
          <w:rFonts w:ascii="仿宋" w:eastAsia="仿宋" w:hAnsi="仿宋" w:cs="仿宋" w:hint="eastAsia"/>
          <w:sz w:val="28"/>
          <w:lang w:eastAsia="zh-CN"/>
        </w:rPr>
        <w:t>三、PCB感光油墨项目选址可行性分析</w:t>
      </w:r>
      <w:bookmarkEnd w:id="8"/>
    </w:p>
    <w:p>
      <w:pPr>
        <w:pStyle w:val="Heading2"/>
        <w:rPr>
          <w:rFonts w:ascii="仿宋" w:eastAsia="仿宋" w:hAnsi="仿宋" w:cs="仿宋" w:hint="eastAsia"/>
          <w:lang w:eastAsia="zh-CN"/>
        </w:rPr>
      </w:pPr>
      <w:bookmarkStart w:id="9" w:name="_Toc6353"/>
      <w:r>
        <w:rPr>
          <w:rFonts w:ascii="仿宋" w:eastAsia="仿宋" w:hAnsi="仿宋" w:cs="仿宋" w:hint="eastAsia"/>
          <w:lang w:eastAsia="zh-CN"/>
        </w:rPr>
        <w:t>(一)、PCB感光油墨项目选址</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该PCB感光油墨项目选址位于XX省XX市XX区XXX街道</w:t>
      </w:r>
    </w:p>
    <w:p>
      <w:pPr>
        <w:pStyle w:val="Heading2"/>
        <w:ind w:firstLine="560" w:firstLineChars="200"/>
        <w:rPr>
          <w:rFonts w:ascii="仿宋" w:eastAsia="仿宋" w:hAnsi="仿宋" w:cs="仿宋" w:hint="eastAsia"/>
          <w:sz w:val="28"/>
          <w:lang w:eastAsia="zh-CN"/>
        </w:rPr>
      </w:pPr>
      <w:bookmarkStart w:id="10" w:name="_Toc168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PCB感光油墨项目的征地面积将根据PCB感光油墨项目的实际规模和需求进行精确规划。具体面积XXX平方米，旨在确保PCB感光油墨项目不仅能够满足当前的发展需求，还能够预留空间以适应未来的扩展。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净用地面积是在征地面积基础上去除不可利用面积后的实际可开发用地。具体面积XXX平方米，考虑到环保、交通、安全等多方面因素，以确保PCB感光油墨项目在整体利用效率上达到最优。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PCB感光油墨项目计划建设的建筑总规模具体面积XXX平方米。这一规模的确定综合考虑了PCB感光油墨项目的性质、规模，以及城市规划的相关要求，确保建筑布局与周边环境协调一致。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绿地率是PCB感光油墨项目用地中被规划为绿地的比例。具体面积XXX平方米，旨在通过合理规划绿地，改善PCB感光油墨项目周边环境，提升居民生活质量，并符合城市整体绿化规划。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容积率是用地上可以建设的建筑总体积与用地面积之比。具体面积XXX，通过合理的容积率规划，确保PCB感光油墨项目建筑规模与周边环境和谐共生。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PCB感光油墨项目选址与当地城市规划相一致，具体面积XXX平方米。通过与城市规划部门深入沟通，确保PCB感光油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感光油墨项目选址符合当地产业政策，具体面积XXX平方米。这包括PCB感光油墨项目对当地经济的促进作用，以及对相关产业的带动效应，确保PCB感光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用地总体要求必须符合环保和可持续发展的原则，具体面积XXX平方米。通过采用绿色建筑设计、节能减排等措施，确保PCB感光油墨项目在建设和运营过程中对环境的影响最小化，达到可持续发展的要求。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确保PCB感光油墨项目选址具备必要的公共设施配套，具体面积XXX平方米。这包括交通便利性、教育、医疗等基础设施，以提高居民生活品质，使得PCB感光油墨项目选址更具吸引力。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考虑用地总体要求对当地社会稳定性的影响，具体面积XXX平方米。通过深入了解当地社区反馈，确保PCB感光油墨项目的选址和建设过程对当地社会和谐稳定产生积极作用。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感光油墨项目选址不仅符合法规和规划，还在实际操作中具有可行性。这一全面规划将为PCB感光油墨项目的成功实施提供坚实的基础，确保PCB感光油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7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感光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感光油墨项目的设备规划和空间设计中，我们将采取灵活设备布局的措施。设备布局将根据实际需求进行灵活设计，避免不必要的浪费。通过合理规划设备摆放位置，我们将提高设备的利用率，减少设备间距，以确保PCB感光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PCB感光油墨项目内部引入共享设施的概念，例如共享会议室、办公区等。通过这种方式，我们可以减少对资源的重复建设，提高资源共享效率，从而减小PCB感光油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感光油墨项目的总图布置中，我们将不同功能区域进行明确的规划，以最大程度满足PCB感光油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60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感光油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PCB感光油墨项目对环境的影响是综合评价的重要因素之一。我们将详细考虑选址周边的自然环境、生态保护区、水源地等情况，确保PCB感光油墨项目的建设和运营对环境影响最小化，并符合当地的环保法规标准。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对选址的评价还需充分考虑当地政府的产业政策和法规。我们将详细了解PCB感光油墨项目所在地的相关政策，确保PCB感光油墨项目的规划和运营与当地法规相符，降低不必要的法律风险。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考虑到社会稳定性对企业运营的重要性，我们将评估选址地区的社会安全情况、劳工关系、社区反馈等方面，以确保PCB感光油墨项目的建设和运营不会受到社会稳定性的负面影响。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最后，我们将综合考虑用地成本，包括土地购置费用、土地开发成本等。通过对用地成本的详细评估，我们能够做出更为精确的经济效益分析，为PCB感光油墨项目的投资决策提供有力支持。</w:t>
      </w:r>
    </w:p>
    <w:p>
      <w:pPr>
        <w:pStyle w:val="Heading1"/>
        <w:ind w:firstLine="560" w:firstLineChars="200"/>
        <w:rPr>
          <w:rFonts w:ascii="仿宋" w:eastAsia="仿宋" w:hAnsi="仿宋" w:cs="仿宋" w:hint="eastAsia"/>
          <w:sz w:val="28"/>
          <w:lang w:eastAsia="zh-CN"/>
        </w:rPr>
      </w:pPr>
      <w:bookmarkStart w:id="14" w:name="_Toc9248"/>
      <w:r>
        <w:rPr>
          <w:rFonts w:ascii="仿宋" w:eastAsia="仿宋" w:hAnsi="仿宋" w:cs="仿宋" w:hint="eastAsia"/>
          <w:sz w:val="28"/>
          <w:lang w:eastAsia="zh-CN"/>
        </w:rPr>
        <w:t>四、PCB感光油墨项目可持续发展</w:t>
      </w:r>
      <w:bookmarkEnd w:id="14"/>
    </w:p>
    <w:p>
      <w:pPr>
        <w:pStyle w:val="Heading2"/>
        <w:rPr>
          <w:rFonts w:ascii="仿宋" w:eastAsia="仿宋" w:hAnsi="仿宋" w:cs="仿宋" w:hint="eastAsia"/>
          <w:lang w:eastAsia="zh-CN"/>
        </w:rPr>
      </w:pPr>
      <w:bookmarkStart w:id="15" w:name="_Toc104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感光油墨项目中，PCB感光油墨项目团队着眼于未来，明确了可持续发展的战略方向。制定的具体可持续发展目标包括降低资源使用、采用环保技术、最大化社会效益等。这一步骤不仅有助于PCB感光油墨项目在环保和社会责任方面达到最高标准，也为未来提供了明确的指引，确保PCB感光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可持续实践的融入PCB感光油墨项目管理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感光油墨项目管理周期。从PCB感光油墨项目规划开始，PCB感光油墨项目团队就考虑了环境和社会的因素。在执行阶段，PCB感光油墨项目团队积极推动绿色技术的应用，优化资源利用。此外，关注员工的社会责任，通过培训和沟通活动提高员工对可持续发展的认知，使他们能够在日常工作中践行可持续实践。这些举措不仅为PCB感光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98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扎根于PCB感光油墨项目的可持续发展理念，我们深信环保与社会责任是PCB感光油墨项目成功的关键支柱。在PCB感光油墨项目的每一步，我们都致力于通过创新和实践，履行对环境和社会的坚定责任。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团队通过引入先进的环保技术、建立高效的废物处理系统以及推动能源节约措施，积极履行环保责任。定期的环保监测和评估确保PCB感光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不仅致力于自身可持续发展，还注重对社会的回馈。通过支持社区PCB感光油墨项目、参与慈善事业、提供培训机会等方式，PCB感光油墨项目积极履行社会责任。与当地社区建立积极互动，关注员工的工作与生活平衡，以及员工的身心健康，是PCB感光油墨项目在社会责任层面的关键举措。这样的实践不仅增强了PCB感光油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403"/>
      <w:r>
        <w:rPr>
          <w:rFonts w:ascii="仿宋" w:eastAsia="仿宋" w:hAnsi="仿宋" w:cs="仿宋" w:hint="eastAsia"/>
          <w:sz w:val="28"/>
          <w:lang w:eastAsia="zh-CN"/>
        </w:rPr>
        <w:t>五、PCB感光油墨项目建设单位说明</w:t>
      </w:r>
      <w:bookmarkEnd w:id="17"/>
    </w:p>
    <w:p>
      <w:pPr>
        <w:pStyle w:val="Heading2"/>
        <w:rPr>
          <w:rFonts w:ascii="仿宋" w:eastAsia="仿宋" w:hAnsi="仿宋" w:cs="仿宋" w:hint="eastAsia"/>
          <w:lang w:eastAsia="zh-CN"/>
        </w:rPr>
      </w:pPr>
      <w:bookmarkStart w:id="18" w:name="_Toc6731"/>
      <w:r>
        <w:rPr>
          <w:rFonts w:ascii="仿宋" w:eastAsia="仿宋" w:hAnsi="仿宋" w:cs="仿宋" w:hint="eastAsia"/>
          <w:lang w:eastAsia="zh-CN"/>
        </w:rPr>
        <w:t>(一)、PCB感光油墨项目承办单位基本情况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52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感光油墨项目承办单位的XXXX，我们着眼于实现可持续的经济效益。通过技术创新和解决方案的提供，公司预计在PCB感光油墨项目执行期间将获得可观的收入增长。这一收入来源主要包括PCB感光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同时，我们注重成本控制和效率提升，以确保PCB感光油墨项目的可持续盈利。透过精细的管理和资源优化，公司期望实现PCB感光油墨项目利润最大化。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感光油墨项目实施进行全面的投资评估，包括PCB感光油墨项目启动阶段的资金投入和后续运营成本。通过对PCB感光油墨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https://d.book118.com/325223041123011124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E670B"/>
    <w:rsid w:val="4E9E6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2304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2024-03-06T10:22:00Z</dcterms:created>
  <dcterms:modified xsi:type="dcterms:W3CDTF">2024-03-06T10:22:30Z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FCCAEE745B9A492EA5744CCB6409BB92_11</vt:lpwstr>
  </property>
  <property fmtid="{D5CDD505-2E9C-101B-9397-08002B2CF9AE}" pid="3" name="KSOProductBuildVer">
    <vt:lpwstr>2052-12.1.0.16388</vt:lpwstr>
  </property>
</Properties>
</file>