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2018-2023年苏州工艺美术职业技术学院高职单招（数学／语文／英语）历年常考试题库含答案解析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以1870年“普法战争”为背景的小说是（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A.《断魂枪》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B.《米龙老爹》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C.《麦琪的礼物》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D.《苦恼》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选出翻译准确的一项：行年四岁，舅夺母志（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A.此后又过了四年，舅舅强行改变了母亲守节的志向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B.此后又过了四年，母亲改了嫁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C.我到四岁的时候，舅舅强行改变了母亲守节的志向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D.我到四岁的时候，母亲改了嫁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李煜《虞美人》“雕栏玉砌应犹在，只是朱颜改”的言外之意是（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A.美景依旧，故人已老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B.岁月流逝，青春不再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C.故国宫殿，令人牵挂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D.江山易主，物是人非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《种树郭橐驼传》的创作意图主要是（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A.赞扬郭橐驼的种树技术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B.揭露统治者的政令扰民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C.传播郭橐驼的植树经验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D.借“养树”之道，喻“养民”之道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李斯的代表作是（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辛弃疾《水龙吟（登建康赏心亭）》中运用典故表达壮志未酬、时光虚度的感伤之情的是（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A.休说鲈鱼堪脍，尽西风、季鹰归未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B.求田问舍，怕应羞见，刘郎才气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C.可惜流年，忧愁风雨，树犹如此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D.倩何人，唤取红巾翠袖，揾英雄泪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被誉为“世界短篇小说之王”的法国说家是（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A.莫泊桑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B.欧·亨利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C.巴尔扎克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王昌龄的《从军行》（青海长云暗雪山）主要是表现戍边将士（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A.艰难困苦的生活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B.出生入死的经历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C.报国御敌的壮志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D.思念家乡的感情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李白《行路难》中运用行为细节描写揭示内心悲愤的诗句是（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A.金樽清酒斗十千，玉盘珍羞直万钱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B.停杯投箸不能食，拔剑四顾心茫然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C.行路难，行路难，多歧路，今安在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D.闲来垂钓碧溪上，忽复乘舟梦日边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“贻笑大方”这个成语源自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李清照的词集是（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A.《漱玉词》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B.《乐章集》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C.《淮海词》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D.《稼轩词》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《陌上桑》第三段的内容是写（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A.罗敷美貌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B.刺史调戏罗敷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C.罗敷严词拒绝刺史的调戏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D.罗敷夸夫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《米龙老爹》小说中米龙老爹的身份是（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A.法国军人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B.雇工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C.诺曼底农庄主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D.普鲁士军官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《氓》选自《诗经·国风》中的（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B.秦风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C.卫风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D.郑风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https://d.book118.com/326111125230010052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32611112523001005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