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户外广告行业相关项目可行性研究报告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 w:history="1">
        <w:r>
          <w:rPr>
            <w:rFonts w:ascii="仿宋" w:eastAsia="仿宋" w:hAnsi="仿宋" w:cs="仿宋" w:hint="eastAsia"/>
            <w:lang w:eastAsia="zh-CN"/>
          </w:rPr>
          <w:t>绪论</w:t>
        </w:r>
        <w:r>
          <w:tab/>
        </w:r>
        <w:r>
          <w:fldChar w:fldCharType="begin"/>
        </w:r>
        <w:r>
          <w:instrText xml:space="preserve"> PAGEREF _Toc1468 \h </w:instrText>
        </w:r>
        <w:r>
          <w:fldChar w:fldCharType="separate"/>
        </w:r>
        <w:r>
          <w:t>3</w:t>
        </w:r>
        <w:r>
          <w:fldChar w:fldCharType="end"/>
        </w:r>
      </w:hyperlink>
    </w:p>
    <w:p>
      <w:pPr>
        <w:pStyle w:val="TOC1"/>
        <w:tabs>
          <w:tab w:val="right" w:leader="dot" w:pos="8306"/>
        </w:tabs>
      </w:pPr>
      <w:hyperlink w:anchor="_Toc29697" w:history="1">
        <w:r>
          <w:rPr>
            <w:rFonts w:ascii="仿宋" w:eastAsia="仿宋" w:hAnsi="仿宋" w:cs="仿宋" w:hint="eastAsia"/>
            <w:lang w:eastAsia="zh-CN"/>
          </w:rPr>
          <w:t>一、创新研发和知识产权保护</w:t>
        </w:r>
        <w:r>
          <w:tab/>
        </w:r>
        <w:r>
          <w:fldChar w:fldCharType="begin"/>
        </w:r>
        <w:r>
          <w:instrText xml:space="preserve"> PAGEREF _Toc29697 \h </w:instrText>
        </w:r>
        <w:r>
          <w:fldChar w:fldCharType="separate"/>
        </w:r>
        <w:r>
          <w:t>3</w:t>
        </w:r>
        <w:r>
          <w:fldChar w:fldCharType="end"/>
        </w:r>
      </w:hyperlink>
    </w:p>
    <w:p>
      <w:pPr>
        <w:pStyle w:val="TOC2"/>
        <w:tabs>
          <w:tab w:val="right" w:leader="dot" w:pos="8306"/>
        </w:tabs>
      </w:pPr>
      <w:hyperlink w:anchor="_Toc14193" w:history="1">
        <w:r>
          <w:rPr>
            <w:rFonts w:ascii="仿宋" w:eastAsia="仿宋" w:hAnsi="仿宋" w:cs="仿宋" w:hint="eastAsia"/>
            <w:lang w:eastAsia="zh-CN"/>
          </w:rPr>
          <w:t>(一)、创新研发的思路和方法</w:t>
        </w:r>
        <w:r>
          <w:tab/>
        </w:r>
        <w:r>
          <w:fldChar w:fldCharType="begin"/>
        </w:r>
        <w:r>
          <w:instrText xml:space="preserve"> PAGEREF _Toc14193 \h </w:instrText>
        </w:r>
        <w:r>
          <w:fldChar w:fldCharType="separate"/>
        </w:r>
        <w:r>
          <w:t>3</w:t>
        </w:r>
        <w:r>
          <w:fldChar w:fldCharType="end"/>
        </w:r>
      </w:hyperlink>
    </w:p>
    <w:p>
      <w:pPr>
        <w:pStyle w:val="TOC2"/>
        <w:tabs>
          <w:tab w:val="right" w:leader="dot" w:pos="8306"/>
        </w:tabs>
      </w:pPr>
      <w:hyperlink w:anchor="_Toc23640" w:history="1">
        <w:r>
          <w:rPr>
            <w:rFonts w:ascii="仿宋" w:eastAsia="仿宋" w:hAnsi="仿宋" w:cs="仿宋" w:hint="eastAsia"/>
            <w:lang w:eastAsia="zh-CN"/>
          </w:rPr>
          <w:t>(二)、知识产权保护的策略和措施</w:t>
        </w:r>
        <w:r>
          <w:tab/>
        </w:r>
        <w:r>
          <w:fldChar w:fldCharType="begin"/>
        </w:r>
        <w:r>
          <w:instrText xml:space="preserve"> PAGEREF _Toc23640 \h </w:instrText>
        </w:r>
        <w:r>
          <w:fldChar w:fldCharType="separate"/>
        </w:r>
        <w:r>
          <w:t>4</w:t>
        </w:r>
        <w:r>
          <w:fldChar w:fldCharType="end"/>
        </w:r>
      </w:hyperlink>
    </w:p>
    <w:p>
      <w:pPr>
        <w:pStyle w:val="TOC2"/>
        <w:tabs>
          <w:tab w:val="right" w:leader="dot" w:pos="8306"/>
        </w:tabs>
      </w:pPr>
      <w:hyperlink w:anchor="_Toc4654" w:history="1">
        <w:r>
          <w:rPr>
            <w:rFonts w:ascii="仿宋" w:eastAsia="仿宋" w:hAnsi="仿宋" w:cs="仿宋" w:hint="eastAsia"/>
            <w:lang w:eastAsia="zh-CN"/>
          </w:rPr>
          <w:t>(三)、技术转让和专利许可的协议管理</w:t>
        </w:r>
        <w:r>
          <w:tab/>
        </w:r>
        <w:r>
          <w:fldChar w:fldCharType="begin"/>
        </w:r>
        <w:r>
          <w:instrText xml:space="preserve"> PAGEREF _Toc4654 \h </w:instrText>
        </w:r>
        <w:r>
          <w:fldChar w:fldCharType="separate"/>
        </w:r>
        <w:r>
          <w:t>6</w:t>
        </w:r>
        <w:r>
          <w:fldChar w:fldCharType="end"/>
        </w:r>
      </w:hyperlink>
    </w:p>
    <w:p>
      <w:pPr>
        <w:pStyle w:val="TOC1"/>
        <w:tabs>
          <w:tab w:val="right" w:leader="dot" w:pos="8306"/>
        </w:tabs>
      </w:pPr>
      <w:hyperlink w:anchor="_Toc27769" w:history="1">
        <w:r>
          <w:rPr>
            <w:rFonts w:ascii="仿宋" w:eastAsia="仿宋" w:hAnsi="仿宋" w:cs="仿宋" w:hint="eastAsia"/>
            <w:lang w:eastAsia="zh-CN"/>
          </w:rPr>
          <w:t>二、产品定价和销售策略</w:t>
        </w:r>
        <w:r>
          <w:tab/>
        </w:r>
        <w:r>
          <w:fldChar w:fldCharType="begin"/>
        </w:r>
        <w:r>
          <w:instrText xml:space="preserve"> PAGEREF _Toc27769 \h </w:instrText>
        </w:r>
        <w:r>
          <w:fldChar w:fldCharType="separate"/>
        </w:r>
        <w:r>
          <w:t>7</w:t>
        </w:r>
        <w:r>
          <w:fldChar w:fldCharType="end"/>
        </w:r>
      </w:hyperlink>
    </w:p>
    <w:p>
      <w:pPr>
        <w:pStyle w:val="TOC2"/>
        <w:tabs>
          <w:tab w:val="right" w:leader="dot" w:pos="8306"/>
        </w:tabs>
      </w:pPr>
      <w:hyperlink w:anchor="_Toc28131" w:history="1">
        <w:r>
          <w:rPr>
            <w:rFonts w:ascii="仿宋" w:eastAsia="仿宋" w:hAnsi="仿宋" w:cs="仿宋" w:hint="eastAsia"/>
            <w:lang w:eastAsia="zh-CN"/>
          </w:rPr>
          <w:t>(一)、产品定价的原则和策略</w:t>
        </w:r>
        <w:r>
          <w:tab/>
        </w:r>
        <w:r>
          <w:fldChar w:fldCharType="begin"/>
        </w:r>
        <w:r>
          <w:instrText xml:space="preserve"> PAGEREF _Toc28131 \h </w:instrText>
        </w:r>
        <w:r>
          <w:fldChar w:fldCharType="separate"/>
        </w:r>
        <w:r>
          <w:t>7</w:t>
        </w:r>
        <w:r>
          <w:fldChar w:fldCharType="end"/>
        </w:r>
      </w:hyperlink>
    </w:p>
    <w:p>
      <w:pPr>
        <w:pStyle w:val="TOC2"/>
        <w:tabs>
          <w:tab w:val="right" w:leader="dot" w:pos="8306"/>
        </w:tabs>
      </w:pPr>
      <w:hyperlink w:anchor="_Toc28091" w:history="1">
        <w:r>
          <w:rPr>
            <w:rFonts w:ascii="仿宋" w:eastAsia="仿宋" w:hAnsi="仿宋" w:cs="仿宋" w:hint="eastAsia"/>
            <w:lang w:eastAsia="zh-CN"/>
          </w:rPr>
          <w:t>(二)、销售渠道的选择和拓展</w:t>
        </w:r>
        <w:r>
          <w:tab/>
        </w:r>
        <w:r>
          <w:fldChar w:fldCharType="begin"/>
        </w:r>
        <w:r>
          <w:instrText xml:space="preserve"> PAGEREF _Toc28091 \h </w:instrText>
        </w:r>
        <w:r>
          <w:fldChar w:fldCharType="separate"/>
        </w:r>
        <w:r>
          <w:t>9</w:t>
        </w:r>
        <w:r>
          <w:fldChar w:fldCharType="end"/>
        </w:r>
      </w:hyperlink>
    </w:p>
    <w:p>
      <w:pPr>
        <w:pStyle w:val="TOC2"/>
        <w:tabs>
          <w:tab w:val="right" w:leader="dot" w:pos="8306"/>
        </w:tabs>
      </w:pPr>
      <w:hyperlink w:anchor="_Toc799" w:history="1">
        <w:r>
          <w:rPr>
            <w:rFonts w:ascii="仿宋" w:eastAsia="仿宋" w:hAnsi="仿宋" w:cs="仿宋" w:hint="eastAsia"/>
            <w:lang w:eastAsia="zh-CN"/>
          </w:rPr>
          <w:t>(三)、销售促进和营销活动的策划和实施</w:t>
        </w:r>
        <w:r>
          <w:tab/>
        </w:r>
        <w:r>
          <w:fldChar w:fldCharType="begin"/>
        </w:r>
        <w:r>
          <w:instrText xml:space="preserve"> PAGEREF _Toc799 \h </w:instrText>
        </w:r>
        <w:r>
          <w:fldChar w:fldCharType="separate"/>
        </w:r>
        <w:r>
          <w:t>11</w:t>
        </w:r>
        <w:r>
          <w:fldChar w:fldCharType="end"/>
        </w:r>
      </w:hyperlink>
    </w:p>
    <w:p>
      <w:pPr>
        <w:pStyle w:val="TOC1"/>
        <w:tabs>
          <w:tab w:val="right" w:leader="dot" w:pos="8306"/>
        </w:tabs>
      </w:pPr>
      <w:hyperlink w:anchor="_Toc24734" w:history="1">
        <w:r>
          <w:rPr>
            <w:rFonts w:ascii="仿宋" w:eastAsia="仿宋" w:hAnsi="仿宋" w:cs="仿宋" w:hint="eastAsia"/>
            <w:lang w:eastAsia="zh-CN"/>
          </w:rPr>
          <w:t>三、户外广告行业行业社会文化影响评估</w:t>
        </w:r>
        <w:r>
          <w:tab/>
        </w:r>
        <w:r>
          <w:fldChar w:fldCharType="begin"/>
        </w:r>
        <w:r>
          <w:instrText xml:space="preserve"> PAGEREF _Toc24734 \h </w:instrText>
        </w:r>
        <w:r>
          <w:fldChar w:fldCharType="separate"/>
        </w:r>
        <w:r>
          <w:t>12</w:t>
        </w:r>
        <w:r>
          <w:fldChar w:fldCharType="end"/>
        </w:r>
      </w:hyperlink>
    </w:p>
    <w:p>
      <w:pPr>
        <w:pStyle w:val="TOC2"/>
        <w:tabs>
          <w:tab w:val="right" w:leader="dot" w:pos="8306"/>
        </w:tabs>
      </w:pPr>
      <w:hyperlink w:anchor="_Toc6606" w:history="1">
        <w:r>
          <w:rPr>
            <w:rFonts w:ascii="仿宋" w:eastAsia="仿宋" w:hAnsi="仿宋" w:cs="仿宋" w:hint="eastAsia"/>
            <w:lang w:eastAsia="zh-CN"/>
          </w:rPr>
          <w:t>(一)、户外广告行业在文化和艺术中的地位</w:t>
        </w:r>
        <w:r>
          <w:tab/>
        </w:r>
        <w:r>
          <w:fldChar w:fldCharType="begin"/>
        </w:r>
        <w:r>
          <w:instrText xml:space="preserve"> PAGEREF _Toc6606 \h </w:instrText>
        </w:r>
        <w:r>
          <w:fldChar w:fldCharType="separate"/>
        </w:r>
        <w:r>
          <w:t>12</w:t>
        </w:r>
        <w:r>
          <w:fldChar w:fldCharType="end"/>
        </w:r>
      </w:hyperlink>
    </w:p>
    <w:p>
      <w:pPr>
        <w:pStyle w:val="TOC2"/>
        <w:tabs>
          <w:tab w:val="right" w:leader="dot" w:pos="8306"/>
        </w:tabs>
      </w:pPr>
      <w:hyperlink w:anchor="_Toc14625" w:history="1">
        <w:r>
          <w:rPr>
            <w:rFonts w:ascii="仿宋" w:eastAsia="仿宋" w:hAnsi="仿宋" w:cs="仿宋" w:hint="eastAsia"/>
            <w:lang w:eastAsia="zh-CN"/>
          </w:rPr>
          <w:t>(二)、文化趋势对户外广告行业需求的影响</w:t>
        </w:r>
        <w:r>
          <w:tab/>
        </w:r>
        <w:r>
          <w:fldChar w:fldCharType="begin"/>
        </w:r>
        <w:r>
          <w:instrText xml:space="preserve"> PAGEREF _Toc14625 \h </w:instrText>
        </w:r>
        <w:r>
          <w:fldChar w:fldCharType="separate"/>
        </w:r>
        <w:r>
          <w:t>13</w:t>
        </w:r>
        <w:r>
          <w:fldChar w:fldCharType="end"/>
        </w:r>
      </w:hyperlink>
    </w:p>
    <w:p>
      <w:pPr>
        <w:pStyle w:val="TOC2"/>
        <w:tabs>
          <w:tab w:val="right" w:leader="dot" w:pos="8306"/>
        </w:tabs>
      </w:pPr>
      <w:hyperlink w:anchor="_Toc31410" w:history="1">
        <w:r>
          <w:rPr>
            <w:rFonts w:ascii="仿宋" w:eastAsia="仿宋" w:hAnsi="仿宋" w:cs="仿宋" w:hint="eastAsia"/>
            <w:lang w:eastAsia="zh-CN"/>
          </w:rPr>
          <w:t>(三)、社会文化因素的可行性分析</w:t>
        </w:r>
        <w:r>
          <w:tab/>
        </w:r>
        <w:r>
          <w:fldChar w:fldCharType="begin"/>
        </w:r>
        <w:r>
          <w:instrText xml:space="preserve"> PAGEREF _Toc31410 \h </w:instrText>
        </w:r>
        <w:r>
          <w:fldChar w:fldCharType="separate"/>
        </w:r>
        <w:r>
          <w:t>15</w:t>
        </w:r>
        <w:r>
          <w:fldChar w:fldCharType="end"/>
        </w:r>
      </w:hyperlink>
    </w:p>
    <w:p>
      <w:pPr>
        <w:pStyle w:val="TOC1"/>
        <w:tabs>
          <w:tab w:val="right" w:leader="dot" w:pos="8306"/>
        </w:tabs>
      </w:pPr>
      <w:hyperlink w:anchor="_Toc5844" w:history="1">
        <w:r>
          <w:rPr>
            <w:rFonts w:ascii="仿宋" w:eastAsia="仿宋" w:hAnsi="仿宋" w:cs="仿宋" w:hint="eastAsia"/>
            <w:lang w:eastAsia="zh-CN"/>
          </w:rPr>
          <w:t>四、质量管理和产品认证</w:t>
        </w:r>
        <w:r>
          <w:tab/>
        </w:r>
        <w:r>
          <w:fldChar w:fldCharType="begin"/>
        </w:r>
        <w:r>
          <w:instrText xml:space="preserve"> PAGEREF _Toc5844 \h </w:instrText>
        </w:r>
        <w:r>
          <w:fldChar w:fldCharType="separate"/>
        </w:r>
        <w:r>
          <w:t>16</w:t>
        </w:r>
        <w:r>
          <w:fldChar w:fldCharType="end"/>
        </w:r>
      </w:hyperlink>
    </w:p>
    <w:p>
      <w:pPr>
        <w:pStyle w:val="TOC2"/>
        <w:tabs>
          <w:tab w:val="right" w:leader="dot" w:pos="8306"/>
        </w:tabs>
      </w:pPr>
      <w:hyperlink w:anchor="_Toc8608" w:history="1">
        <w:r>
          <w:rPr>
            <w:rFonts w:ascii="仿宋" w:eastAsia="仿宋" w:hAnsi="仿宋" w:cs="仿宋" w:hint="eastAsia"/>
            <w:lang w:eastAsia="zh-CN"/>
          </w:rPr>
          <w:t>(一)、质量管理体系和产品认证要求</w:t>
        </w:r>
        <w:r>
          <w:tab/>
        </w:r>
        <w:r>
          <w:fldChar w:fldCharType="begin"/>
        </w:r>
        <w:r>
          <w:instrText xml:space="preserve"> PAGEREF _Toc8608 \h </w:instrText>
        </w:r>
        <w:r>
          <w:fldChar w:fldCharType="separate"/>
        </w:r>
        <w:r>
          <w:t>16</w:t>
        </w:r>
        <w:r>
          <w:fldChar w:fldCharType="end"/>
        </w:r>
      </w:hyperlink>
    </w:p>
    <w:p>
      <w:pPr>
        <w:pStyle w:val="TOC2"/>
        <w:tabs>
          <w:tab w:val="right" w:leader="dot" w:pos="8306"/>
        </w:tabs>
      </w:pPr>
      <w:hyperlink w:anchor="_Toc7829" w:history="1">
        <w:r>
          <w:rPr>
            <w:rFonts w:ascii="仿宋" w:eastAsia="仿宋" w:hAnsi="仿宋" w:cs="仿宋" w:hint="eastAsia"/>
            <w:lang w:eastAsia="zh-CN"/>
          </w:rPr>
          <w:t>(二)、质量控制的关键环节和措施</w:t>
        </w:r>
        <w:r>
          <w:tab/>
        </w:r>
        <w:r>
          <w:fldChar w:fldCharType="begin"/>
        </w:r>
        <w:r>
          <w:instrText xml:space="preserve"> PAGEREF _Toc7829 \h </w:instrText>
        </w:r>
        <w:r>
          <w:fldChar w:fldCharType="separate"/>
        </w:r>
        <w:r>
          <w:t>17</w:t>
        </w:r>
        <w:r>
          <w:fldChar w:fldCharType="end"/>
        </w:r>
      </w:hyperlink>
    </w:p>
    <w:p>
      <w:pPr>
        <w:pStyle w:val="TOC2"/>
        <w:tabs>
          <w:tab w:val="right" w:leader="dot" w:pos="8306"/>
        </w:tabs>
      </w:pPr>
      <w:hyperlink w:anchor="_Toc24282" w:history="1">
        <w:r>
          <w:rPr>
            <w:rFonts w:ascii="仿宋" w:eastAsia="仿宋" w:hAnsi="仿宋" w:cs="仿宋" w:hint="eastAsia"/>
            <w:lang w:eastAsia="zh-CN"/>
          </w:rPr>
          <w:t>(三)、质量问题和改进措施的跟踪和处理</w:t>
        </w:r>
        <w:r>
          <w:tab/>
        </w:r>
        <w:r>
          <w:fldChar w:fldCharType="begin"/>
        </w:r>
        <w:r>
          <w:instrText xml:space="preserve"> PAGEREF _Toc24282 \h </w:instrText>
        </w:r>
        <w:r>
          <w:fldChar w:fldCharType="separate"/>
        </w:r>
        <w:r>
          <w:t>18</w:t>
        </w:r>
        <w:r>
          <w:fldChar w:fldCharType="end"/>
        </w:r>
      </w:hyperlink>
    </w:p>
    <w:p>
      <w:pPr>
        <w:pStyle w:val="TOC1"/>
        <w:tabs>
          <w:tab w:val="right" w:leader="dot" w:pos="8306"/>
        </w:tabs>
      </w:pPr>
      <w:hyperlink w:anchor="_Toc2837" w:history="1">
        <w:r>
          <w:rPr>
            <w:rFonts w:ascii="仿宋" w:eastAsia="仿宋" w:hAnsi="仿宋" w:cs="仿宋" w:hint="eastAsia"/>
            <w:lang w:eastAsia="zh-CN"/>
          </w:rPr>
          <w:t>五、户外广告行业项目投资估算与资金筹措</w:t>
        </w:r>
        <w:r>
          <w:tab/>
        </w:r>
        <w:r>
          <w:fldChar w:fldCharType="begin"/>
        </w:r>
        <w:r>
          <w:instrText xml:space="preserve"> PAGEREF _Toc2837 \h </w:instrText>
        </w:r>
        <w:r>
          <w:fldChar w:fldCharType="separate"/>
        </w:r>
        <w:r>
          <w:t>19</w:t>
        </w:r>
        <w:r>
          <w:fldChar w:fldCharType="end"/>
        </w:r>
      </w:hyperlink>
    </w:p>
    <w:p>
      <w:pPr>
        <w:pStyle w:val="TOC2"/>
        <w:tabs>
          <w:tab w:val="right" w:leader="dot" w:pos="8306"/>
        </w:tabs>
      </w:pPr>
      <w:hyperlink w:anchor="_Toc18420" w:history="1">
        <w:r>
          <w:rPr>
            <w:rFonts w:ascii="仿宋" w:eastAsia="仿宋" w:hAnsi="仿宋" w:cs="仿宋" w:hint="eastAsia"/>
            <w:lang w:eastAsia="zh-CN"/>
          </w:rPr>
          <w:t>(一)、投资估算依据和说明</w:t>
        </w:r>
        <w:r>
          <w:tab/>
        </w:r>
        <w:r>
          <w:fldChar w:fldCharType="begin"/>
        </w:r>
        <w:r>
          <w:instrText xml:space="preserve"> PAGEREF _Toc18420 \h </w:instrText>
        </w:r>
        <w:r>
          <w:fldChar w:fldCharType="separate"/>
        </w:r>
        <w:r>
          <w:t>19</w:t>
        </w:r>
        <w:r>
          <w:fldChar w:fldCharType="end"/>
        </w:r>
      </w:hyperlink>
    </w:p>
    <w:p>
      <w:pPr>
        <w:pStyle w:val="TOC2"/>
        <w:tabs>
          <w:tab w:val="right" w:leader="dot" w:pos="8306"/>
        </w:tabs>
      </w:pPr>
      <w:hyperlink w:anchor="_Toc29333" w:history="1">
        <w:r>
          <w:rPr>
            <w:rFonts w:ascii="仿宋" w:eastAsia="仿宋" w:hAnsi="仿宋" w:cs="仿宋" w:hint="eastAsia"/>
            <w:lang w:eastAsia="zh-CN"/>
          </w:rPr>
          <w:t>(二)、资金筹措</w:t>
        </w:r>
        <w:r>
          <w:tab/>
        </w:r>
        <w:r>
          <w:fldChar w:fldCharType="begin"/>
        </w:r>
        <w:r>
          <w:instrText xml:space="preserve"> PAGEREF _Toc29333 \h </w:instrText>
        </w:r>
        <w:r>
          <w:fldChar w:fldCharType="separate"/>
        </w:r>
        <w:r>
          <w:t>20</w:t>
        </w:r>
        <w:r>
          <w:fldChar w:fldCharType="end"/>
        </w:r>
      </w:hyperlink>
    </w:p>
    <w:p>
      <w:pPr>
        <w:pStyle w:val="TOC2"/>
        <w:tabs>
          <w:tab w:val="right" w:leader="dot" w:pos="8306"/>
        </w:tabs>
      </w:pPr>
      <w:hyperlink w:anchor="_Toc7463" w:history="1">
        <w:r>
          <w:rPr>
            <w:rFonts w:ascii="仿宋" w:eastAsia="仿宋" w:hAnsi="仿宋" w:cs="仿宋" w:hint="eastAsia"/>
            <w:lang w:eastAsia="zh-CN"/>
          </w:rPr>
          <w:t>(三)、资金使用计划</w:t>
        </w:r>
        <w:r>
          <w:tab/>
        </w:r>
        <w:r>
          <w:fldChar w:fldCharType="begin"/>
        </w:r>
        <w:r>
          <w:instrText xml:space="preserve"> PAGEREF _Toc7463 \h </w:instrText>
        </w:r>
        <w:r>
          <w:fldChar w:fldCharType="separate"/>
        </w:r>
        <w:r>
          <w:t>20</w:t>
        </w:r>
        <w:r>
          <w:fldChar w:fldCharType="end"/>
        </w:r>
      </w:hyperlink>
    </w:p>
    <w:p>
      <w:pPr>
        <w:pStyle w:val="TOC2"/>
        <w:tabs>
          <w:tab w:val="right" w:leader="dot" w:pos="8306"/>
        </w:tabs>
      </w:pPr>
      <w:hyperlink w:anchor="_Toc29566" w:history="1">
        <w:r>
          <w:rPr>
            <w:rFonts w:ascii="仿宋" w:eastAsia="仿宋" w:hAnsi="仿宋" w:cs="仿宋" w:hint="eastAsia"/>
            <w:lang w:eastAsia="zh-CN"/>
          </w:rPr>
          <w:t>(四)、户外广告行业项目经济评价</w:t>
        </w:r>
        <w:r>
          <w:tab/>
        </w:r>
        <w:r>
          <w:fldChar w:fldCharType="begin"/>
        </w:r>
        <w:r>
          <w:instrText xml:space="preserve"> PAGEREF _Toc29566 \h </w:instrText>
        </w:r>
        <w:r>
          <w:fldChar w:fldCharType="separate"/>
        </w:r>
        <w:r>
          <w:t>21</w:t>
        </w:r>
        <w:r>
          <w:fldChar w:fldCharType="end"/>
        </w:r>
      </w:hyperlink>
    </w:p>
    <w:p>
      <w:pPr>
        <w:pStyle w:val="TOC1"/>
        <w:tabs>
          <w:tab w:val="right" w:leader="dot" w:pos="8306"/>
        </w:tabs>
      </w:pPr>
      <w:hyperlink w:anchor="_Toc11781" w:history="1">
        <w:r>
          <w:rPr>
            <w:rFonts w:ascii="仿宋" w:eastAsia="仿宋" w:hAnsi="仿宋" w:cs="仿宋" w:hint="eastAsia"/>
            <w:lang w:eastAsia="zh-CN"/>
          </w:rPr>
          <w:t>六、安全生产评估报告书</w:t>
        </w:r>
        <w:r>
          <w:tab/>
        </w:r>
        <w:r>
          <w:fldChar w:fldCharType="begin"/>
        </w:r>
        <w:r>
          <w:instrText xml:space="preserve"> PAGEREF _Toc11781 \h </w:instrText>
        </w:r>
        <w:r>
          <w:fldChar w:fldCharType="separate"/>
        </w:r>
        <w:r>
          <w:t>22</w:t>
        </w:r>
        <w:r>
          <w:fldChar w:fldCharType="end"/>
        </w:r>
      </w:hyperlink>
    </w:p>
    <w:p>
      <w:pPr>
        <w:pStyle w:val="TOC2"/>
        <w:tabs>
          <w:tab w:val="right" w:leader="dot" w:pos="8306"/>
        </w:tabs>
      </w:pPr>
      <w:hyperlink w:anchor="_Toc18108" w:history="1">
        <w:r>
          <w:rPr>
            <w:rFonts w:ascii="仿宋" w:eastAsia="仿宋" w:hAnsi="仿宋" w:cs="仿宋" w:hint="eastAsia"/>
            <w:lang w:eastAsia="zh-CN"/>
          </w:rPr>
          <w:t>(一)、户外广告行业项目安全生产评估的目的和依据</w:t>
        </w:r>
        <w:r>
          <w:tab/>
        </w:r>
        <w:r>
          <w:fldChar w:fldCharType="begin"/>
        </w:r>
        <w:r>
          <w:instrText xml:space="preserve"> PAGEREF _Toc18108 \h </w:instrText>
        </w:r>
        <w:r>
          <w:fldChar w:fldCharType="separate"/>
        </w:r>
        <w:r>
          <w:t>22</w:t>
        </w:r>
        <w:r>
          <w:fldChar w:fldCharType="end"/>
        </w:r>
      </w:hyperlink>
    </w:p>
    <w:p>
      <w:pPr>
        <w:pStyle w:val="TOC2"/>
        <w:tabs>
          <w:tab w:val="right" w:leader="dot" w:pos="8306"/>
        </w:tabs>
      </w:pPr>
      <w:hyperlink w:anchor="_Toc24800" w:history="1">
        <w:r>
          <w:rPr>
            <w:rFonts w:ascii="仿宋" w:eastAsia="仿宋" w:hAnsi="仿宋" w:cs="仿宋" w:hint="eastAsia"/>
            <w:lang w:eastAsia="zh-CN"/>
          </w:rPr>
          <w:t>(二)、户外广告行业项目安全生产条件和现状评估</w:t>
        </w:r>
        <w:r>
          <w:tab/>
        </w:r>
        <w:r>
          <w:fldChar w:fldCharType="begin"/>
        </w:r>
        <w:r>
          <w:instrText xml:space="preserve"> PAGEREF _Toc24800 \h </w:instrText>
        </w:r>
        <w:r>
          <w:fldChar w:fldCharType="separate"/>
        </w:r>
        <w:r>
          <w:t>23</w:t>
        </w:r>
        <w:r>
          <w:fldChar w:fldCharType="end"/>
        </w:r>
      </w:hyperlink>
    </w:p>
    <w:p>
      <w:pPr>
        <w:pStyle w:val="TOC2"/>
        <w:tabs>
          <w:tab w:val="right" w:leader="dot" w:pos="8306"/>
        </w:tabs>
      </w:pPr>
      <w:hyperlink w:anchor="_Toc28173" w:history="1">
        <w:r>
          <w:rPr>
            <w:rFonts w:ascii="仿宋" w:eastAsia="仿宋" w:hAnsi="仿宋" w:cs="仿宋" w:hint="eastAsia"/>
            <w:lang w:eastAsia="zh-CN"/>
          </w:rPr>
          <w:t>(三)、安全生产风险评估和预测</w:t>
        </w:r>
        <w:r>
          <w:tab/>
        </w:r>
        <w:r>
          <w:fldChar w:fldCharType="begin"/>
        </w:r>
        <w:r>
          <w:instrText xml:space="preserve"> PAGEREF _Toc28173 \h </w:instrText>
        </w:r>
        <w:r>
          <w:fldChar w:fldCharType="separate"/>
        </w:r>
        <w:r>
          <w:t>24</w:t>
        </w:r>
        <w:r>
          <w:fldChar w:fldCharType="end"/>
        </w:r>
      </w:hyperlink>
    </w:p>
    <w:p>
      <w:pPr>
        <w:pStyle w:val="TOC2"/>
        <w:tabs>
          <w:tab w:val="right" w:leader="dot" w:pos="8306"/>
        </w:tabs>
      </w:pPr>
      <w:hyperlink w:anchor="_Toc23145" w:history="1">
        <w:r>
          <w:rPr>
            <w:rFonts w:ascii="仿宋" w:eastAsia="仿宋" w:hAnsi="仿宋" w:cs="仿宋" w:hint="eastAsia"/>
            <w:lang w:eastAsia="zh-CN"/>
          </w:rPr>
          <w:t>(四)、安全生产对策措施和实施方案</w:t>
        </w:r>
        <w:r>
          <w:tab/>
        </w:r>
        <w:r>
          <w:fldChar w:fldCharType="begin"/>
        </w:r>
        <w:r>
          <w:instrText xml:space="preserve"> PAGEREF _Toc23145 \h </w:instrText>
        </w:r>
        <w:r>
          <w:fldChar w:fldCharType="separate"/>
        </w:r>
        <w:r>
          <w:t>26</w:t>
        </w:r>
        <w:r>
          <w:fldChar w:fldCharType="end"/>
        </w:r>
      </w:hyperlink>
    </w:p>
    <w:p>
      <w:pPr>
        <w:pStyle w:val="TOC1"/>
        <w:tabs>
          <w:tab w:val="right" w:leader="dot" w:pos="8306"/>
        </w:tabs>
      </w:pPr>
      <w:hyperlink w:anchor="_Toc9630" w:history="1">
        <w:r>
          <w:rPr>
            <w:rFonts w:ascii="仿宋" w:eastAsia="仿宋" w:hAnsi="仿宋" w:cs="仿宋" w:hint="eastAsia"/>
            <w:lang w:eastAsia="zh-CN"/>
          </w:rPr>
          <w:t>七、团队建设和管理培训</w:t>
        </w:r>
        <w:r>
          <w:tab/>
        </w:r>
        <w:r>
          <w:fldChar w:fldCharType="begin"/>
        </w:r>
        <w:r>
          <w:instrText xml:space="preserve"> PAGEREF _Toc9630 \h </w:instrText>
        </w:r>
        <w:r>
          <w:fldChar w:fldCharType="separate"/>
        </w:r>
        <w:r>
          <w:t>27</w:t>
        </w:r>
        <w:r>
          <w:fldChar w:fldCharType="end"/>
        </w:r>
      </w:hyperlink>
    </w:p>
    <w:p>
      <w:pPr>
        <w:pStyle w:val="TOC2"/>
        <w:tabs>
          <w:tab w:val="right" w:leader="dot" w:pos="8306"/>
        </w:tabs>
      </w:pPr>
      <w:hyperlink w:anchor="_Toc28499" w:history="1">
        <w:r>
          <w:rPr>
            <w:rFonts w:ascii="仿宋" w:eastAsia="仿宋" w:hAnsi="仿宋" w:cs="仿宋" w:hint="eastAsia"/>
            <w:lang w:eastAsia="zh-CN"/>
          </w:rPr>
          <w:t>(一)、团队建设和管理的目标和原则</w:t>
        </w:r>
        <w:r>
          <w:tab/>
        </w:r>
        <w:r>
          <w:fldChar w:fldCharType="begin"/>
        </w:r>
        <w:r>
          <w:instrText xml:space="preserve"> PAGEREF _Toc28499 \h </w:instrText>
        </w:r>
        <w:r>
          <w:fldChar w:fldCharType="separate"/>
        </w:r>
        <w:r>
          <w:t>27</w:t>
        </w:r>
        <w:r>
          <w:fldChar w:fldCharType="end"/>
        </w:r>
      </w:hyperlink>
    </w:p>
    <w:p>
      <w:pPr>
        <w:pStyle w:val="TOC2"/>
        <w:tabs>
          <w:tab w:val="right" w:leader="dot" w:pos="8306"/>
        </w:tabs>
      </w:pPr>
      <w:hyperlink w:anchor="_Toc15273" w:history="1">
        <w:r>
          <w:rPr>
            <w:rFonts w:ascii="仿宋" w:eastAsia="仿宋" w:hAnsi="仿宋" w:cs="仿宋" w:hint="eastAsia"/>
            <w:lang w:eastAsia="zh-CN"/>
          </w:rPr>
          <w:t>(二)、管理培训和提升的方案</w:t>
        </w:r>
        <w:r>
          <w:tab/>
        </w:r>
        <w:r>
          <w:fldChar w:fldCharType="begin"/>
        </w:r>
        <w:r>
          <w:instrText xml:space="preserve"> PAGEREF _Toc15273 \h </w:instrText>
        </w:r>
        <w:r>
          <w:fldChar w:fldCharType="separate"/>
        </w:r>
        <w:r>
          <w:t>28</w:t>
        </w:r>
        <w:r>
          <w:fldChar w:fldCharType="end"/>
        </w:r>
      </w:hyperlink>
    </w:p>
    <w:p>
      <w:pPr>
        <w:pStyle w:val="TOC2"/>
        <w:tabs>
          <w:tab w:val="right" w:leader="dot" w:pos="8306"/>
        </w:tabs>
      </w:pPr>
      <w:hyperlink w:anchor="_Toc6140" w:history="1">
        <w:r>
          <w:rPr>
            <w:rFonts w:ascii="仿宋" w:eastAsia="仿宋" w:hAnsi="仿宋" w:cs="仿宋" w:hint="eastAsia"/>
            <w:lang w:eastAsia="zh-CN"/>
          </w:rPr>
          <w:t>(三)、团队成员激励和考核机制</w:t>
        </w:r>
        <w:r>
          <w:tab/>
        </w:r>
        <w:r>
          <w:fldChar w:fldCharType="begin"/>
        </w:r>
        <w:r>
          <w:instrText xml:space="preserve"> PAGEREF _Toc6140 \h </w:instrText>
        </w:r>
        <w:r>
          <w:fldChar w:fldCharType="separate"/>
        </w:r>
        <w:r>
          <w:t>29</w:t>
        </w:r>
        <w:r>
          <w:fldChar w:fldCharType="end"/>
        </w:r>
      </w:hyperlink>
    </w:p>
    <w:p>
      <w:pPr>
        <w:pStyle w:val="TOC1"/>
        <w:tabs>
          <w:tab w:val="right" w:leader="dot" w:pos="8306"/>
        </w:tabs>
      </w:pPr>
      <w:hyperlink w:anchor="_Toc17908" w:history="1">
        <w:r>
          <w:rPr>
            <w:rFonts w:ascii="仿宋" w:eastAsia="仿宋" w:hAnsi="仿宋" w:cs="仿宋" w:hint="eastAsia"/>
            <w:lang w:eastAsia="zh-CN"/>
          </w:rPr>
          <w:t>八、社会投资和慈善计划</w:t>
        </w:r>
        <w:r>
          <w:tab/>
        </w:r>
        <w:r>
          <w:fldChar w:fldCharType="begin"/>
        </w:r>
        <w:r>
          <w:instrText xml:space="preserve"> PAGEREF _Toc17908 \h </w:instrText>
        </w:r>
        <w:r>
          <w:fldChar w:fldCharType="separate"/>
        </w:r>
        <w:r>
          <w:t>31</w:t>
        </w:r>
        <w:r>
          <w:fldChar w:fldCharType="end"/>
        </w:r>
      </w:hyperlink>
    </w:p>
    <w:p>
      <w:pPr>
        <w:pStyle w:val="TOC2"/>
        <w:tabs>
          <w:tab w:val="right" w:leader="dot" w:pos="8306"/>
        </w:tabs>
      </w:pPr>
      <w:hyperlink w:anchor="_Toc7785" w:history="1">
        <w:r>
          <w:rPr>
            <w:rFonts w:ascii="仿宋" w:eastAsia="仿宋" w:hAnsi="仿宋" w:cs="仿宋" w:hint="eastAsia"/>
            <w:lang w:eastAsia="zh-CN"/>
          </w:rPr>
          <w:t>(一)、社会责任投资和捐赠计划</w:t>
        </w:r>
        <w:r>
          <w:tab/>
        </w:r>
        <w:r>
          <w:fldChar w:fldCharType="begin"/>
        </w:r>
        <w:r>
          <w:instrText xml:space="preserve"> PAGEREF _Toc7785 \h </w:instrText>
        </w:r>
        <w:r>
          <w:fldChar w:fldCharType="separate"/>
        </w:r>
        <w:r>
          <w:t>31</w:t>
        </w:r>
        <w:r>
          <w:fldChar w:fldCharType="end"/>
        </w:r>
      </w:hyperlink>
    </w:p>
    <w:p>
      <w:pPr>
        <w:pStyle w:val="TOC2"/>
        <w:tabs>
          <w:tab w:val="right" w:leader="dot" w:pos="8306"/>
        </w:tabs>
      </w:pPr>
      <w:hyperlink w:anchor="_Toc11362" w:history="1">
        <w:r>
          <w:rPr>
            <w:rFonts w:ascii="仿宋" w:eastAsia="仿宋" w:hAnsi="仿宋" w:cs="仿宋" w:hint="eastAsia"/>
            <w:lang w:eastAsia="zh-CN"/>
          </w:rPr>
          <w:t>(二)、社会慈善户外广告行业项目的可行性</w:t>
        </w:r>
        <w:r>
          <w:tab/>
        </w:r>
        <w:r>
          <w:fldChar w:fldCharType="begin"/>
        </w:r>
        <w:r>
          <w:instrText xml:space="preserve"> PAGEREF _Toc11362 \h </w:instrText>
        </w:r>
        <w:r>
          <w:fldChar w:fldCharType="separate"/>
        </w:r>
        <w:r>
          <w:t>32</w:t>
        </w:r>
        <w:r>
          <w:fldChar w:fldCharType="end"/>
        </w:r>
      </w:hyperlink>
    </w:p>
    <w:p>
      <w:pPr>
        <w:pStyle w:val="TOC2"/>
        <w:tabs>
          <w:tab w:val="right" w:leader="dot" w:pos="8306"/>
        </w:tabs>
      </w:pPr>
      <w:hyperlink w:anchor="_Toc16666" w:history="1">
        <w:r>
          <w:rPr>
            <w:rFonts w:ascii="仿宋" w:eastAsia="仿宋" w:hAnsi="仿宋" w:cs="仿宋" w:hint="eastAsia"/>
            <w:lang w:eastAsia="zh-CN"/>
          </w:rPr>
          <w:t>(三)、社会影响投资的测量和报告</w:t>
        </w:r>
        <w:r>
          <w:tab/>
        </w:r>
        <w:r>
          <w:fldChar w:fldCharType="begin"/>
        </w:r>
        <w:r>
          <w:instrText xml:space="preserve"> PAGEREF _Toc16666 \h </w:instrText>
        </w:r>
        <w:r>
          <w:fldChar w:fldCharType="separate"/>
        </w:r>
        <w:r>
          <w:t>33</w:t>
        </w:r>
        <w:r>
          <w:fldChar w:fldCharType="end"/>
        </w:r>
      </w:hyperlink>
    </w:p>
    <w:p>
      <w:pPr>
        <w:pStyle w:val="TOC1"/>
        <w:tabs>
          <w:tab w:val="right" w:leader="dot" w:pos="8306"/>
        </w:tabs>
      </w:pPr>
      <w:hyperlink w:anchor="_Toc30969" w:history="1">
        <w:r>
          <w:rPr>
            <w:rFonts w:ascii="仿宋" w:eastAsia="仿宋" w:hAnsi="仿宋" w:cs="仿宋" w:hint="eastAsia"/>
            <w:lang w:eastAsia="zh-CN"/>
          </w:rPr>
          <w:t>九、团队协作和沟通管理</w:t>
        </w:r>
        <w:r>
          <w:tab/>
        </w:r>
        <w:r>
          <w:fldChar w:fldCharType="begin"/>
        </w:r>
        <w:r>
          <w:instrText xml:space="preserve"> PAGEREF _Toc30969 \h </w:instrText>
        </w:r>
        <w:r>
          <w:fldChar w:fldCharType="separate"/>
        </w:r>
        <w:r>
          <w:t>35</w:t>
        </w:r>
        <w:r>
          <w:fldChar w:fldCharType="end"/>
        </w:r>
      </w:hyperlink>
    </w:p>
    <w:p>
      <w:pPr>
        <w:pStyle w:val="TOC2"/>
        <w:tabs>
          <w:tab w:val="right" w:leader="dot" w:pos="8306"/>
        </w:tabs>
      </w:pPr>
      <w:hyperlink w:anchor="_Toc6525" w:history="1">
        <w:r>
          <w:rPr>
            <w:rFonts w:ascii="仿宋" w:eastAsia="仿宋" w:hAnsi="仿宋" w:cs="仿宋" w:hint="eastAsia"/>
            <w:lang w:eastAsia="zh-CN"/>
          </w:rPr>
          <w:t>(一)、户外广告行业项目团队协作和合作方式</w:t>
        </w:r>
        <w:r>
          <w:tab/>
        </w:r>
        <w:r>
          <w:fldChar w:fldCharType="begin"/>
        </w:r>
        <w:r>
          <w:instrText xml:space="preserve"> PAGEREF _Toc6525 \h </w:instrText>
        </w:r>
        <w:r>
          <w:fldChar w:fldCharType="separate"/>
        </w:r>
        <w:r>
          <w:t>35</w:t>
        </w:r>
        <w:r>
          <w:fldChar w:fldCharType="end"/>
        </w:r>
      </w:hyperlink>
    </w:p>
    <w:p>
      <w:pPr>
        <w:pStyle w:val="TOC2"/>
        <w:tabs>
          <w:tab w:val="right" w:leader="dot" w:pos="8306"/>
        </w:tabs>
      </w:pPr>
      <w:hyperlink w:anchor="_Toc8443" w:history="1">
        <w:r>
          <w:rPr>
            <w:rFonts w:ascii="仿宋" w:eastAsia="仿宋" w:hAnsi="仿宋" w:cs="仿宋" w:hint="eastAsia"/>
            <w:lang w:eastAsia="zh-CN"/>
          </w:rPr>
          <w:t>(二)、沟通机制和信息共享方式</w:t>
        </w:r>
        <w:r>
          <w:tab/>
        </w:r>
        <w:r>
          <w:fldChar w:fldCharType="begin"/>
        </w:r>
        <w:r>
          <w:instrText xml:space="preserve"> PAGEREF _Toc8443 \h </w:instrText>
        </w:r>
        <w:r>
          <w:fldChar w:fldCharType="separate"/>
        </w:r>
        <w:r>
          <w:t>35</w:t>
        </w:r>
        <w:r>
          <w:fldChar w:fldCharType="end"/>
        </w:r>
      </w:hyperlink>
    </w:p>
    <w:p>
      <w:pPr>
        <w:pStyle w:val="TOC2"/>
        <w:tabs>
          <w:tab w:val="right" w:leader="dot" w:pos="8306"/>
        </w:tabs>
      </w:pPr>
      <w:hyperlink w:anchor="_Toc19217" w:history="1">
        <w:r>
          <w:rPr>
            <w:rFonts w:ascii="仿宋" w:eastAsia="仿宋" w:hAnsi="仿宋" w:cs="仿宋" w:hint="eastAsia"/>
            <w:lang w:eastAsia="zh-CN"/>
          </w:rPr>
          <w:t>(三)、团队建设和人员激励措施</w:t>
        </w:r>
        <w:r>
          <w:tab/>
        </w:r>
        <w:r>
          <w:fldChar w:fldCharType="begin"/>
        </w:r>
        <w:r>
          <w:instrText xml:space="preserve"> PAGEREF _Toc19217 \h </w:instrText>
        </w:r>
        <w:r>
          <w:fldChar w:fldCharType="separate"/>
        </w:r>
        <w:r>
          <w:t>36</w:t>
        </w:r>
        <w:r>
          <w:fldChar w:fldCharType="end"/>
        </w:r>
      </w:hyperlink>
    </w:p>
    <w:p>
      <w:pPr>
        <w:pStyle w:val="TOC1"/>
        <w:tabs>
          <w:tab w:val="right" w:leader="dot" w:pos="8306"/>
        </w:tabs>
      </w:pPr>
      <w:hyperlink w:anchor="_Toc22547" w:history="1">
        <w:r>
          <w:rPr>
            <w:rFonts w:ascii="仿宋" w:eastAsia="仿宋" w:hAnsi="仿宋" w:cs="仿宋" w:hint="eastAsia"/>
            <w:lang w:eastAsia="zh-CN"/>
          </w:rPr>
          <w:t>十、客户服务和消费者权益保护</w:t>
        </w:r>
        <w:r>
          <w:tab/>
        </w:r>
        <w:r>
          <w:fldChar w:fldCharType="begin"/>
        </w:r>
        <w:r>
          <w:instrText xml:space="preserve"> PAGEREF _Toc22547 \h </w:instrText>
        </w:r>
        <w:r>
          <w:fldChar w:fldCharType="separate"/>
        </w:r>
        <w:r>
          <w:t>37</w:t>
        </w:r>
        <w:r>
          <w:fldChar w:fldCharType="end"/>
        </w:r>
      </w:hyperlink>
    </w:p>
    <w:p>
      <w:pPr>
        <w:pStyle w:val="TOC2"/>
        <w:tabs>
          <w:tab w:val="right" w:leader="dot" w:pos="8306"/>
        </w:tabs>
      </w:pPr>
      <w:hyperlink w:anchor="_Toc26734" w:history="1">
        <w:r>
          <w:rPr>
            <w:rFonts w:ascii="仿宋" w:eastAsia="仿宋" w:hAnsi="仿宋" w:cs="仿宋" w:hint="eastAsia"/>
            <w:lang w:eastAsia="zh-CN"/>
          </w:rPr>
          <w:t>(一)、客户服务的标准和流程</w:t>
        </w:r>
        <w:r>
          <w:tab/>
        </w:r>
        <w:r>
          <w:fldChar w:fldCharType="begin"/>
        </w:r>
        <w:r>
          <w:instrText xml:space="preserve"> PAGEREF _Toc26734 \h </w:instrText>
        </w:r>
        <w:r>
          <w:fldChar w:fldCharType="separate"/>
        </w:r>
        <w:r>
          <w:t>37</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17829" w:history="1">
        <w:r>
          <w:rPr>
            <w:rFonts w:ascii="仿宋" w:eastAsia="仿宋" w:hAnsi="仿宋" w:cs="仿宋" w:hint="eastAsia"/>
            <w:lang w:eastAsia="zh-CN"/>
          </w:rPr>
          <w:t>(二)、消费者权益保护的措施和办法</w:t>
        </w:r>
        <w:r>
          <w:tab/>
        </w:r>
        <w:r>
          <w:fldChar w:fldCharType="begin"/>
        </w:r>
        <w:r>
          <w:instrText xml:space="preserve"> PAGEREF _Toc17829 \h </w:instrText>
        </w:r>
        <w:r>
          <w:fldChar w:fldCharType="separate"/>
        </w:r>
        <w:r>
          <w:t>39</w:t>
        </w:r>
        <w:r>
          <w:fldChar w:fldCharType="end"/>
        </w:r>
      </w:hyperlink>
    </w:p>
    <w:p>
      <w:pPr>
        <w:pStyle w:val="TOC2"/>
        <w:tabs>
          <w:tab w:val="right" w:leader="dot" w:pos="8306"/>
        </w:tabs>
      </w:pPr>
      <w:hyperlink w:anchor="_Toc9685" w:history="1">
        <w:r>
          <w:rPr>
            <w:rFonts w:ascii="仿宋" w:eastAsia="仿宋" w:hAnsi="仿宋" w:cs="仿宋" w:hint="eastAsia"/>
            <w:lang w:eastAsia="zh-CN"/>
          </w:rPr>
          <w:t>(三)、客户反馈和投诉处理的机制建设</w:t>
        </w:r>
        <w:r>
          <w:tab/>
        </w:r>
        <w:r>
          <w:fldChar w:fldCharType="begin"/>
        </w:r>
        <w:r>
          <w:instrText xml:space="preserve"> PAGEREF _Toc9685 \h </w:instrText>
        </w:r>
        <w:r>
          <w:fldChar w:fldCharType="separate"/>
        </w:r>
        <w:r>
          <w:t>40</w:t>
        </w:r>
        <w:r>
          <w:fldChar w:fldCharType="end"/>
        </w:r>
      </w:hyperlink>
    </w:p>
    <w:p>
      <w:pPr>
        <w:pStyle w:val="TOC1"/>
        <w:tabs>
          <w:tab w:val="right" w:leader="dot" w:pos="8306"/>
        </w:tabs>
      </w:pPr>
      <w:hyperlink w:anchor="_Toc30134" w:history="1">
        <w:r>
          <w:rPr>
            <w:rFonts w:ascii="仿宋" w:eastAsia="仿宋" w:hAnsi="仿宋" w:cs="仿宋" w:hint="eastAsia"/>
            <w:lang w:eastAsia="zh-CN"/>
          </w:rPr>
          <w:t>十一、消防安全</w:t>
        </w:r>
        <w:r>
          <w:tab/>
        </w:r>
        <w:r>
          <w:fldChar w:fldCharType="begin"/>
        </w:r>
        <w:r>
          <w:instrText xml:space="preserve"> PAGEREF _Toc30134 \h </w:instrText>
        </w:r>
        <w:r>
          <w:fldChar w:fldCharType="separate"/>
        </w:r>
        <w:r>
          <w:t>42</w:t>
        </w:r>
        <w:r>
          <w:fldChar w:fldCharType="end"/>
        </w:r>
      </w:hyperlink>
    </w:p>
    <w:p>
      <w:pPr>
        <w:pStyle w:val="TOC2"/>
        <w:tabs>
          <w:tab w:val="right" w:leader="dot" w:pos="8306"/>
        </w:tabs>
      </w:pPr>
      <w:hyperlink w:anchor="_Toc27891" w:history="1">
        <w:r>
          <w:rPr>
            <w:rFonts w:ascii="仿宋" w:eastAsia="仿宋" w:hAnsi="仿宋" w:cs="仿宋" w:hint="eastAsia"/>
            <w:lang w:eastAsia="zh-CN"/>
          </w:rPr>
          <w:t>(一)、户外广告行业项目消防设计依据及原则</w:t>
        </w:r>
        <w:r>
          <w:tab/>
        </w:r>
        <w:r>
          <w:fldChar w:fldCharType="begin"/>
        </w:r>
        <w:r>
          <w:instrText xml:space="preserve"> PAGEREF _Toc27891 \h </w:instrText>
        </w:r>
        <w:r>
          <w:fldChar w:fldCharType="separate"/>
        </w:r>
        <w:r>
          <w:t>42</w:t>
        </w:r>
        <w:r>
          <w:fldChar w:fldCharType="end"/>
        </w:r>
      </w:hyperlink>
    </w:p>
    <w:p>
      <w:pPr>
        <w:pStyle w:val="TOC2"/>
        <w:tabs>
          <w:tab w:val="right" w:leader="dot" w:pos="8306"/>
        </w:tabs>
      </w:pPr>
      <w:hyperlink w:anchor="_Toc27150" w:history="1">
        <w:r>
          <w:rPr>
            <w:rFonts w:ascii="仿宋" w:eastAsia="仿宋" w:hAnsi="仿宋" w:cs="仿宋" w:hint="eastAsia"/>
            <w:lang w:eastAsia="zh-CN"/>
          </w:rPr>
          <w:t>(二)、户外广告行业项目火灾危险性分析</w:t>
        </w:r>
        <w:r>
          <w:tab/>
        </w:r>
        <w:r>
          <w:fldChar w:fldCharType="begin"/>
        </w:r>
        <w:r>
          <w:instrText xml:space="preserve"> PAGEREF _Toc27150 \h </w:instrText>
        </w:r>
        <w:r>
          <w:fldChar w:fldCharType="separate"/>
        </w:r>
        <w:r>
          <w:t>43</w:t>
        </w:r>
        <w:r>
          <w:fldChar w:fldCharType="end"/>
        </w:r>
      </w:hyperlink>
    </w:p>
    <w:p>
      <w:pPr>
        <w:pStyle w:val="TOC1"/>
        <w:tabs>
          <w:tab w:val="right" w:leader="dot" w:pos="8306"/>
        </w:tabs>
      </w:pPr>
      <w:hyperlink w:anchor="_Toc17398" w:history="1">
        <w:r>
          <w:rPr>
            <w:rFonts w:ascii="仿宋" w:eastAsia="仿宋" w:hAnsi="仿宋" w:cs="仿宋" w:hint="eastAsia"/>
            <w:lang w:eastAsia="zh-CN"/>
          </w:rPr>
          <w:t>十二、信息披露和透明度管理</w:t>
        </w:r>
        <w:r>
          <w:tab/>
        </w:r>
        <w:r>
          <w:fldChar w:fldCharType="begin"/>
        </w:r>
        <w:r>
          <w:instrText xml:space="preserve"> PAGEREF _Toc17398 \h </w:instrText>
        </w:r>
        <w:r>
          <w:fldChar w:fldCharType="separate"/>
        </w:r>
        <w:r>
          <w:t>44</w:t>
        </w:r>
        <w:r>
          <w:fldChar w:fldCharType="end"/>
        </w:r>
      </w:hyperlink>
    </w:p>
    <w:p>
      <w:pPr>
        <w:pStyle w:val="TOC2"/>
        <w:tabs>
          <w:tab w:val="right" w:leader="dot" w:pos="8306"/>
        </w:tabs>
      </w:pPr>
      <w:hyperlink w:anchor="_Toc5509" w:history="1">
        <w:r>
          <w:rPr>
            <w:rFonts w:ascii="仿宋" w:eastAsia="仿宋" w:hAnsi="仿宋" w:cs="仿宋" w:hint="eastAsia"/>
            <w:lang w:eastAsia="zh-CN"/>
          </w:rPr>
          <w:t>(一)、信息披露的内容和方式选择</w:t>
        </w:r>
        <w:r>
          <w:tab/>
        </w:r>
        <w:r>
          <w:fldChar w:fldCharType="begin"/>
        </w:r>
        <w:r>
          <w:instrText xml:space="preserve"> PAGEREF _Toc5509 \h </w:instrText>
        </w:r>
        <w:r>
          <w:fldChar w:fldCharType="separate"/>
        </w:r>
        <w:r>
          <w:t>44</w:t>
        </w:r>
        <w:r>
          <w:fldChar w:fldCharType="end"/>
        </w:r>
      </w:hyperlink>
    </w:p>
    <w:p>
      <w:pPr>
        <w:pStyle w:val="TOC2"/>
        <w:tabs>
          <w:tab w:val="right" w:leader="dot" w:pos="8306"/>
        </w:tabs>
      </w:pPr>
      <w:hyperlink w:anchor="_Toc18991" w:history="1">
        <w:r>
          <w:rPr>
            <w:rFonts w:ascii="仿宋" w:eastAsia="仿宋" w:hAnsi="仿宋" w:cs="仿宋" w:hint="eastAsia"/>
            <w:lang w:eastAsia="zh-CN"/>
          </w:rPr>
          <w:t>(二)、透明度管理的目标和实施措施</w:t>
        </w:r>
        <w:r>
          <w:tab/>
        </w:r>
        <w:r>
          <w:fldChar w:fldCharType="begin"/>
        </w:r>
        <w:r>
          <w:instrText xml:space="preserve"> PAGEREF _Toc18991 \h </w:instrText>
        </w:r>
        <w:r>
          <w:fldChar w:fldCharType="separate"/>
        </w:r>
        <w:r>
          <w:t>45</w:t>
        </w:r>
        <w:r>
          <w:fldChar w:fldCharType="end"/>
        </w:r>
      </w:hyperlink>
    </w:p>
    <w:p>
      <w:pPr>
        <w:pStyle w:val="TOC2"/>
        <w:tabs>
          <w:tab w:val="right" w:leader="dot" w:pos="8306"/>
        </w:tabs>
      </w:pPr>
      <w:hyperlink w:anchor="_Toc6810" w:history="1">
        <w:r>
          <w:rPr>
            <w:rFonts w:ascii="仿宋" w:eastAsia="仿宋" w:hAnsi="仿宋" w:cs="仿宋" w:hint="eastAsia"/>
            <w:lang w:eastAsia="zh-CN"/>
          </w:rPr>
          <w:t>(三)、信息反馈和意见征集的机制建设</w:t>
        </w:r>
        <w:r>
          <w:tab/>
        </w:r>
        <w:r>
          <w:fldChar w:fldCharType="begin"/>
        </w:r>
        <w:r>
          <w:instrText xml:space="preserve"> PAGEREF _Toc6810 \h </w:instrText>
        </w:r>
        <w:r>
          <w:fldChar w:fldCharType="separate"/>
        </w:r>
        <w:r>
          <w:t>46</w:t>
        </w:r>
        <w:r>
          <w:fldChar w:fldCharType="end"/>
        </w:r>
      </w:hyperlink>
    </w:p>
    <w:p>
      <w:pPr>
        <w:pStyle w:val="TOC1"/>
        <w:tabs>
          <w:tab w:val="right" w:leader="dot" w:pos="8306"/>
        </w:tabs>
      </w:pPr>
      <w:hyperlink w:anchor="_Toc24272" w:history="1">
        <w:r>
          <w:rPr>
            <w:rFonts w:ascii="仿宋" w:eastAsia="仿宋" w:hAnsi="仿宋" w:cs="仿宋" w:hint="eastAsia"/>
            <w:lang w:eastAsia="zh-CN"/>
          </w:rPr>
          <w:t>十三、知识产权分析和保护</w:t>
        </w:r>
        <w:r>
          <w:tab/>
        </w:r>
        <w:r>
          <w:fldChar w:fldCharType="begin"/>
        </w:r>
        <w:r>
          <w:instrText xml:space="preserve"> PAGEREF _Toc24272 \h </w:instrText>
        </w:r>
        <w:r>
          <w:fldChar w:fldCharType="separate"/>
        </w:r>
        <w:r>
          <w:t>48</w:t>
        </w:r>
        <w:r>
          <w:fldChar w:fldCharType="end"/>
        </w:r>
      </w:hyperlink>
    </w:p>
    <w:p>
      <w:pPr>
        <w:pStyle w:val="TOC2"/>
        <w:tabs>
          <w:tab w:val="right" w:leader="dot" w:pos="8306"/>
        </w:tabs>
      </w:pPr>
      <w:hyperlink w:anchor="_Toc12219" w:history="1">
        <w:r>
          <w:rPr>
            <w:rFonts w:ascii="仿宋" w:eastAsia="仿宋" w:hAnsi="仿宋" w:cs="仿宋" w:hint="eastAsia"/>
            <w:lang w:eastAsia="zh-CN"/>
          </w:rPr>
          <w:t>(一)、户外广告行业项目涉及的知识产权内容和保护策略</w:t>
        </w:r>
        <w:r>
          <w:tab/>
        </w:r>
        <w:r>
          <w:fldChar w:fldCharType="begin"/>
        </w:r>
        <w:r>
          <w:instrText xml:space="preserve"> PAGEREF _Toc12219 \h </w:instrText>
        </w:r>
        <w:r>
          <w:fldChar w:fldCharType="separate"/>
        </w:r>
        <w:r>
          <w:t>48</w:t>
        </w:r>
        <w:r>
          <w:fldChar w:fldCharType="end"/>
        </w:r>
      </w:hyperlink>
    </w:p>
    <w:p>
      <w:pPr>
        <w:pStyle w:val="TOC2"/>
        <w:tabs>
          <w:tab w:val="right" w:leader="dot" w:pos="8306"/>
        </w:tabs>
      </w:pPr>
      <w:hyperlink w:anchor="_Toc27270" w:history="1">
        <w:r>
          <w:rPr>
            <w:rFonts w:ascii="仿宋" w:eastAsia="仿宋" w:hAnsi="仿宋" w:cs="仿宋" w:hint="eastAsia"/>
            <w:lang w:eastAsia="zh-CN"/>
          </w:rPr>
          <w:t>(二)、知识产权的转让和使用许可协议</w:t>
        </w:r>
        <w:r>
          <w:tab/>
        </w:r>
        <w:r>
          <w:fldChar w:fldCharType="begin"/>
        </w:r>
        <w:r>
          <w:instrText xml:space="preserve"> PAGEREF _Toc27270 \h </w:instrText>
        </w:r>
        <w:r>
          <w:fldChar w:fldCharType="separate"/>
        </w:r>
        <w:r>
          <w:t>49</w:t>
        </w:r>
        <w:r>
          <w:fldChar w:fldCharType="end"/>
        </w:r>
      </w:hyperlink>
    </w:p>
    <w:p>
      <w:pPr>
        <w:pStyle w:val="TOC2"/>
        <w:tabs>
          <w:tab w:val="right" w:leader="dot" w:pos="8306"/>
        </w:tabs>
      </w:pPr>
      <w:hyperlink w:anchor="_Toc24304" w:history="1">
        <w:r>
          <w:rPr>
            <w:rFonts w:ascii="仿宋" w:eastAsia="仿宋" w:hAnsi="仿宋" w:cs="仿宋" w:hint="eastAsia"/>
            <w:lang w:eastAsia="zh-CN"/>
          </w:rPr>
          <w:t>(三)、知识产权保护措施和风险控制</w:t>
        </w:r>
        <w:r>
          <w:tab/>
        </w:r>
        <w:r>
          <w:fldChar w:fldCharType="begin"/>
        </w:r>
        <w:r>
          <w:instrText xml:space="preserve"> PAGEREF _Toc24304 \h </w:instrText>
        </w:r>
        <w:r>
          <w:fldChar w:fldCharType="separate"/>
        </w:r>
        <w:r>
          <w:t>50</w:t>
        </w:r>
        <w:r>
          <w:fldChar w:fldCharType="end"/>
        </w:r>
      </w:hyperlink>
    </w:p>
    <w:p>
      <w:pPr>
        <w:pStyle w:val="TOC1"/>
        <w:tabs>
          <w:tab w:val="right" w:leader="dot" w:pos="8306"/>
        </w:tabs>
      </w:pPr>
      <w:hyperlink w:anchor="_Toc19202" w:history="1">
        <w:r>
          <w:rPr>
            <w:rFonts w:ascii="仿宋" w:eastAsia="仿宋" w:hAnsi="仿宋" w:cs="仿宋" w:hint="eastAsia"/>
            <w:lang w:eastAsia="zh-CN"/>
          </w:rPr>
          <w:t>十四、绿色建筑和生态环保设计</w:t>
        </w:r>
        <w:r>
          <w:tab/>
        </w:r>
        <w:r>
          <w:fldChar w:fldCharType="begin"/>
        </w:r>
        <w:r>
          <w:instrText xml:space="preserve"> PAGEREF _Toc19202 \h </w:instrText>
        </w:r>
        <w:r>
          <w:fldChar w:fldCharType="separate"/>
        </w:r>
        <w:r>
          <w:t>51</w:t>
        </w:r>
        <w:r>
          <w:fldChar w:fldCharType="end"/>
        </w:r>
      </w:hyperlink>
    </w:p>
    <w:p>
      <w:pPr>
        <w:pStyle w:val="TOC2"/>
        <w:tabs>
          <w:tab w:val="right" w:leader="dot" w:pos="8306"/>
        </w:tabs>
      </w:pPr>
      <w:hyperlink w:anchor="_Toc17354" w:history="1">
        <w:r>
          <w:rPr>
            <w:rFonts w:ascii="仿宋" w:eastAsia="仿宋" w:hAnsi="仿宋" w:cs="仿宋" w:hint="eastAsia"/>
            <w:lang w:eastAsia="zh-CN"/>
          </w:rPr>
          <w:t>(一)、绿色建筑和生态环保设计的理念和实践</w:t>
        </w:r>
        <w:r>
          <w:tab/>
        </w:r>
        <w:r>
          <w:fldChar w:fldCharType="begin"/>
        </w:r>
        <w:r>
          <w:instrText xml:space="preserve"> PAGEREF _Toc17354 \h </w:instrText>
        </w:r>
        <w:r>
          <w:fldChar w:fldCharType="separate"/>
        </w:r>
        <w:r>
          <w:t>51</w:t>
        </w:r>
        <w:r>
          <w:fldChar w:fldCharType="end"/>
        </w:r>
      </w:hyperlink>
    </w:p>
    <w:p>
      <w:pPr>
        <w:pStyle w:val="TOC2"/>
        <w:tabs>
          <w:tab w:val="right" w:leader="dot" w:pos="8306"/>
        </w:tabs>
      </w:pPr>
      <w:hyperlink w:anchor="_Toc6062" w:history="1">
        <w:r>
          <w:rPr>
            <w:rFonts w:ascii="仿宋" w:eastAsia="仿宋" w:hAnsi="仿宋" w:cs="仿宋" w:hint="eastAsia"/>
            <w:lang w:eastAsia="zh-CN"/>
          </w:rPr>
          <w:t>(二)、户外广告行业项目如何应用绿色建筑和生态环保设计</w:t>
        </w:r>
        <w:r>
          <w:tab/>
        </w:r>
        <w:r>
          <w:fldChar w:fldCharType="begin"/>
        </w:r>
        <w:r>
          <w:instrText xml:space="preserve"> PAGEREF _Toc6062 \h </w:instrText>
        </w:r>
        <w:r>
          <w:fldChar w:fldCharType="separate"/>
        </w:r>
        <w:r>
          <w:t>52</w:t>
        </w:r>
        <w:r>
          <w:fldChar w:fldCharType="end"/>
        </w:r>
      </w:hyperlink>
    </w:p>
    <w:p>
      <w:pPr>
        <w:pStyle w:val="TOC2"/>
        <w:tabs>
          <w:tab w:val="right" w:leader="dot" w:pos="8306"/>
        </w:tabs>
      </w:pPr>
      <w:hyperlink w:anchor="_Toc16825" w:history="1">
        <w:r>
          <w:rPr>
            <w:rFonts w:ascii="仿宋" w:eastAsia="仿宋" w:hAnsi="仿宋" w:cs="仿宋" w:hint="eastAsia"/>
            <w:lang w:eastAsia="zh-CN"/>
          </w:rPr>
          <w:t>(三)、绿色建筑和生态环保设计对户外广告行业项目的影响和价值</w:t>
        </w:r>
        <w:r>
          <w:tab/>
        </w:r>
        <w:r>
          <w:fldChar w:fldCharType="begin"/>
        </w:r>
        <w:r>
          <w:instrText xml:space="preserve"> PAGEREF _Toc16825 \h </w:instrText>
        </w:r>
        <w:r>
          <w:fldChar w:fldCharType="separate"/>
        </w:r>
        <w:r>
          <w:t>54</w:t>
        </w:r>
        <w:r>
          <w:fldChar w:fldCharType="end"/>
        </w:r>
      </w:hyperlink>
    </w:p>
    <w:p>
      <w:pPr>
        <w:pStyle w:val="TOC1"/>
        <w:tabs>
          <w:tab w:val="right" w:leader="dot" w:pos="8306"/>
        </w:tabs>
      </w:pPr>
      <w:hyperlink w:anchor="_Toc28961" w:history="1">
        <w:r>
          <w:rPr>
            <w:rFonts w:ascii="仿宋" w:eastAsia="仿宋" w:hAnsi="仿宋" w:cs="仿宋" w:hint="eastAsia"/>
            <w:lang w:eastAsia="zh-CN"/>
          </w:rPr>
          <w:t>十五、总结和结论</w:t>
        </w:r>
        <w:r>
          <w:tab/>
        </w:r>
        <w:r>
          <w:fldChar w:fldCharType="begin"/>
        </w:r>
        <w:r>
          <w:instrText xml:space="preserve"> PAGEREF _Toc28961 \h </w:instrText>
        </w:r>
        <w:r>
          <w:fldChar w:fldCharType="separate"/>
        </w:r>
        <w:r>
          <w:t>55</w:t>
        </w:r>
        <w:r>
          <w:fldChar w:fldCharType="end"/>
        </w:r>
      </w:hyperlink>
    </w:p>
    <w:p>
      <w:pPr>
        <w:pStyle w:val="TOC2"/>
        <w:tabs>
          <w:tab w:val="right" w:leader="dot" w:pos="8306"/>
        </w:tabs>
      </w:pPr>
      <w:hyperlink w:anchor="_Toc15938" w:history="1">
        <w:r>
          <w:rPr>
            <w:rFonts w:ascii="仿宋" w:eastAsia="仿宋" w:hAnsi="仿宋" w:cs="仿宋" w:hint="eastAsia"/>
            <w:lang w:eastAsia="zh-CN"/>
          </w:rPr>
          <w:t>(一)、户外广告行业项目可行性研究的总结和评价</w:t>
        </w:r>
        <w:r>
          <w:tab/>
        </w:r>
        <w:r>
          <w:fldChar w:fldCharType="begin"/>
        </w:r>
        <w:r>
          <w:instrText xml:space="preserve"> PAGEREF _Toc15938 \h </w:instrText>
        </w:r>
        <w:r>
          <w:fldChar w:fldCharType="separate"/>
        </w:r>
        <w:r>
          <w:t>55</w:t>
        </w:r>
        <w:r>
          <w:fldChar w:fldCharType="end"/>
        </w:r>
      </w:hyperlink>
    </w:p>
    <w:p>
      <w:pPr>
        <w:pStyle w:val="TOC2"/>
        <w:tabs>
          <w:tab w:val="right" w:leader="dot" w:pos="8306"/>
        </w:tabs>
      </w:pPr>
      <w:hyperlink w:anchor="_Toc22793" w:history="1">
        <w:r>
          <w:rPr>
            <w:rFonts w:ascii="仿宋" w:eastAsia="仿宋" w:hAnsi="仿宋" w:cs="仿宋" w:hint="eastAsia"/>
            <w:lang w:eastAsia="zh-CN"/>
          </w:rPr>
          <w:t>(二)、建议和展望未来发展</w:t>
        </w:r>
        <w:r>
          <w:tab/>
        </w:r>
        <w:r>
          <w:fldChar w:fldCharType="begin"/>
        </w:r>
        <w:r>
          <w:instrText xml:space="preserve"> PAGEREF _Toc22793 \h </w:instrText>
        </w:r>
        <w:r>
          <w:fldChar w:fldCharType="separate"/>
        </w:r>
        <w:r>
          <w:t>56</w:t>
        </w:r>
        <w:r>
          <w:fldChar w:fldCharType="end"/>
        </w:r>
      </w:hyperlink>
    </w:p>
    <w:p>
      <w:pPr>
        <w:pStyle w:val="TOC2"/>
        <w:tabs>
          <w:tab w:val="right" w:leader="dot" w:pos="8306"/>
        </w:tabs>
      </w:pPr>
      <w:hyperlink w:anchor="_Toc1444" w:history="1">
        <w:r>
          <w:rPr>
            <w:rFonts w:ascii="仿宋" w:eastAsia="仿宋" w:hAnsi="仿宋" w:cs="仿宋" w:hint="eastAsia"/>
            <w:lang w:eastAsia="zh-CN"/>
          </w:rPr>
          <w:t>(三)、与相关方面的沟通和进一步合作</w:t>
        </w:r>
        <w:r>
          <w:tab/>
        </w:r>
        <w:r>
          <w:fldChar w:fldCharType="begin"/>
        </w:r>
        <w:r>
          <w:instrText xml:space="preserve"> PAGEREF _Toc1444 \h </w:instrText>
        </w:r>
        <w:r>
          <w:fldChar w:fldCharType="separate"/>
        </w:r>
        <w:r>
          <w:t>57</w:t>
        </w:r>
        <w:r>
          <w:fldChar w:fldCharType="end"/>
        </w:r>
      </w:hyperlink>
    </w:p>
    <w:p>
      <w:pPr>
        <w:pStyle w:val="TOC1"/>
        <w:tabs>
          <w:tab w:val="right" w:leader="dot" w:pos="8306"/>
        </w:tabs>
      </w:pPr>
      <w:hyperlink w:anchor="_Toc16045" w:history="1">
        <w:r>
          <w:rPr>
            <w:rFonts w:ascii="仿宋" w:eastAsia="仿宋" w:hAnsi="仿宋" w:cs="仿宋" w:hint="eastAsia"/>
            <w:lang w:eastAsia="zh-CN"/>
          </w:rPr>
          <w:t>十六、研究结论与建议</w:t>
        </w:r>
        <w:r>
          <w:tab/>
        </w:r>
        <w:r>
          <w:fldChar w:fldCharType="begin"/>
        </w:r>
        <w:r>
          <w:instrText xml:space="preserve"> PAGEREF _Toc16045 \h </w:instrText>
        </w:r>
        <w:r>
          <w:fldChar w:fldCharType="separate"/>
        </w:r>
        <w:r>
          <w:t>57</w:t>
        </w:r>
        <w:r>
          <w:fldChar w:fldCharType="end"/>
        </w:r>
      </w:hyperlink>
    </w:p>
    <w:p>
      <w:pPr>
        <w:pStyle w:val="TOC2"/>
        <w:tabs>
          <w:tab w:val="right" w:leader="dot" w:pos="8306"/>
        </w:tabs>
      </w:pPr>
      <w:hyperlink w:anchor="_Toc30195" w:history="1">
        <w:r>
          <w:rPr>
            <w:rFonts w:ascii="仿宋" w:eastAsia="仿宋" w:hAnsi="仿宋" w:cs="仿宋" w:hint="eastAsia"/>
            <w:lang w:eastAsia="zh-CN"/>
          </w:rPr>
          <w:t>(一)、研究结论</w:t>
        </w:r>
        <w:r>
          <w:tab/>
        </w:r>
        <w:r>
          <w:fldChar w:fldCharType="begin"/>
        </w:r>
        <w:r>
          <w:instrText xml:space="preserve"> PAGEREF _Toc30195 \h </w:instrText>
        </w:r>
        <w:r>
          <w:fldChar w:fldCharType="separate"/>
        </w:r>
        <w:r>
          <w:t>57</w:t>
        </w:r>
        <w:r>
          <w:fldChar w:fldCharType="end"/>
        </w:r>
      </w:hyperlink>
    </w:p>
    <w:p>
      <w:pPr>
        <w:pStyle w:val="TOC2"/>
        <w:tabs>
          <w:tab w:val="right" w:leader="dot" w:pos="8306"/>
        </w:tabs>
      </w:pPr>
      <w:hyperlink w:anchor="_Toc3122" w:history="1">
        <w:r>
          <w:rPr>
            <w:rFonts w:ascii="仿宋" w:eastAsia="仿宋" w:hAnsi="仿宋" w:cs="仿宋" w:hint="eastAsia"/>
            <w:lang w:eastAsia="zh-CN"/>
          </w:rPr>
          <w:t>(二)、建议与展望</w:t>
        </w:r>
        <w:r>
          <w:tab/>
        </w:r>
        <w:r>
          <w:fldChar w:fldCharType="begin"/>
        </w:r>
        <w:r>
          <w:instrText xml:space="preserve"> PAGEREF _Toc3122 \h </w:instrText>
        </w:r>
        <w:r>
          <w:fldChar w:fldCharType="separate"/>
        </w:r>
        <w:r>
          <w:t>59</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29697"/>
      <w:r>
        <w:rPr>
          <w:rFonts w:ascii="仿宋" w:eastAsia="仿宋" w:hAnsi="仿宋" w:cs="仿宋" w:hint="eastAsia"/>
          <w:sz w:val="28"/>
          <w:lang w:eastAsia="zh-CN"/>
        </w:rPr>
        <w:t>一、创新研发和知识产权保护</w:t>
      </w:r>
      <w:bookmarkEnd w:id="2"/>
    </w:p>
    <w:p>
      <w:pPr>
        <w:pStyle w:val="Heading2"/>
        <w:rPr>
          <w:rFonts w:ascii="仿宋" w:eastAsia="仿宋" w:hAnsi="仿宋" w:cs="仿宋" w:hint="eastAsia"/>
          <w:lang w:eastAsia="zh-CN"/>
        </w:rPr>
      </w:pPr>
      <w:bookmarkStart w:id="3" w:name="_Toc14193"/>
      <w:r>
        <w:rPr>
          <w:rFonts w:ascii="仿宋" w:eastAsia="仿宋" w:hAnsi="仿宋" w:cs="仿宋" w:hint="eastAsia"/>
          <w:lang w:eastAsia="zh-CN"/>
        </w:rPr>
        <w:t>(一)、创新研发的思路和方法</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以市场需求为导向：根据市场需求和客户反馈，确定产品研发的方向和重点，确保产品的市场竞争力和用户体验。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强化技术创新：加强技术创新，注重科技研发和应用，提高产品的技术含量和附加值，增强企业的核心竞争力。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增强用户体验：注重用户体验和用户需求，通过用户调研和反馈，不断改进和优化产品的设计和功能，提高用户满意度和忠诚度。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保持持续创新：不断推出新产品和新功能，保持持续创新，提高企业的市场占有率和品牌影响力。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创新研发的方法：</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引入先进技术：引入先进的技术和设备，包括人工智能、大数据、云计算等，提高研发效率和质量，降低成本和风险。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开展合作研发：与高校、研究机构、供应商等开展合作研发，借鉴和应用先进的技术和经验，提高研发水平和效果。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建立创新团队：建立专业的创新团队，吸纳和培养高素质的人才，提高创新能力和创新意识，推动企业的持续创新。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推行创新管理：建立创新管理体系，包括研发流程、知识管理、知识产权保护等方面，提高研发效率和成果转化率。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加强市场调研和用户反馈：加强市场调研和用户反馈，了解市场需求和用户需求，避免盲目研发和浪费资源。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坚持创新和质量并重：坚持创新和质量并重，注重产品的技术含量和质量，提高产品的竞争力和用户满意度。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加强知识管理和产权保护：加强知识管理和产权保护，保护企业的知识产权和核心技术，避免知识流失和侵权风险。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建立创新文化和氛围：建立创新文化和氛围，鼓励员工的创新思维和创新意识，营造良好的创新氛围和创新环境。</w:t>
      </w:r>
    </w:p>
    <w:p>
      <w:pPr>
        <w:pStyle w:val="Heading2"/>
        <w:ind w:firstLine="560" w:firstLineChars="200"/>
        <w:rPr>
          <w:rFonts w:ascii="仿宋" w:eastAsia="仿宋" w:hAnsi="仿宋" w:cs="仿宋" w:hint="eastAsia"/>
          <w:sz w:val="28"/>
          <w:lang w:eastAsia="zh-CN"/>
        </w:rPr>
      </w:pPr>
      <w:bookmarkStart w:id="4" w:name="_Toc23640"/>
      <w:r>
        <w:rPr>
          <w:rFonts w:ascii="仿宋" w:eastAsia="仿宋" w:hAnsi="仿宋" w:cs="仿宋" w:hint="eastAsia"/>
          <w:sz w:val="28"/>
          <w:lang w:eastAsia="zh-CN"/>
        </w:rPr>
        <w:t>(二)、知识产权保护的策略和措施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立即申请合法保护：在产品研发和商业化过程中，及时申请合法的知识产权保护，包括专利、商标、著作权等，确保企业的创新成果得到法律的保护。</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加强内部保密措施：建立健全的内部保密制度，包括保密协议、访问权限控制、数据加密等，防止知识产权的泄露和不当使用。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建立合理的合同制度：与合作伙伴、供应商和客户等建立合理的合同制度，明确知识产权的归属和保护责任，防止侵权和纠纷的发生。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加强监测和维权：定期监测市场和竞争对手的行为，发现和应对侵权行为，及时采取维权措施，维护企业的知识产权权益。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建立知识产权管理体系：建立完善的知识产权管理体系，包括知识产权的申请、管理、维权等环节，确保知识产权的有效管理和保护。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加强员工教育和意识培养：加强员工对知识产权保护的教育和培训，提高员工的知识产权意识和法律意识，减少知识产权侵权和泄露的风险。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建立合作伙伴的知识产权保护机制：与合作伙伴共同签署保密协议和知识产权协议，明确知识产权的保护和分享机制，防止知识产权的不当使用和侵权行为。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密切关注法律法规的更新和变化：及时了解和适应知识产权相关的法律法规的更新和变化，遵守法律法规的要求，保护企业的知识产权合法权益。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建立全面的知识产权保护意识：全员参与知识产权保护，建立全员的知识产权保护意识和责任感，形成企业文化中的重要组成部分。</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寻求专业的法律支持：寻求专业的知识产权律师或顾问的支持，及时咨询和解决知识产权相关的法律问题，确保合法权益的保护。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加强国际知识产权保护：对于涉及国际市场的企业，加强国际知识产权保护，了解和遵守各国的知识产权法律法规，防止跨国侵权和纠纷的发生。</w:t>
      </w:r>
    </w:p>
    <w:p>
      <w:pPr>
        <w:pStyle w:val="Heading2"/>
        <w:ind w:firstLine="560" w:firstLineChars="200"/>
        <w:rPr>
          <w:rFonts w:ascii="仿宋" w:eastAsia="仿宋" w:hAnsi="仿宋" w:cs="仿宋" w:hint="eastAsia"/>
          <w:sz w:val="28"/>
          <w:lang w:eastAsia="zh-CN"/>
        </w:rPr>
      </w:pPr>
      <w:bookmarkStart w:id="5" w:name="_Toc4654"/>
      <w:r>
        <w:rPr>
          <w:rFonts w:ascii="仿宋" w:eastAsia="仿宋" w:hAnsi="仿宋" w:cs="仿宋" w:hint="eastAsia"/>
          <w:sz w:val="28"/>
          <w:lang w:eastAsia="zh-CN"/>
        </w:rPr>
        <w:t>(三)、技术转让和专利许可的协议管理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促进技术创新和产业发展：技术转让和专利许可可以促进技术的传播和应用，推动技术创新和产业发展，实现资源的优化配置和共享利用。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扩大市场影响力和盈利空间：通过技术转让和专利许可，企业可以扩大市场影响力，进入新的市场领域，增加盈利空间，提高企业的竞争力和可持续发展能力。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加强合作伙伴关系和战略合作：技术转让和专利许可可以促进企业之间的合作伙伴关系和战略合作，实现资源的互补和优势互补，共同推动技术创新和市场拓展。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协议的签订和执行：明确技术转让和专利许可的双方权益和责任，确保协议的合法性和有效性，遵守协议的约定和执行要求。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技术转让和专利许可的范围和限制：明确技术转让和专利许可的具体范围和限制，包括使用范围、地域限制、时间限制等，保护知识产权的合法权益。</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技术支持和培训：提供必要的技术支持和培训，确保技术的顺利转移和应用，提高接受方的技术能力和水平。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保密和保护措施：约定保密协议和保护措施，防止技术的泄露和不当使用，保护技术的商业机密和知识产权。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了解法律法规和知识产权政策：了解和遵守相关的法律法规和知识产权政策，确保技术转让和专利许可的合法性和合规性。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明确权益和责任：明确双方的权益和责任，确保协议的平衡和公平，避免权益的侵害和纠纷的发生。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建立监督和评估机制：建立监督和评估机制，定期对技术转让和专利许可的执行情况进行评估和监督，及时发现和解决问题。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强化风险管理和纠纷解决机制：建立风险管理和纠纷解决机制，预防和应对可能出现的风险和纠纷，保障协议的顺利执行。</w:t>
      </w:r>
    </w:p>
    <w:p>
      <w:pPr>
        <w:pStyle w:val="Heading1"/>
        <w:ind w:firstLine="560" w:firstLineChars="200"/>
        <w:rPr>
          <w:rFonts w:ascii="仿宋" w:eastAsia="仿宋" w:hAnsi="仿宋" w:cs="仿宋" w:hint="eastAsia"/>
          <w:sz w:val="28"/>
          <w:lang w:eastAsia="zh-CN"/>
        </w:rPr>
      </w:pPr>
      <w:bookmarkStart w:id="6" w:name="_Toc27769"/>
      <w:r>
        <w:rPr>
          <w:rFonts w:ascii="仿宋" w:eastAsia="仿宋" w:hAnsi="仿宋" w:cs="仿宋" w:hint="eastAsia"/>
          <w:sz w:val="28"/>
          <w:lang w:eastAsia="zh-CN"/>
        </w:rPr>
        <w:t>二、产品定价和销售策略</w:t>
      </w:r>
      <w:bookmarkEnd w:id="6"/>
    </w:p>
    <w:p>
      <w:pPr>
        <w:pStyle w:val="Heading2"/>
        <w:rPr>
          <w:rFonts w:ascii="仿宋" w:eastAsia="仿宋" w:hAnsi="仿宋" w:cs="仿宋" w:hint="eastAsia"/>
          <w:lang w:eastAsia="zh-CN"/>
        </w:rPr>
      </w:pPr>
      <w:bookmarkStart w:id="7" w:name="_Toc28131"/>
      <w:r>
        <w:rPr>
          <w:rFonts w:ascii="仿宋" w:eastAsia="仿宋" w:hAnsi="仿宋" w:cs="仿宋" w:hint="eastAsia"/>
          <w:lang w:eastAsia="zh-CN"/>
        </w:rPr>
        <w:t>(一)、产品定价的原则和策略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定价原则：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成本导向：考虑产品的生产成本、运营成本以及相关费用，确保定价能够覆盖成本并获得合理的利润。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市场导向：研究目标市场的需求和竞争情况，确定定价策略以满足市场需求并保持竞争力。</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价值导向：基于产品的独特价值和优势，确定合理的定价水平，使顾客认可产品的价值并愿意支付相应价格。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市场定价：根据市场需求和竞争情况，采用市场定价策略，即根据市场价格水平来定价，以保持竞争力。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差异化定价：根据产品的独特特性和附加价值，采用差异化定价策略，即根据不同产品版本或包装形式设定不同价格。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价值定价：基于产品的独特价值和顾客的感知，采用价值定价策略，即根据产品所提供的价值设定相应的价格。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市场份额定价：如果目标是快速扩大市场份额，可以采用市场份额定价策略，即通过低价定价来吸引更多的顾客。</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目标市场：了解目标市场的消费者行为、购买力和价格敏感度，以确定适合的定价策略。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竞争情况：研究竞争对手的定价策略和价格水平，制定相应的定价战略以保持竞争力。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产品定位：根据产品的定位策略（高端、中端、低端），确定相应的定价策略以与产品定位相匹配。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市场前景：考虑市场发展趋势、预期需求变化和竞争态势，制定长期可持续的定价策略。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定价策略的调整和优化：</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定价弹性分析：评估产品的价格弹性，根据需求变化和市场反馈，灵活调整定价策略以实现最佳定价。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定价实验：通过定价实验和市场反馈，测试不同定价策略的效果，优化定价策略并提升市场竞争力。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定价与价值匹配：持续关注产品的市场表现和顾客反馈，确保产品的定价与所提供的价值相匹配。</w:t>
      </w:r>
    </w:p>
    <w:p>
      <w:pPr>
        <w:pStyle w:val="Heading2"/>
        <w:ind w:firstLine="560" w:firstLineChars="200"/>
        <w:rPr>
          <w:rFonts w:ascii="仿宋" w:eastAsia="仿宋" w:hAnsi="仿宋" w:cs="仿宋" w:hint="eastAsia"/>
          <w:sz w:val="28"/>
          <w:lang w:eastAsia="zh-CN"/>
        </w:rPr>
      </w:pPr>
      <w:bookmarkStart w:id="8" w:name="_Toc28091"/>
      <w:r>
        <w:rPr>
          <w:rFonts w:ascii="仿宋" w:eastAsia="仿宋" w:hAnsi="仿宋" w:cs="仿宋" w:hint="eastAsia"/>
          <w:sz w:val="28"/>
          <w:lang w:eastAsia="zh-CN"/>
        </w:rPr>
        <w:t>(二)、销售渠道的选择和拓展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目标市场：了解目标市场的特点、消费者行为和购买偏好，选择适合的销售渠道以覆盖目标市场。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产品属性：考虑产品的性质、复杂度和售后服务需求，选择适合产品特点的销售渠道。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成本效益：评估不同销售渠道的成本和效益，选择能够提供良好回报的销售渠道。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竞争环境：研究竞争对手的销售渠道策略和市场份额，选择能够与竞争对手竞争的销售渠道。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直销：通过自有销售团队或在线平台直接向客户销售产品，具有更高的控制权和利润潜力。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经销商：与经销商建立合作关系，将产品批发给经销商，由其负责渠道拓展和销售，适用于大规模市场覆盖。</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零售商：与零售商合作，在其门店销售产品，可以提高产品的可见性和销售渠道的广度。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在线销售：通过电子商务平台、社交媒体等在线渠道销售产品，能够迅速触达全球市场并降低销售成本。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合作伙伴关系：与相关行业的合作伙伴建立合作关系，共同推广和销售产品，实现互利共赢。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渠道拓展策略：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地理拓展：根据目标市场的地理分布，选择合适的销售渠道进行地理拓展，覆盖更广泛的区域。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多渠道策略：结合不同销售渠道的优势，采用多渠道销售策略，提供更多选择和便利性给消费者。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合作伙伴拓展：与其他企业建立合作伙伴关系，共同拓展销售渠道，利用其现有的客户资源和渠道网络。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线上线下结合：将线上和线下销售渠道结合起来，通过线上引流和线下体验，提供全方位的购物体验。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渠道管理和优化：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渠道合作：与销售渠道的合作伙伴建立良好的合作关系，共同制定销售目标、协调市场推广和售后服务等。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渠道培训：为销售渠道的销售人员提供培训和支持，提高其产品知识和销售能力，增强渠道合作效果。</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渠道绩效评估：建立监测和评估机制，定期评估销售渠道的绩效和市场反馈，及时调整和优化渠道策略。</w:t>
      </w:r>
    </w:p>
    <w:p>
      <w:pPr>
        <w:pStyle w:val="Heading2"/>
        <w:ind w:firstLine="560" w:firstLineChars="200"/>
        <w:rPr>
          <w:rFonts w:ascii="仿宋" w:eastAsia="仿宋" w:hAnsi="仿宋" w:cs="仿宋" w:hint="eastAsia"/>
          <w:sz w:val="28"/>
          <w:lang w:eastAsia="zh-CN"/>
        </w:rPr>
      </w:pPr>
      <w:bookmarkStart w:id="9" w:name="_Toc799"/>
      <w:r>
        <w:rPr>
          <w:rFonts w:ascii="仿宋" w:eastAsia="仿宋" w:hAnsi="仿宋" w:cs="仿宋" w:hint="eastAsia"/>
          <w:sz w:val="28"/>
          <w:lang w:eastAsia="zh-CN"/>
        </w:rPr>
        <w:t>(三)、销售促进和营销活动的策划和实施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增加销售量：通过促销和营销活动，吸引更多的顾客购买产品，提高销售量。</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增强品牌形象：通过营销活动，提升品牌知名度和形象，增强消费者对产品的信任和忠诚度。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建立客户关系：通过促销和营销活动，建立与顾客的良好关系，提供更好的售后服务和支持，增强客户满意度和忠诚度。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目标市场：确定目标市场和目标消费者，了解其需求和偏好，制定相应的促销和营销策略。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促销方式：选择适合产品特点和目标市场的促销方式，包括打折、满减、赠品等。</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营销活动：制定具有吸引力和创新性的营销活动，包括线上线下活动、社交媒体推广、赛事赞助等。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预算和时间：根据销售目标和市场需求，制定合理的促销预算和时间安排。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推广渠道：选择适合产品和目标市场的推广渠道，包括线上和线下渠道，通过多种方式扩大产品的曝光度。</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营销内容：制定优质的营销内容，包括宣传文案、广告视频、海报等，提高产品的吸引力和竞争力。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活动执行：确保活动执行的顺利进行，包括活动策划、执行、监测和评估，及时调整和优化活动效果。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客户服务：提供优质的客户服务和售后支持，建立良好的客户关系，增强客户满意度和忠诚度。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销售数据分析：通过销售数据分析，评估促销和营销活动的效果和销售贡献，及时调整和优化活动策略。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消费者反馈：关注消费者的反馈和评价，了解其满意度和需求变化，及时调整和优化产品和营销策略。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市场竞争：研究市场竞争情况和竞争对手的营销策略，提高产品的竞争力和市场份额。</w:t>
      </w:r>
    </w:p>
    <w:p>
      <w:pPr>
        <w:pStyle w:val="Heading1"/>
        <w:ind w:firstLine="560" w:firstLineChars="200"/>
        <w:rPr>
          <w:rFonts w:ascii="仿宋" w:eastAsia="仿宋" w:hAnsi="仿宋" w:cs="仿宋" w:hint="eastAsia"/>
          <w:sz w:val="28"/>
          <w:lang w:eastAsia="zh-CN"/>
        </w:rPr>
      </w:pPr>
      <w:bookmarkStart w:id="10" w:name="_Toc24734"/>
      <w:r>
        <w:rPr>
          <w:rFonts w:ascii="仿宋" w:eastAsia="仿宋" w:hAnsi="仿宋" w:cs="仿宋" w:hint="eastAsia"/>
          <w:sz w:val="28"/>
          <w:lang w:eastAsia="zh-CN"/>
        </w:rPr>
        <w:t>三、户外广告行业行业社会文化影响评估</w:t>
      </w:r>
      <w:bookmarkEnd w:id="10"/>
    </w:p>
    <w:p>
      <w:pPr>
        <w:pStyle w:val="Heading2"/>
        <w:rPr>
          <w:rFonts w:ascii="仿宋" w:eastAsia="仿宋" w:hAnsi="仿宋" w:cs="仿宋" w:hint="eastAsia"/>
          <w:lang w:eastAsia="zh-CN"/>
        </w:rPr>
      </w:pPr>
      <w:bookmarkStart w:id="11" w:name="_Toc6606"/>
      <w:r>
        <w:rPr>
          <w:rFonts w:ascii="仿宋" w:eastAsia="仿宋" w:hAnsi="仿宋" w:cs="仿宋" w:hint="eastAsia"/>
          <w:lang w:eastAsia="zh-CN"/>
        </w:rPr>
        <w:t>(一)、户外广告行业在文化和艺术中的地位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创造力的拓展：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户外广告行业为艺术家和创作者提供了新的工具和媒介，可以拓展他们的创造力和表达方式。通过户外广告行业，艺术家可以探索新的艺术形式、交互式作品和沉浸式体验，从而为观众带来全新的视听感受。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艺术作品的互动性：</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的技术特性使得观众可以积极参与艺术作品的创作和演示过程。例如，虚拟现实和增强现实技术可以创造出与观众互动的艺术装置和展览，使观众成为艺术作品的一部分，提升了艺术体验的参与度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艺术与科技的融合：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在文化和艺术中的应用推动了艺术与科技的融合。艺术家和科技专家可以共同合作，创造出结合艺术和科技元素的作品，探索人类与技术的关系，挑战传统艺术形式的边界，以及探索新的艺术语言和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为文化创意产业的发展提供了新的机遇。通过将户外广告行业技术与文化创意产业相结合，可以创造出具有艺术价值和商业潜力的产品和服务。这有助于推动文化创意产业的创新和增长，并为经济发展带来积极的影响。</w:t>
      </w:r>
    </w:p>
    <w:p>
      <w:pPr>
        <w:pStyle w:val="Heading2"/>
        <w:ind w:firstLine="560" w:firstLineChars="200"/>
        <w:rPr>
          <w:rFonts w:ascii="仿宋" w:eastAsia="仿宋" w:hAnsi="仿宋" w:cs="仿宋" w:hint="eastAsia"/>
          <w:sz w:val="28"/>
          <w:lang w:eastAsia="zh-CN"/>
        </w:rPr>
      </w:pPr>
      <w:bookmarkStart w:id="12" w:name="_Toc14625"/>
      <w:r>
        <w:rPr>
          <w:rFonts w:ascii="仿宋" w:eastAsia="仿宋" w:hAnsi="仿宋" w:cs="仿宋" w:hint="eastAsia"/>
          <w:sz w:val="28"/>
          <w:lang w:eastAsia="zh-CN"/>
        </w:rPr>
        <w:t>(二)、文化趋势对户外广告行业需求的影响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数字化生活方式的普及：</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技术的普及，人们的生活方式发生了巨大变化。人们越来越依赖于数字设备和互联网来获取信息、进行交流和娱乐。这种数字化生活方式对户外广告行业的需求产生了影响，人们对于更好的用户体验、个性化定制和互动性的期望也在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多元化和个性化的文化表达：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当今社会，多元化和个性化的文化表达方式得到了广泛关注。人们对于独特、个性化的艺术和文化体验的需求不断增加。户外广告行业技术能够提供创新的艺术形式和个性化的文化产品，满足人们对于多样化文化表达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参与性文化的兴起：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是指观众和用户参与到文化和艺术创作中的趋势。人们不再满足于被动地接受文化产品，而是希望积极参与其中，成为创作者或共同创造者。户外广告行业技术的互动性和参与性特点与参与性文化的需求相契合，为人们提供了更具参与性的文化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可持续发展和环保意识的崛起：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是当今社会的重要议题。人们对于环境保护和可持续性的关注不断增加，对于环保型的技术和产品的需求也在上升。在户外广告行业的应用中，注重环境友好性和可持续性的设计和开发将受到更多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跨文化交流和文化融合：</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球化和跨文化交流的加强促进了不同文化之间的交流和融合。人们对于了解和体验其他文化的需求增加，对于能够促进跨文化交流的技术和产品的需求也在上升。户外广告行业技术可以通过虚拟现实、语言翻译等功能，促进跨文化交流和文化融合。</w:t>
      </w:r>
    </w:p>
    <w:p>
      <w:pPr>
        <w:pStyle w:val="Heading2"/>
        <w:ind w:firstLine="560" w:firstLineChars="200"/>
        <w:rPr>
          <w:rFonts w:ascii="仿宋" w:eastAsia="仿宋" w:hAnsi="仿宋" w:cs="仿宋" w:hint="eastAsia"/>
          <w:sz w:val="28"/>
          <w:lang w:eastAsia="zh-CN"/>
        </w:rPr>
      </w:pPr>
      <w:bookmarkStart w:id="13" w:name="_Toc31410"/>
      <w:r>
        <w:rPr>
          <w:rFonts w:ascii="仿宋" w:eastAsia="仿宋" w:hAnsi="仿宋" w:cs="仿宋" w:hint="eastAsia"/>
          <w:sz w:val="28"/>
          <w:lang w:eastAsia="zh-CN"/>
        </w:rPr>
        <w:t>(三)、社会文化因素的可行性分析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是指社会对于道德、伦理和文化价值的认知和评价。社会价值观念对技术的需求和应用提出了要求。例如，在艺术和文化领域，社会价值观念对于艺术品的审美标准、文化传承和保护等方面产生影响。在户外广告行业技术的应用中，需要考虑社会价值观念对于技术应用的影响，确保技术的应用符合社会的伦理和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对于文化和艺术的发展和创新具有重要意义。在户外广告行业技术的应用中，需要考虑文化传统和文化政策对于技术应用的影响，确保技术的应用符合文化传统和文化政策的要求。例如，在文化遗产保护和传承方面，需要考虑文化传统的保护和传承，同时结合户外广告行业技术的应用，推动文化遗产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社会需求和市场趋势的分析：</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需求和市场趋势是评估技术可行性的重要因素。在户外广告行业技术的应用中，需要考虑社会需求和市场趋势的变化，以及技术应用的市场前景和商业模式。通过对市场需求和趋势的分析，可以确定技术应用的商业模式和市场定位，提高户外广告行业项目的商业价值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文化多样性和文化交流的促进：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是当今社会的重要趋势。在户外广告行业技术的应用中，需要考虑如何促进文化多样性和文化交流，创造出具有跨文化特色和价值的文化和艺术产品。通过结合文化多样性和文化交流的特点，可以推动文化和艺术的创新和发展，提高户外广告行业项目的社会价值和文化影响力。</w:t>
      </w:r>
    </w:p>
    <w:p>
      <w:pPr>
        <w:pStyle w:val="Heading1"/>
        <w:ind w:firstLine="560" w:firstLineChars="200"/>
        <w:rPr>
          <w:rFonts w:ascii="仿宋" w:eastAsia="仿宋" w:hAnsi="仿宋" w:cs="仿宋" w:hint="eastAsia"/>
          <w:sz w:val="28"/>
          <w:lang w:eastAsia="zh-CN"/>
        </w:rPr>
      </w:pPr>
      <w:bookmarkStart w:id="14" w:name="_Toc5844"/>
      <w:r>
        <w:rPr>
          <w:rFonts w:ascii="仿宋" w:eastAsia="仿宋" w:hAnsi="仿宋" w:cs="仿宋" w:hint="eastAsia"/>
          <w:sz w:val="28"/>
          <w:lang w:eastAsia="zh-CN"/>
        </w:rPr>
        <w:t>四、质量管理和产品认证</w:t>
      </w:r>
      <w:bookmarkEnd w:id="14"/>
    </w:p>
    <w:p>
      <w:pPr>
        <w:pStyle w:val="Heading2"/>
        <w:rPr>
          <w:rFonts w:ascii="仿宋" w:eastAsia="仿宋" w:hAnsi="仿宋" w:cs="仿宋" w:hint="eastAsia"/>
          <w:lang w:eastAsia="zh-CN"/>
        </w:rPr>
      </w:pPr>
      <w:bookmarkStart w:id="15" w:name="_Toc8608"/>
      <w:r>
        <w:rPr>
          <w:rFonts w:ascii="仿宋" w:eastAsia="仿宋" w:hAnsi="仿宋" w:cs="仿宋" w:hint="eastAsia"/>
          <w:lang w:eastAsia="zh-CN"/>
        </w:rPr>
        <w:t>(一)、质量管理体系和产品认证要求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我们需要建立完善的质量管理体系，以确保户外广告行业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认证要求：我们需要了解并满足相关的产品认证要求，以确保户外广告行业项目产品能够符合国内和国际市场的标准和法规要求。这包括安全认证、环保认证、电磁兼容性认证等方面。我们可以通过了解市场需求和竞争情况，选择适合的认证标准和机构，并进行认证申请和审核工作。</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我们需要建立完善的供应链管理体系，以确保户外广告行业项目产品的供应链质量和安全性。这包括选择可靠的供应商、建立供应商评估和管理机制、建立供应链风险管理机制等方面。我们可以参考供应链管理的最佳实践和标准，如ISO 28000等，来指导我们的供应链管理工作。</w:t>
      </w:r>
    </w:p>
    <w:p>
      <w:pPr>
        <w:pStyle w:val="Heading2"/>
        <w:ind w:firstLine="560" w:firstLineChars="200"/>
        <w:rPr>
          <w:rFonts w:ascii="仿宋" w:eastAsia="仿宋" w:hAnsi="仿宋" w:cs="仿宋" w:hint="eastAsia"/>
          <w:sz w:val="28"/>
          <w:lang w:eastAsia="zh-CN"/>
        </w:rPr>
      </w:pPr>
      <w:bookmarkStart w:id="16" w:name="_Toc7829"/>
      <w:r>
        <w:rPr>
          <w:rFonts w:ascii="仿宋" w:eastAsia="仿宋" w:hAnsi="仿宋" w:cs="仿宋" w:hint="eastAsia"/>
          <w:sz w:val="28"/>
          <w:lang w:eastAsia="zh-CN"/>
        </w:rPr>
        <w:t>(二)、质量控制的关键环节和措施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措施：为了实施有效的质量控制，我们可以采取以下措施：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建立质量控制计划：制定详细的质量控制计划，明确质量控制的目标、方法和责任分工。确保质量控制的全面性和系统性。</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建立标准和规范：制定产品质量标准和生产工艺规范，明确产品的质量要求和生产过程的操作规范。确保产品的一致性和符合性。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培训和教育：对生产人员进行质量控制方面的培训和教育，提高其质量意识和操作技能。确保生产过程的正确执行和质量控制的有效实施。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过程监控和数据分析：建立过程监控机制，监测生产过程中的关键参数，并进行数据分析，及时发现和纠正问题。确保生产过程的稳定性和可控性。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抽样检验和全面检测：采用抽样检验和全面检测相结合的方式，对最终产品进行质量检验。确保产品的符合性和合格性。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持续改进：建立持续改进机制，通过收集和分析质量数据、客户反馈和市场信息，识别潜在问题和改进机会，并采取相应的措施进行改进。确保质量控制的持续优化和提升。</w:t>
      </w:r>
    </w:p>
    <w:p>
      <w:pPr>
        <w:pStyle w:val="Heading2"/>
        <w:ind w:firstLine="560" w:firstLineChars="200"/>
        <w:rPr>
          <w:rFonts w:ascii="仿宋" w:eastAsia="仿宋" w:hAnsi="仿宋" w:cs="仿宋" w:hint="eastAsia"/>
          <w:sz w:val="28"/>
          <w:lang w:eastAsia="zh-CN"/>
        </w:rPr>
      </w:pPr>
      <w:bookmarkStart w:id="17" w:name="_Toc24282"/>
      <w:r>
        <w:rPr>
          <w:rFonts w:ascii="仿宋" w:eastAsia="仿宋" w:hAnsi="仿宋" w:cs="仿宋" w:hint="eastAsia"/>
          <w:sz w:val="28"/>
          <w:lang w:eastAsia="zh-CN"/>
        </w:rPr>
        <w:t>(三)、质量问题和改进措施的跟踪和处理</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pPr>
        <w:pStyle w:val="Heading1"/>
        <w:ind w:firstLine="560" w:firstLineChars="200"/>
        <w:rPr>
          <w:rFonts w:ascii="仿宋" w:eastAsia="仿宋" w:hAnsi="仿宋" w:cs="仿宋" w:hint="eastAsia"/>
          <w:sz w:val="28"/>
          <w:lang w:eastAsia="zh-CN"/>
        </w:rPr>
      </w:pPr>
      <w:bookmarkStart w:id="18" w:name="_Toc2837"/>
      <w:r>
        <w:rPr>
          <w:rFonts w:ascii="仿宋" w:eastAsia="仿宋" w:hAnsi="仿宋" w:cs="仿宋" w:hint="eastAsia"/>
          <w:sz w:val="28"/>
          <w:lang w:eastAsia="zh-CN"/>
        </w:rPr>
        <w:t>五、户外广告行业项目投资估算与资金筹措</w:t>
      </w:r>
      <w:bookmarkEnd w:id="18"/>
    </w:p>
    <w:p>
      <w:pPr>
        <w:pStyle w:val="Heading2"/>
        <w:rPr>
          <w:rFonts w:ascii="仿宋" w:eastAsia="仿宋" w:hAnsi="仿宋" w:cs="仿宋" w:hint="eastAsia"/>
          <w:lang w:eastAsia="zh-CN"/>
        </w:rPr>
      </w:pPr>
      <w:bookmarkStart w:id="19" w:name="_Toc18420"/>
      <w:r>
        <w:rPr>
          <w:rFonts w:ascii="仿宋" w:eastAsia="仿宋" w:hAnsi="仿宋" w:cs="仿宋" w:hint="eastAsia"/>
          <w:lang w:eastAsia="zh-CN"/>
        </w:rPr>
        <w:t>(一)、投资估算依据和说明</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户外广告行业项目的投资估算范围涵盖多个方面，其中包括固定资产投资估算以及流动资金、总投资和报批投资的估算。在编制这一估算计划时，我们严格依据以下一系列标准和规范，以确保投资估算的科学性和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《建设户外广告行业项目投资估算编审规程》 ( CECA/GC1 )</w:t>
      </w:r>
    </w:p>
    <w:p>
      <w:pPr>
        <w:ind w:firstLine="560" w:firstLineChars="200"/>
        <w:rPr>
          <w:rFonts w:ascii="仿宋" w:eastAsia="仿宋" w:hAnsi="仿宋" w:cs="仿宋" w:hint="eastAsia"/>
          <w:sz w:val="28"/>
        </w:rPr>
      </w:pPr>
      <w:r>
        <w:rPr>
          <w:rFonts w:ascii="仿宋" w:eastAsia="仿宋" w:hAnsi="仿宋" w:cs="仿宋" w:hint="eastAsia"/>
          <w:sz w:val="28"/>
          <w:lang w:eastAsia="zh-CN"/>
        </w:rPr>
        <w:t>- 《工程经济与财务评价实用手册》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 《投资户外广告行业项目可行性研究指南》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《建设户外广告行业项目经济评价方法与参数》 ( 第三版 )</w:t>
      </w:r>
    </w:p>
    <w:p>
      <w:pPr>
        <w:ind w:firstLine="560" w:firstLineChars="200"/>
        <w:rPr>
          <w:rFonts w:ascii="仿宋" w:eastAsia="仿宋" w:hAnsi="仿宋" w:cs="仿宋" w:hint="eastAsia"/>
          <w:sz w:val="28"/>
        </w:rPr>
      </w:pPr>
      <w:r>
        <w:rPr>
          <w:rFonts w:ascii="仿宋" w:eastAsia="仿宋" w:hAnsi="仿宋" w:cs="仿宋" w:hint="eastAsia"/>
          <w:sz w:val="28"/>
          <w:lang w:eastAsia="zh-CN"/>
        </w:rPr>
        <w:t>- 《基本建设设计概算编制办法》</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各专业工程设计规范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市场价格信息及相关政策法规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类似户外广告行业项目的历史成本数据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投资费用分析**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广告行业项目的投资估算中，我们详细考虑了多个方面的投资费用，将其分为固定资产投资估算和流动资金、总投资以及报批投资的估算。固定资产投资估算涵盖了主要生产户外广告行业项目、辅助生产户外广告行业项目、公用工程户外广告行业项目、服务性工程、配套费用以及其他费用的投资估算。这些估算值是通过充分的市场调研和技术评估得出的，从而确保了估算数据的可靠性和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投资费用的精确计算和全面分析时，我们不仅考虑了当前的市场情况，还充分预见了可能的物价上涨、汇率变动等风险因素。这样的综合考虑确保了我们的投资估算能够在动态变化的环境中依然保持准确和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通过以上的标准和分析，我们对户外广告行业项目的投资估算进行了全面而细致的规划，以确保户外广告行业项目在资金支持方面的充分准备，从而为户外广告行业项目的顺利实施打下了坚实的基础。</w:t>
      </w:r>
    </w:p>
    <w:p>
      <w:pPr>
        <w:pStyle w:val="Heading2"/>
        <w:ind w:firstLine="560" w:firstLineChars="200"/>
        <w:rPr>
          <w:rFonts w:ascii="仿宋" w:eastAsia="仿宋" w:hAnsi="仿宋" w:cs="仿宋" w:hint="eastAsia"/>
          <w:sz w:val="28"/>
          <w:lang w:eastAsia="zh-CN"/>
        </w:rPr>
      </w:pPr>
      <w:bookmarkStart w:id="20" w:name="_Toc29333"/>
      <w:r>
        <w:rPr>
          <w:rFonts w:ascii="仿宋" w:eastAsia="仿宋" w:hAnsi="仿宋" w:cs="仿宋" w:hint="eastAsia"/>
          <w:sz w:val="28"/>
          <w:lang w:eastAsia="zh-CN"/>
        </w:rPr>
        <w:t>(二)、资金筹措</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总投资额为XXX万元。</w:t>
      </w:r>
    </w:p>
    <w:p>
      <w:pPr>
        <w:pStyle w:val="Heading2"/>
        <w:ind w:firstLine="560" w:firstLineChars="200"/>
        <w:rPr>
          <w:rFonts w:ascii="仿宋" w:eastAsia="仿宋" w:hAnsi="仿宋" w:cs="仿宋" w:hint="eastAsia"/>
          <w:sz w:val="28"/>
          <w:lang w:eastAsia="zh-CN"/>
        </w:rPr>
      </w:pPr>
      <w:bookmarkStart w:id="21" w:name="_Toc7463"/>
      <w:r>
        <w:rPr>
          <w:rFonts w:ascii="仿宋" w:eastAsia="仿宋" w:hAnsi="仿宋" w:cs="仿宋" w:hint="eastAsia"/>
          <w:sz w:val="28"/>
          <w:lang w:eastAsia="zh-CN"/>
        </w:rPr>
        <w:t>(三)、资金使用计划</w:t>
      </w:r>
      <w:bookmarkEnd w:id="21"/>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本户外广告行业项目固定资产投资XXXX万元。</w:t>
      </w:r>
    </w:p>
    <w:p>
      <w:pPr>
        <w:pStyle w:val="Heading2"/>
        <w:ind w:firstLine="560" w:firstLineChars="200"/>
        <w:rPr>
          <w:rFonts w:ascii="仿宋" w:eastAsia="仿宋" w:hAnsi="仿宋" w:cs="仿宋" w:hint="eastAsia"/>
          <w:sz w:val="28"/>
          <w:lang w:eastAsia="zh-CN"/>
        </w:rPr>
      </w:pPr>
      <w:bookmarkStart w:id="22" w:name="_Toc29566"/>
      <w:r>
        <w:rPr>
          <w:rFonts w:ascii="仿宋" w:eastAsia="仿宋" w:hAnsi="仿宋" w:cs="仿宋" w:hint="eastAsia"/>
          <w:sz w:val="28"/>
          <w:lang w:eastAsia="zh-CN"/>
        </w:rPr>
        <w:t>(四)、户外广告行业项目经济评价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户外广告行业项目的经济评价在户外广告行业领域扮演着至关重要的角色，它立足于投入和产出之间的协调，旨在充分利用国家现行的财税制度和市场价格体系。此评价方法的核心目标是从企业财务的角度，深入分析和计算户外广告行业项目的各项成本和预期效益。在这一背景下，户外广告行业在计算财务评价预期指标方面显得尤为重要，这些指标将为我们提供关键信息，以评估户外广告行业项目的盈利能力、偿还潜力，并为户外广告行业项目的经济可行性做出最终判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评价的准确性，户外广告行业借助严密的逻辑推理和精准的计算方法。不仅能够理解人类语言，还能够生成结构清晰、逻辑严密的回应。利用先进的人工智能技术，可以对户外广告行业项目进行全面的财务分析，详尽计算各项费用，并精确计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在评估户外广告行业项目的盈利能力方面，户外广告行业会基于市场价格体系进行计算，确保评估结果与实际情况一致。同时，它还会充分考虑财税制度的影响，以保证评价结果的准确性和全面性。</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评估户外广告行业项目的清偿能力方面，会根据户外广告行业项目的投资计划和资金筹措情况，进行细致的现金流分析。通过计算户外广告行业项目的净现金流量、投资回收期等关键指标，户外广告行业能够全面评估户外广告行业项目的长期偿债能力，为决策提供有力支持。</w:t>
      </w:r>
    </w:p>
    <w:p>
      <w:pPr>
        <w:pStyle w:val="Heading1"/>
        <w:ind w:firstLine="560" w:firstLineChars="200"/>
        <w:rPr>
          <w:rFonts w:ascii="仿宋" w:eastAsia="仿宋" w:hAnsi="仿宋" w:cs="仿宋" w:hint="eastAsia"/>
          <w:sz w:val="28"/>
          <w:lang w:eastAsia="zh-CN"/>
        </w:rPr>
      </w:pPr>
      <w:bookmarkStart w:id="23" w:name="_Toc11781"/>
      <w:r>
        <w:rPr>
          <w:rFonts w:ascii="仿宋" w:eastAsia="仿宋" w:hAnsi="仿宋" w:cs="仿宋" w:hint="eastAsia"/>
          <w:sz w:val="28"/>
          <w:lang w:eastAsia="zh-CN"/>
        </w:rPr>
        <w:t>六、安全生产评估报告书</w:t>
      </w:r>
      <w:bookmarkEnd w:id="23"/>
    </w:p>
    <w:p>
      <w:pPr>
        <w:pStyle w:val="Heading2"/>
        <w:rPr>
          <w:rFonts w:ascii="仿宋" w:eastAsia="仿宋" w:hAnsi="仿宋" w:cs="仿宋" w:hint="eastAsia"/>
          <w:lang w:eastAsia="zh-CN"/>
        </w:rPr>
      </w:pPr>
      <w:bookmarkStart w:id="24" w:name="_Toc18108"/>
      <w:r>
        <w:rPr>
          <w:rFonts w:ascii="仿宋" w:eastAsia="仿宋" w:hAnsi="仿宋" w:cs="仿宋" w:hint="eastAsia"/>
          <w:lang w:eastAsia="zh-CN"/>
        </w:rPr>
        <w:t>(一)、户外广告行业项目安全生产评估的目的和依据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阐明进行安全生产评估的目的和意义，强调保障员工和资产安全、预防事故和减少风险的重要性。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强调评估的目标是为了识别和解决户外广告行业项目中存在的安全隐患和问题，提出改进建议和措施，确保户外广告行业项目的安全运营。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提供评估的依据和参考，包括相关的法律法规、安全标准和行业规范等。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引用适用的安全管理体系标准，如ISO 45001（职业健康安全管理体系）等，作为评估的参考依据。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参考相关的安全生产指南、经验教训和最佳实践，以及其他类似户外广告行业项目的安全生产评估结果。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确定评估的具体内容和范围，涵盖工作场所环境、设备设施、安全防护措施、操作规程、培训和教育等方面。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强调综合考虑人员安全、设备安全、环境安全等因素，全面评估户外广告行业项目的安全生产状况。</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介绍评估所采用的方法和工具，如安全检查、风险评估、事故调查、现场观察、文件审查、员工访谈等。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强调评估的客观性、全面性和科学性，确保评估结果的可靠性和准确性。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强调评估结果的整理和归纳，撰写评估报告，详细描述评估的过程、结果和发现的问题。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提出改进建议和措施，指导户外广告行业项目在安全生产方面的改进和优化。</w:t>
      </w:r>
    </w:p>
    <w:p>
      <w:pPr>
        <w:pStyle w:val="Heading2"/>
        <w:ind w:firstLine="560" w:firstLineChars="200"/>
        <w:rPr>
          <w:rFonts w:ascii="仿宋" w:eastAsia="仿宋" w:hAnsi="仿宋" w:cs="仿宋" w:hint="eastAsia"/>
          <w:sz w:val="28"/>
          <w:lang w:eastAsia="zh-CN"/>
        </w:rPr>
      </w:pPr>
      <w:bookmarkStart w:id="25" w:name="_Toc24800"/>
      <w:r>
        <w:rPr>
          <w:rFonts w:ascii="仿宋" w:eastAsia="仿宋" w:hAnsi="仿宋" w:cs="仿宋" w:hint="eastAsia"/>
          <w:sz w:val="28"/>
          <w:lang w:eastAsia="zh-CN"/>
        </w:rPr>
        <w:t>(二)、户外广告行业项目安全生产条件和现状评估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描述户外广告行业项目的安全生产条件，包括工作场所环境、设备设施、安全防护措施等方面。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强调安全生产的重要性，以及保障员工和资产安全的必要性。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进行风险评估，识别潜在的安全风险和危险因素，包括人员安全、设备安全、环境安全等方面。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评估风险的可能性和影响程度，确定关键风险和高风险区域。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现状评估：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分析当前的安全管理制度和操作规程，评估其有效性和合规性。</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调查记录事故和安全事件的发生情况，分析事故原因和教训，总结存在的安全隐患和问题。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提出改进建议和措施，以提升安全生产条件和管理水平。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包括完善安全管理制度和操作规程、加强培训和教育、改进设备设施和安全防护措施等方面。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制定详细的实施计划，包括时间表、责任人和具体措施，确保改进建议的顺利实施。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强调持续监测和评估的重要性，及时调整和优化安全管理措施。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法律法规和合规要求：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强调遵守相关的法律法规和安全生产的合规要求，确保户外广告行业项目在安全生产方面的合法性和符合性。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提及可能涉及的安全认证和审查要求，如ISO 45001等。</w:t>
      </w:r>
    </w:p>
    <w:p>
      <w:pPr>
        <w:pStyle w:val="Heading2"/>
        <w:ind w:firstLine="560" w:firstLineChars="200"/>
        <w:rPr>
          <w:rFonts w:ascii="仿宋" w:eastAsia="仿宋" w:hAnsi="仿宋" w:cs="仿宋" w:hint="eastAsia"/>
          <w:sz w:val="28"/>
          <w:lang w:eastAsia="zh-CN"/>
        </w:rPr>
      </w:pPr>
      <w:bookmarkStart w:id="26" w:name="_Toc28173"/>
      <w:r>
        <w:rPr>
          <w:rFonts w:ascii="仿宋" w:eastAsia="仿宋" w:hAnsi="仿宋" w:cs="仿宋" w:hint="eastAsia"/>
          <w:sz w:val="28"/>
          <w:lang w:eastAsia="zh-CN"/>
        </w:rPr>
        <w:t>(三)、安全生产风险评估和预测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阐明进行安全生产风险评估和预测的目的和意义，强调预防事故和减少风险对户外广告行业项目成功实施的重要性。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强调风险评估的目标是识别潜在的安全风险和危险因素，为制定相应的风险管理措施提供依据。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风险评估方法：</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介绍风险评估的方法和工具，如风险矩阵、风险概率和影响评估、故障模式和影响分析（FMEA）等。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强调综合考虑人员安全、设备安全、环境安全等因素，全面评估户外广告行业项目中可能存在的安全风险。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详细描述风险评估的步骤和流程，包括风险识别、风险分析、风险评估和风险优先级排序等。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强调风险评估的客观性、全面性和科学性，确保评估结果的可靠性和准确性。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风险预测和趋势分析：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引入风险预测和趋势分析的概念，指出通过历史数据和趋势分析可以预测未来可能出现的安全风险。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提醒户外广告行业项目团队关注新兴的风险和变化的趋势，及时采取相应的风险管理措施。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基于风险评估和预测的结果，提出相应的风险管理措施和应对策略。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强调风险管理措施的及时性、有效性和可行性，以降低风险对户外广告行业项目的影响。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风险监测和控制：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强调持续监测和控制风险的重要性，包括建立风险监测机制、制定应急预案、加强培训和教育等。</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提醒户外广告行业项目团队及时调整和优化风险管理措施，以应对户外广告行业项目实施过程中的变化和新出现的风险。</w:t>
      </w:r>
    </w:p>
    <w:p>
      <w:pPr>
        <w:pStyle w:val="Heading2"/>
        <w:ind w:firstLine="560" w:firstLineChars="200"/>
        <w:rPr>
          <w:rFonts w:ascii="仿宋" w:eastAsia="仿宋" w:hAnsi="仿宋" w:cs="仿宋" w:hint="eastAsia"/>
          <w:sz w:val="28"/>
          <w:lang w:eastAsia="zh-CN"/>
        </w:rPr>
      </w:pPr>
      <w:bookmarkStart w:id="27" w:name="_Toc23145"/>
      <w:r>
        <w:rPr>
          <w:rFonts w:ascii="仿宋" w:eastAsia="仿宋" w:hAnsi="仿宋" w:cs="仿宋" w:hint="eastAsia"/>
          <w:sz w:val="28"/>
          <w:lang w:eastAsia="zh-CN"/>
        </w:rPr>
        <w:t>(四)、安全生产对策措施和实施方案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强调户外广告行业项目安全管理的原则，如预防为主、综合管理、全员参与、持续改进等。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提醒户外广告行业项目团队始终将安全放在首位，将安全意识融入到户外广告行业项目的各个环节和流程中。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提出建立和实施适当的安全管理体系，如职业健康安全管理体系（OH&amp;S）、安全生产管理体系等。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强调制定相应的安全管理制度、规程和程序，确保安全管理的规范性和可操作性。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安全培训和教育：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强调开展安全培训和教育，提高员工的安全意识和技能，确保员工了解和遵守安全规定和操作程序。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提出培训计划和培训内容，包括安全操作、应急处理、事故预防等方面的培训内容。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安全设备和防护措施：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强调配备适当的安全设备和采取必要的防护措施，确保员工在工作过程中的人身安全。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https://d.book118.com/326122004003010031</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户外广告行业可行性报告/专业报告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6617D"/>
    <w:rsid w:val="69466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326122004003010031"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2023-12-15T10:58:00Z</dcterms:created>
  <dcterms:modified xsi:type="dcterms:W3CDTF">2023-12-15T10:59:03Z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