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2018-2023年西安海棠职业学院高职单招（数学／语文／英语）历年常考试题库含答案解析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《报刘一丈书》中“权者”的形象特征是（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D.才德称位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《短歌行》（其一）的主旨是（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C.感慨功业未成，忧从中来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从李清照《声声慢》（寻寻觅觅）一词中“将息”“怎生”“次第”“了得”等词语来看，这首词语言上的一个特点是（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A.采用典故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B.采用口语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C.采用经史语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D.采用前人诗词成句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在先秦诸子中，文风以想象丰富、辞藻瑰丽、汪洋恣肆而著称的是（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受五四新思潮的冲击，巴金最先接受了什么思想的影响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A.革命民主主义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B.俄国民粹派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C.马克思主义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D.自由主义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沈从文是以什么样的独特视角和叙述主体来观照人生的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A.都市人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B.湘西人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D.岭南人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契诃夫著名的戏剧作品有（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A.《万卡》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B.《万尼亚舅舅》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C.《哈姆雷特》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D.《胖子与瘦子》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王实甫《西厢记》是一部（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D.传奇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柳永《八声甘州（对潇潇暮雨洒江天）》着力抒写的思想情绪是（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A.爱情失意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B.羁旅行役之苦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D.伤春惜时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李商隐的《无题》（相见时难别亦难）表达相思之苦的名句是（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B.晓镜但愁云鬓改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C.相见时难别亦难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D.春蚕到死丝方尽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《谏逐客书》本文中，作者用“五帝三王之所以无敌”的做法来论证秦王的错误，这里采用的论证方法是（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下列作家属于明代“后七子”的是（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“有毅力者成，反是者败”这段话所用的论证方法是（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https://d.book118.com/326135233230010052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26135233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