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高纯砷及氧化砷项目规划设计方案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76" w:history="1">
        <w:r>
          <w:rPr>
            <w:rFonts w:ascii="仿宋" w:eastAsia="仿宋" w:hAnsi="仿宋" w:cs="仿宋" w:hint="eastAsia"/>
            <w:lang w:eastAsia="zh-CN"/>
          </w:rPr>
          <w:t>概论</w:t>
        </w:r>
        <w:r>
          <w:tab/>
        </w:r>
        <w:r>
          <w:fldChar w:fldCharType="begin"/>
        </w:r>
        <w:r>
          <w:instrText xml:space="preserve"> PAGEREF _Toc18776 \h </w:instrText>
        </w:r>
        <w:r>
          <w:fldChar w:fldCharType="separate"/>
        </w:r>
        <w:r>
          <w:t>3</w:t>
        </w:r>
        <w:r>
          <w:fldChar w:fldCharType="end"/>
        </w:r>
      </w:hyperlink>
    </w:p>
    <w:p>
      <w:pPr>
        <w:pStyle w:val="TOC1"/>
        <w:tabs>
          <w:tab w:val="right" w:leader="dot" w:pos="8306"/>
        </w:tabs>
      </w:pPr>
      <w:hyperlink w:anchor="_Toc8026" w:history="1">
        <w:r>
          <w:rPr>
            <w:rFonts w:ascii="仿宋" w:eastAsia="仿宋" w:hAnsi="仿宋" w:cs="仿宋" w:hint="eastAsia"/>
            <w:lang w:eastAsia="zh-CN"/>
          </w:rPr>
          <w:t>一、高纯砷及氧化砷项目危机管理</w:t>
        </w:r>
        <w:r>
          <w:tab/>
        </w:r>
        <w:r>
          <w:fldChar w:fldCharType="begin"/>
        </w:r>
        <w:r>
          <w:instrText xml:space="preserve"> PAGEREF _Toc8026 \h </w:instrText>
        </w:r>
        <w:r>
          <w:fldChar w:fldCharType="separate"/>
        </w:r>
        <w:r>
          <w:t>3</w:t>
        </w:r>
        <w:r>
          <w:fldChar w:fldCharType="end"/>
        </w:r>
      </w:hyperlink>
    </w:p>
    <w:p>
      <w:pPr>
        <w:pStyle w:val="TOC2"/>
        <w:tabs>
          <w:tab w:val="right" w:leader="dot" w:pos="8306"/>
        </w:tabs>
      </w:pPr>
      <w:hyperlink w:anchor="_Toc22818" w:history="1">
        <w:r>
          <w:rPr>
            <w:rFonts w:ascii="仿宋" w:eastAsia="仿宋" w:hAnsi="仿宋" w:cs="仿宋" w:hint="eastAsia"/>
            <w:lang w:eastAsia="zh-CN"/>
          </w:rPr>
          <w:t>(一)、危机预警与识别</w:t>
        </w:r>
        <w:r>
          <w:tab/>
        </w:r>
        <w:r>
          <w:fldChar w:fldCharType="begin"/>
        </w:r>
        <w:r>
          <w:instrText xml:space="preserve"> PAGEREF _Toc22818 \h </w:instrText>
        </w:r>
        <w:r>
          <w:fldChar w:fldCharType="separate"/>
        </w:r>
        <w:r>
          <w:t>3</w:t>
        </w:r>
        <w:r>
          <w:fldChar w:fldCharType="end"/>
        </w:r>
      </w:hyperlink>
    </w:p>
    <w:p>
      <w:pPr>
        <w:pStyle w:val="TOC2"/>
        <w:tabs>
          <w:tab w:val="right" w:leader="dot" w:pos="8306"/>
        </w:tabs>
      </w:pPr>
      <w:hyperlink w:anchor="_Toc31063" w:history="1">
        <w:r>
          <w:rPr>
            <w:rFonts w:ascii="仿宋" w:eastAsia="仿宋" w:hAnsi="仿宋" w:cs="仿宋" w:hint="eastAsia"/>
            <w:lang w:eastAsia="zh-CN"/>
          </w:rPr>
          <w:t>(二)、危机应对与恢复</w:t>
        </w:r>
        <w:r>
          <w:tab/>
        </w:r>
        <w:r>
          <w:fldChar w:fldCharType="begin"/>
        </w:r>
        <w:r>
          <w:instrText xml:space="preserve"> PAGEREF _Toc31063 \h </w:instrText>
        </w:r>
        <w:r>
          <w:fldChar w:fldCharType="separate"/>
        </w:r>
        <w:r>
          <w:t>4</w:t>
        </w:r>
        <w:r>
          <w:fldChar w:fldCharType="end"/>
        </w:r>
      </w:hyperlink>
    </w:p>
    <w:p>
      <w:pPr>
        <w:pStyle w:val="TOC1"/>
        <w:tabs>
          <w:tab w:val="right" w:leader="dot" w:pos="8306"/>
        </w:tabs>
      </w:pPr>
      <w:hyperlink w:anchor="_Toc27966" w:history="1">
        <w:r>
          <w:rPr>
            <w:rFonts w:ascii="仿宋" w:eastAsia="仿宋" w:hAnsi="仿宋" w:cs="仿宋" w:hint="eastAsia"/>
            <w:lang w:eastAsia="zh-CN"/>
          </w:rPr>
          <w:t>二、高纯砷及氧化砷项目建设背景及必要性分析</w:t>
        </w:r>
        <w:r>
          <w:tab/>
        </w:r>
        <w:r>
          <w:fldChar w:fldCharType="begin"/>
        </w:r>
        <w:r>
          <w:instrText xml:space="preserve"> PAGEREF _Toc27966 \h </w:instrText>
        </w:r>
        <w:r>
          <w:fldChar w:fldCharType="separate"/>
        </w:r>
        <w:r>
          <w:t>6</w:t>
        </w:r>
        <w:r>
          <w:fldChar w:fldCharType="end"/>
        </w:r>
      </w:hyperlink>
    </w:p>
    <w:p>
      <w:pPr>
        <w:pStyle w:val="TOC2"/>
        <w:tabs>
          <w:tab w:val="right" w:leader="dot" w:pos="8306"/>
        </w:tabs>
      </w:pPr>
      <w:hyperlink w:anchor="_Toc7267" w:history="1">
        <w:r>
          <w:rPr>
            <w:rFonts w:ascii="仿宋" w:eastAsia="仿宋" w:hAnsi="仿宋" w:cs="仿宋" w:hint="eastAsia"/>
            <w:lang w:eastAsia="zh-CN"/>
          </w:rPr>
          <w:t>(一)、高纯砷及氧化砷项目背景分析</w:t>
        </w:r>
        <w:r>
          <w:tab/>
        </w:r>
        <w:r>
          <w:fldChar w:fldCharType="begin"/>
        </w:r>
        <w:r>
          <w:instrText xml:space="preserve"> PAGEREF _Toc7267 \h </w:instrText>
        </w:r>
        <w:r>
          <w:fldChar w:fldCharType="separate"/>
        </w:r>
        <w:r>
          <w:t>6</w:t>
        </w:r>
        <w:r>
          <w:fldChar w:fldCharType="end"/>
        </w:r>
      </w:hyperlink>
    </w:p>
    <w:p>
      <w:pPr>
        <w:pStyle w:val="TOC2"/>
        <w:tabs>
          <w:tab w:val="right" w:leader="dot" w:pos="8306"/>
        </w:tabs>
      </w:pPr>
      <w:hyperlink w:anchor="_Toc5400" w:history="1">
        <w:r>
          <w:rPr>
            <w:rFonts w:ascii="仿宋" w:eastAsia="仿宋" w:hAnsi="仿宋" w:cs="仿宋" w:hint="eastAsia"/>
            <w:lang w:eastAsia="zh-CN"/>
          </w:rPr>
          <w:t>(二)、高纯砷及氧化砷项目建设必要性分析</w:t>
        </w:r>
        <w:r>
          <w:tab/>
        </w:r>
        <w:r>
          <w:fldChar w:fldCharType="begin"/>
        </w:r>
        <w:r>
          <w:instrText xml:space="preserve"> PAGEREF _Toc5400 \h </w:instrText>
        </w:r>
        <w:r>
          <w:fldChar w:fldCharType="separate"/>
        </w:r>
        <w:r>
          <w:t>7</w:t>
        </w:r>
        <w:r>
          <w:fldChar w:fldCharType="end"/>
        </w:r>
      </w:hyperlink>
    </w:p>
    <w:p>
      <w:pPr>
        <w:pStyle w:val="TOC1"/>
        <w:tabs>
          <w:tab w:val="right" w:leader="dot" w:pos="8306"/>
        </w:tabs>
      </w:pPr>
      <w:hyperlink w:anchor="_Toc25729" w:history="1">
        <w:r>
          <w:rPr>
            <w:rFonts w:ascii="仿宋" w:eastAsia="仿宋" w:hAnsi="仿宋" w:cs="仿宋" w:hint="eastAsia"/>
            <w:lang w:eastAsia="zh-CN"/>
          </w:rPr>
          <w:t>三、高纯砷及氧化砷项目建设单位说明</w:t>
        </w:r>
        <w:r>
          <w:tab/>
        </w:r>
        <w:r>
          <w:fldChar w:fldCharType="begin"/>
        </w:r>
        <w:r>
          <w:instrText xml:space="preserve"> PAGEREF _Toc25729 \h </w:instrText>
        </w:r>
        <w:r>
          <w:fldChar w:fldCharType="separate"/>
        </w:r>
        <w:r>
          <w:t>9</w:t>
        </w:r>
        <w:r>
          <w:fldChar w:fldCharType="end"/>
        </w:r>
      </w:hyperlink>
    </w:p>
    <w:p>
      <w:pPr>
        <w:pStyle w:val="TOC2"/>
        <w:tabs>
          <w:tab w:val="right" w:leader="dot" w:pos="8306"/>
        </w:tabs>
      </w:pPr>
      <w:hyperlink w:anchor="_Toc9690" w:history="1">
        <w:r>
          <w:rPr>
            <w:rFonts w:ascii="仿宋" w:eastAsia="仿宋" w:hAnsi="仿宋" w:cs="仿宋" w:hint="eastAsia"/>
            <w:lang w:eastAsia="zh-CN"/>
          </w:rPr>
          <w:t>(一)、高纯砷及氧化砷项目承办单位基本情况</w:t>
        </w:r>
        <w:r>
          <w:tab/>
        </w:r>
        <w:r>
          <w:fldChar w:fldCharType="begin"/>
        </w:r>
        <w:r>
          <w:instrText xml:space="preserve"> PAGEREF _Toc9690 \h </w:instrText>
        </w:r>
        <w:r>
          <w:fldChar w:fldCharType="separate"/>
        </w:r>
        <w:r>
          <w:t>9</w:t>
        </w:r>
        <w:r>
          <w:fldChar w:fldCharType="end"/>
        </w:r>
      </w:hyperlink>
    </w:p>
    <w:p>
      <w:pPr>
        <w:pStyle w:val="TOC2"/>
        <w:tabs>
          <w:tab w:val="right" w:leader="dot" w:pos="8306"/>
        </w:tabs>
      </w:pPr>
      <w:hyperlink w:anchor="_Toc32388" w:history="1">
        <w:r>
          <w:rPr>
            <w:rFonts w:ascii="仿宋" w:eastAsia="仿宋" w:hAnsi="仿宋" w:cs="仿宋" w:hint="eastAsia"/>
            <w:lang w:eastAsia="zh-CN"/>
          </w:rPr>
          <w:t>(二)、公司经济效益分析</w:t>
        </w:r>
        <w:r>
          <w:tab/>
        </w:r>
        <w:r>
          <w:fldChar w:fldCharType="begin"/>
        </w:r>
        <w:r>
          <w:instrText xml:space="preserve"> PAGEREF _Toc32388 \h </w:instrText>
        </w:r>
        <w:r>
          <w:fldChar w:fldCharType="separate"/>
        </w:r>
        <w:r>
          <w:t>9</w:t>
        </w:r>
        <w:r>
          <w:fldChar w:fldCharType="end"/>
        </w:r>
      </w:hyperlink>
    </w:p>
    <w:p>
      <w:pPr>
        <w:pStyle w:val="TOC1"/>
        <w:tabs>
          <w:tab w:val="right" w:leader="dot" w:pos="8306"/>
        </w:tabs>
      </w:pPr>
      <w:hyperlink w:anchor="_Toc23577" w:history="1">
        <w:r>
          <w:rPr>
            <w:rFonts w:ascii="仿宋" w:eastAsia="仿宋" w:hAnsi="仿宋" w:cs="仿宋" w:hint="eastAsia"/>
            <w:lang w:eastAsia="zh-CN"/>
          </w:rPr>
          <w:t>四、高纯砷及氧化砷项目文档管理</w:t>
        </w:r>
        <w:r>
          <w:tab/>
        </w:r>
        <w:r>
          <w:fldChar w:fldCharType="begin"/>
        </w:r>
        <w:r>
          <w:instrText xml:space="preserve"> PAGEREF _Toc23577 \h </w:instrText>
        </w:r>
        <w:r>
          <w:fldChar w:fldCharType="separate"/>
        </w:r>
        <w:r>
          <w:t>10</w:t>
        </w:r>
        <w:r>
          <w:fldChar w:fldCharType="end"/>
        </w:r>
      </w:hyperlink>
    </w:p>
    <w:p>
      <w:pPr>
        <w:pStyle w:val="TOC2"/>
        <w:tabs>
          <w:tab w:val="right" w:leader="dot" w:pos="8306"/>
        </w:tabs>
      </w:pPr>
      <w:hyperlink w:anchor="_Toc5002" w:history="1">
        <w:r>
          <w:rPr>
            <w:rFonts w:ascii="仿宋" w:eastAsia="仿宋" w:hAnsi="仿宋" w:cs="仿宋" w:hint="eastAsia"/>
            <w:lang w:eastAsia="zh-CN"/>
          </w:rPr>
          <w:t>(一)、文档编制与审查</w:t>
        </w:r>
        <w:r>
          <w:tab/>
        </w:r>
        <w:r>
          <w:fldChar w:fldCharType="begin"/>
        </w:r>
        <w:r>
          <w:instrText xml:space="preserve"> PAGEREF _Toc5002 \h </w:instrText>
        </w:r>
        <w:r>
          <w:fldChar w:fldCharType="separate"/>
        </w:r>
        <w:r>
          <w:t>10</w:t>
        </w:r>
        <w:r>
          <w:fldChar w:fldCharType="end"/>
        </w:r>
      </w:hyperlink>
    </w:p>
    <w:p>
      <w:pPr>
        <w:pStyle w:val="TOC2"/>
        <w:tabs>
          <w:tab w:val="right" w:leader="dot" w:pos="8306"/>
        </w:tabs>
      </w:pPr>
      <w:hyperlink w:anchor="_Toc10196" w:history="1">
        <w:r>
          <w:rPr>
            <w:rFonts w:ascii="仿宋" w:eastAsia="仿宋" w:hAnsi="仿宋" w:cs="仿宋" w:hint="eastAsia"/>
            <w:lang w:eastAsia="zh-CN"/>
          </w:rPr>
          <w:t>(二)、文档发布与分发</w:t>
        </w:r>
        <w:r>
          <w:tab/>
        </w:r>
        <w:r>
          <w:fldChar w:fldCharType="begin"/>
        </w:r>
        <w:r>
          <w:instrText xml:space="preserve"> PAGEREF _Toc10196 \h </w:instrText>
        </w:r>
        <w:r>
          <w:fldChar w:fldCharType="separate"/>
        </w:r>
        <w:r>
          <w:t>12</w:t>
        </w:r>
        <w:r>
          <w:fldChar w:fldCharType="end"/>
        </w:r>
      </w:hyperlink>
    </w:p>
    <w:p>
      <w:pPr>
        <w:pStyle w:val="TOC2"/>
        <w:tabs>
          <w:tab w:val="right" w:leader="dot" w:pos="8306"/>
        </w:tabs>
      </w:pPr>
      <w:hyperlink w:anchor="_Toc31120" w:history="1">
        <w:r>
          <w:rPr>
            <w:rFonts w:ascii="仿宋" w:eastAsia="仿宋" w:hAnsi="仿宋" w:cs="仿宋" w:hint="eastAsia"/>
            <w:lang w:eastAsia="zh-CN"/>
          </w:rPr>
          <w:t>(三)、文档存档与归档</w:t>
        </w:r>
        <w:r>
          <w:tab/>
        </w:r>
        <w:r>
          <w:fldChar w:fldCharType="begin"/>
        </w:r>
        <w:r>
          <w:instrText xml:space="preserve"> PAGEREF _Toc31120 \h </w:instrText>
        </w:r>
        <w:r>
          <w:fldChar w:fldCharType="separate"/>
        </w:r>
        <w:r>
          <w:t>13</w:t>
        </w:r>
        <w:r>
          <w:fldChar w:fldCharType="end"/>
        </w:r>
      </w:hyperlink>
    </w:p>
    <w:p>
      <w:pPr>
        <w:pStyle w:val="TOC1"/>
        <w:tabs>
          <w:tab w:val="right" w:leader="dot" w:pos="8306"/>
        </w:tabs>
      </w:pPr>
      <w:hyperlink w:anchor="_Toc23874" w:history="1">
        <w:r>
          <w:rPr>
            <w:rFonts w:ascii="仿宋" w:eastAsia="仿宋" w:hAnsi="仿宋" w:cs="仿宋" w:hint="eastAsia"/>
            <w:lang w:eastAsia="zh-CN"/>
          </w:rPr>
          <w:t>五、高纯砷及氧化砷项目绩效评估</w:t>
        </w:r>
        <w:r>
          <w:tab/>
        </w:r>
        <w:r>
          <w:fldChar w:fldCharType="begin"/>
        </w:r>
        <w:r>
          <w:instrText xml:space="preserve"> PAGEREF _Toc23874 \h </w:instrText>
        </w:r>
        <w:r>
          <w:fldChar w:fldCharType="separate"/>
        </w:r>
        <w:r>
          <w:t>14</w:t>
        </w:r>
        <w:r>
          <w:fldChar w:fldCharType="end"/>
        </w:r>
      </w:hyperlink>
    </w:p>
    <w:p>
      <w:pPr>
        <w:pStyle w:val="TOC2"/>
        <w:tabs>
          <w:tab w:val="right" w:leader="dot" w:pos="8306"/>
        </w:tabs>
      </w:pPr>
      <w:hyperlink w:anchor="_Toc22895" w:history="1">
        <w:r>
          <w:rPr>
            <w:rFonts w:ascii="仿宋" w:eastAsia="仿宋" w:hAnsi="仿宋" w:cs="仿宋" w:hint="eastAsia"/>
            <w:lang w:eastAsia="zh-CN"/>
          </w:rPr>
          <w:t>(一)、绩效评估指标</w:t>
        </w:r>
        <w:r>
          <w:tab/>
        </w:r>
        <w:r>
          <w:fldChar w:fldCharType="begin"/>
        </w:r>
        <w:r>
          <w:instrText xml:space="preserve"> PAGEREF _Toc22895 \h </w:instrText>
        </w:r>
        <w:r>
          <w:fldChar w:fldCharType="separate"/>
        </w:r>
        <w:r>
          <w:t>14</w:t>
        </w:r>
        <w:r>
          <w:fldChar w:fldCharType="end"/>
        </w:r>
      </w:hyperlink>
    </w:p>
    <w:p>
      <w:pPr>
        <w:pStyle w:val="TOC2"/>
        <w:tabs>
          <w:tab w:val="right" w:leader="dot" w:pos="8306"/>
        </w:tabs>
      </w:pPr>
      <w:hyperlink w:anchor="_Toc6474" w:history="1">
        <w:r>
          <w:rPr>
            <w:rFonts w:ascii="仿宋" w:eastAsia="仿宋" w:hAnsi="仿宋" w:cs="仿宋" w:hint="eastAsia"/>
            <w:lang w:eastAsia="zh-CN"/>
          </w:rPr>
          <w:t>(二)、绩效评估方法</w:t>
        </w:r>
        <w:r>
          <w:tab/>
        </w:r>
        <w:r>
          <w:fldChar w:fldCharType="begin"/>
        </w:r>
        <w:r>
          <w:instrText xml:space="preserve"> PAGEREF _Toc6474 \h </w:instrText>
        </w:r>
        <w:r>
          <w:fldChar w:fldCharType="separate"/>
        </w:r>
        <w:r>
          <w:t>15</w:t>
        </w:r>
        <w:r>
          <w:fldChar w:fldCharType="end"/>
        </w:r>
      </w:hyperlink>
    </w:p>
    <w:p>
      <w:pPr>
        <w:pStyle w:val="TOC2"/>
        <w:tabs>
          <w:tab w:val="right" w:leader="dot" w:pos="8306"/>
        </w:tabs>
      </w:pPr>
      <w:hyperlink w:anchor="_Toc32262" w:history="1">
        <w:r>
          <w:rPr>
            <w:rFonts w:ascii="仿宋" w:eastAsia="仿宋" w:hAnsi="仿宋" w:cs="仿宋" w:hint="eastAsia"/>
            <w:lang w:eastAsia="zh-CN"/>
          </w:rPr>
          <w:t>(三)、绩效评估周期</w:t>
        </w:r>
        <w:r>
          <w:tab/>
        </w:r>
        <w:r>
          <w:fldChar w:fldCharType="begin"/>
        </w:r>
        <w:r>
          <w:instrText xml:space="preserve"> PAGEREF _Toc32262 \h </w:instrText>
        </w:r>
        <w:r>
          <w:fldChar w:fldCharType="separate"/>
        </w:r>
        <w:r>
          <w:t>16</w:t>
        </w:r>
        <w:r>
          <w:fldChar w:fldCharType="end"/>
        </w:r>
      </w:hyperlink>
    </w:p>
    <w:p>
      <w:pPr>
        <w:pStyle w:val="TOC1"/>
        <w:tabs>
          <w:tab w:val="right" w:leader="dot" w:pos="8306"/>
        </w:tabs>
      </w:pPr>
      <w:hyperlink w:anchor="_Toc24224" w:history="1">
        <w:r>
          <w:rPr>
            <w:rFonts w:ascii="仿宋" w:eastAsia="仿宋" w:hAnsi="仿宋" w:cs="仿宋" w:hint="eastAsia"/>
            <w:lang w:eastAsia="zh-CN"/>
          </w:rPr>
          <w:t>六、高纯砷及氧化砷项目可持续发展</w:t>
        </w:r>
        <w:r>
          <w:tab/>
        </w:r>
        <w:r>
          <w:fldChar w:fldCharType="begin"/>
        </w:r>
        <w:r>
          <w:instrText xml:space="preserve"> PAGEREF _Toc24224 \h </w:instrText>
        </w:r>
        <w:r>
          <w:fldChar w:fldCharType="separate"/>
        </w:r>
        <w:r>
          <w:t>17</w:t>
        </w:r>
        <w:r>
          <w:fldChar w:fldCharType="end"/>
        </w:r>
      </w:hyperlink>
    </w:p>
    <w:p>
      <w:pPr>
        <w:pStyle w:val="TOC2"/>
        <w:tabs>
          <w:tab w:val="right" w:leader="dot" w:pos="8306"/>
        </w:tabs>
      </w:pPr>
      <w:hyperlink w:anchor="_Toc23893" w:history="1">
        <w:r>
          <w:rPr>
            <w:rFonts w:ascii="仿宋" w:eastAsia="仿宋" w:hAnsi="仿宋" w:cs="仿宋" w:hint="eastAsia"/>
            <w:lang w:eastAsia="zh-CN"/>
          </w:rPr>
          <w:t>(一)、可持续战略与实践</w:t>
        </w:r>
        <w:r>
          <w:tab/>
        </w:r>
        <w:r>
          <w:fldChar w:fldCharType="begin"/>
        </w:r>
        <w:r>
          <w:instrText xml:space="preserve"> PAGEREF _Toc23893 \h </w:instrText>
        </w:r>
        <w:r>
          <w:fldChar w:fldCharType="separate"/>
        </w:r>
        <w:r>
          <w:t>17</w:t>
        </w:r>
        <w:r>
          <w:fldChar w:fldCharType="end"/>
        </w:r>
      </w:hyperlink>
    </w:p>
    <w:p>
      <w:pPr>
        <w:pStyle w:val="TOC2"/>
        <w:tabs>
          <w:tab w:val="right" w:leader="dot" w:pos="8306"/>
        </w:tabs>
      </w:pPr>
      <w:hyperlink w:anchor="_Toc22743" w:history="1">
        <w:r>
          <w:rPr>
            <w:rFonts w:ascii="仿宋" w:eastAsia="仿宋" w:hAnsi="仿宋" w:cs="仿宋" w:hint="eastAsia"/>
            <w:lang w:eastAsia="zh-CN"/>
          </w:rPr>
          <w:t>(二)、环保与社会责任</w:t>
        </w:r>
        <w:r>
          <w:tab/>
        </w:r>
        <w:r>
          <w:fldChar w:fldCharType="begin"/>
        </w:r>
        <w:r>
          <w:instrText xml:space="preserve"> PAGEREF _Toc22743 \h </w:instrText>
        </w:r>
        <w:r>
          <w:fldChar w:fldCharType="separate"/>
        </w:r>
        <w:r>
          <w:t>18</w:t>
        </w:r>
        <w:r>
          <w:fldChar w:fldCharType="end"/>
        </w:r>
      </w:hyperlink>
    </w:p>
    <w:p>
      <w:pPr>
        <w:pStyle w:val="TOC1"/>
        <w:tabs>
          <w:tab w:val="right" w:leader="dot" w:pos="8306"/>
        </w:tabs>
      </w:pPr>
      <w:hyperlink w:anchor="_Toc13274" w:history="1">
        <w:r>
          <w:rPr>
            <w:rFonts w:ascii="仿宋" w:eastAsia="仿宋" w:hAnsi="仿宋" w:cs="仿宋" w:hint="eastAsia"/>
            <w:lang w:eastAsia="zh-CN"/>
          </w:rPr>
          <w:t>七、高纯砷及氧化砷项目环境影响分析</w:t>
        </w:r>
        <w:r>
          <w:tab/>
        </w:r>
        <w:r>
          <w:fldChar w:fldCharType="begin"/>
        </w:r>
        <w:r>
          <w:instrText xml:space="preserve"> PAGEREF _Toc13274 \h </w:instrText>
        </w:r>
        <w:r>
          <w:fldChar w:fldCharType="separate"/>
        </w:r>
        <w:r>
          <w:t>19</w:t>
        </w:r>
        <w:r>
          <w:fldChar w:fldCharType="end"/>
        </w:r>
      </w:hyperlink>
    </w:p>
    <w:p>
      <w:pPr>
        <w:pStyle w:val="TOC2"/>
        <w:tabs>
          <w:tab w:val="right" w:leader="dot" w:pos="8306"/>
        </w:tabs>
      </w:pPr>
      <w:hyperlink w:anchor="_Toc23783" w:history="1">
        <w:r>
          <w:rPr>
            <w:rFonts w:ascii="仿宋" w:eastAsia="仿宋" w:hAnsi="仿宋" w:cs="仿宋" w:hint="eastAsia"/>
            <w:lang w:eastAsia="zh-CN"/>
          </w:rPr>
          <w:t>(一)、建设区域环境质量现状</w:t>
        </w:r>
        <w:r>
          <w:tab/>
        </w:r>
        <w:r>
          <w:fldChar w:fldCharType="begin"/>
        </w:r>
        <w:r>
          <w:instrText xml:space="preserve"> PAGEREF _Toc23783 \h </w:instrText>
        </w:r>
        <w:r>
          <w:fldChar w:fldCharType="separate"/>
        </w:r>
        <w:r>
          <w:t>19</w:t>
        </w:r>
        <w:r>
          <w:fldChar w:fldCharType="end"/>
        </w:r>
      </w:hyperlink>
    </w:p>
    <w:p>
      <w:pPr>
        <w:pStyle w:val="TOC2"/>
        <w:tabs>
          <w:tab w:val="right" w:leader="dot" w:pos="8306"/>
        </w:tabs>
      </w:pPr>
      <w:hyperlink w:anchor="_Toc2928" w:history="1">
        <w:r>
          <w:rPr>
            <w:rFonts w:ascii="仿宋" w:eastAsia="仿宋" w:hAnsi="仿宋" w:cs="仿宋" w:hint="eastAsia"/>
            <w:lang w:eastAsia="zh-CN"/>
          </w:rPr>
          <w:t>(二)、建设期环境保护</w:t>
        </w:r>
        <w:r>
          <w:tab/>
        </w:r>
        <w:r>
          <w:fldChar w:fldCharType="begin"/>
        </w:r>
        <w:r>
          <w:instrText xml:space="preserve"> PAGEREF _Toc2928 \h </w:instrText>
        </w:r>
        <w:r>
          <w:fldChar w:fldCharType="separate"/>
        </w:r>
        <w:r>
          <w:t>20</w:t>
        </w:r>
        <w:r>
          <w:fldChar w:fldCharType="end"/>
        </w:r>
      </w:hyperlink>
    </w:p>
    <w:p>
      <w:pPr>
        <w:pStyle w:val="TOC2"/>
        <w:tabs>
          <w:tab w:val="right" w:leader="dot" w:pos="8306"/>
        </w:tabs>
      </w:pPr>
      <w:hyperlink w:anchor="_Toc15093" w:history="1">
        <w:r>
          <w:rPr>
            <w:rFonts w:ascii="仿宋" w:eastAsia="仿宋" w:hAnsi="仿宋" w:cs="仿宋" w:hint="eastAsia"/>
            <w:lang w:eastAsia="zh-CN"/>
          </w:rPr>
          <w:t>(三)、运营期环境保护</w:t>
        </w:r>
        <w:r>
          <w:tab/>
        </w:r>
        <w:r>
          <w:fldChar w:fldCharType="begin"/>
        </w:r>
        <w:r>
          <w:instrText xml:space="preserve"> PAGEREF _Toc15093 \h </w:instrText>
        </w:r>
        <w:r>
          <w:fldChar w:fldCharType="separate"/>
        </w:r>
        <w:r>
          <w:t>22</w:t>
        </w:r>
        <w:r>
          <w:fldChar w:fldCharType="end"/>
        </w:r>
      </w:hyperlink>
    </w:p>
    <w:p>
      <w:pPr>
        <w:pStyle w:val="TOC2"/>
        <w:tabs>
          <w:tab w:val="right" w:leader="dot" w:pos="8306"/>
        </w:tabs>
      </w:pPr>
      <w:hyperlink w:anchor="_Toc4728" w:history="1">
        <w:r>
          <w:rPr>
            <w:rFonts w:ascii="仿宋" w:eastAsia="仿宋" w:hAnsi="仿宋" w:cs="仿宋" w:hint="eastAsia"/>
            <w:lang w:eastAsia="zh-CN"/>
          </w:rPr>
          <w:t>(四)、高纯砷及氧化砷项目建设对区域经济的影响</w:t>
        </w:r>
        <w:r>
          <w:tab/>
        </w:r>
        <w:r>
          <w:fldChar w:fldCharType="begin"/>
        </w:r>
        <w:r>
          <w:instrText xml:space="preserve"> PAGEREF _Toc4728 \h </w:instrText>
        </w:r>
        <w:r>
          <w:fldChar w:fldCharType="separate"/>
        </w:r>
        <w:r>
          <w:t>23</w:t>
        </w:r>
        <w:r>
          <w:fldChar w:fldCharType="end"/>
        </w:r>
      </w:hyperlink>
    </w:p>
    <w:p>
      <w:pPr>
        <w:pStyle w:val="TOC2"/>
        <w:tabs>
          <w:tab w:val="right" w:leader="dot" w:pos="8306"/>
        </w:tabs>
      </w:pPr>
      <w:hyperlink w:anchor="_Toc21351" w:history="1">
        <w:r>
          <w:rPr>
            <w:rFonts w:ascii="仿宋" w:eastAsia="仿宋" w:hAnsi="仿宋" w:cs="仿宋" w:hint="eastAsia"/>
            <w:lang w:eastAsia="zh-CN"/>
          </w:rPr>
          <w:t>(五)、废弃物处理</w:t>
        </w:r>
        <w:r>
          <w:tab/>
        </w:r>
        <w:r>
          <w:fldChar w:fldCharType="begin"/>
        </w:r>
        <w:r>
          <w:instrText xml:space="preserve"> PAGEREF _Toc21351 \h </w:instrText>
        </w:r>
        <w:r>
          <w:fldChar w:fldCharType="separate"/>
        </w:r>
        <w:r>
          <w:t>25</w:t>
        </w:r>
        <w:r>
          <w:fldChar w:fldCharType="end"/>
        </w:r>
      </w:hyperlink>
    </w:p>
    <w:p>
      <w:pPr>
        <w:pStyle w:val="TOC2"/>
        <w:tabs>
          <w:tab w:val="right" w:leader="dot" w:pos="8306"/>
        </w:tabs>
      </w:pPr>
      <w:hyperlink w:anchor="_Toc3363" w:history="1">
        <w:r>
          <w:rPr>
            <w:rFonts w:ascii="仿宋" w:eastAsia="仿宋" w:hAnsi="仿宋" w:cs="仿宋" w:hint="eastAsia"/>
            <w:lang w:eastAsia="zh-CN"/>
          </w:rPr>
          <w:t>(六)、特殊环境影响分析</w:t>
        </w:r>
        <w:r>
          <w:tab/>
        </w:r>
        <w:r>
          <w:fldChar w:fldCharType="begin"/>
        </w:r>
        <w:r>
          <w:instrText xml:space="preserve"> PAGEREF _Toc3363 \h </w:instrText>
        </w:r>
        <w:r>
          <w:fldChar w:fldCharType="separate"/>
        </w:r>
        <w:r>
          <w:t>26</w:t>
        </w:r>
        <w:r>
          <w:fldChar w:fldCharType="end"/>
        </w:r>
      </w:hyperlink>
    </w:p>
    <w:p>
      <w:pPr>
        <w:pStyle w:val="TOC2"/>
        <w:tabs>
          <w:tab w:val="right" w:leader="dot" w:pos="8306"/>
        </w:tabs>
      </w:pPr>
      <w:hyperlink w:anchor="_Toc12678" w:history="1">
        <w:r>
          <w:rPr>
            <w:rFonts w:ascii="仿宋" w:eastAsia="仿宋" w:hAnsi="仿宋" w:cs="仿宋" w:hint="eastAsia"/>
            <w:lang w:eastAsia="zh-CN"/>
          </w:rPr>
          <w:t>(七)、清洁生产</w:t>
        </w:r>
        <w:r>
          <w:tab/>
        </w:r>
        <w:r>
          <w:fldChar w:fldCharType="begin"/>
        </w:r>
        <w:r>
          <w:instrText xml:space="preserve"> PAGEREF _Toc12678 \h </w:instrText>
        </w:r>
        <w:r>
          <w:fldChar w:fldCharType="separate"/>
        </w:r>
        <w:r>
          <w:t>27</w:t>
        </w:r>
        <w:r>
          <w:fldChar w:fldCharType="end"/>
        </w:r>
      </w:hyperlink>
    </w:p>
    <w:p>
      <w:pPr>
        <w:pStyle w:val="TOC2"/>
        <w:tabs>
          <w:tab w:val="right" w:leader="dot" w:pos="8306"/>
        </w:tabs>
      </w:pPr>
      <w:hyperlink w:anchor="_Toc14855" w:history="1">
        <w:r>
          <w:rPr>
            <w:rFonts w:ascii="仿宋" w:eastAsia="仿宋" w:hAnsi="仿宋" w:cs="仿宋" w:hint="eastAsia"/>
            <w:lang w:eastAsia="zh-CN"/>
          </w:rPr>
          <w:t>(八)、环境保护综合评价</w:t>
        </w:r>
        <w:r>
          <w:tab/>
        </w:r>
        <w:r>
          <w:fldChar w:fldCharType="begin"/>
        </w:r>
        <w:r>
          <w:instrText xml:space="preserve"> PAGEREF _Toc14855 \h </w:instrText>
        </w:r>
        <w:r>
          <w:fldChar w:fldCharType="separate"/>
        </w:r>
        <w:r>
          <w:t>28</w:t>
        </w:r>
        <w:r>
          <w:fldChar w:fldCharType="end"/>
        </w:r>
      </w:hyperlink>
    </w:p>
    <w:p>
      <w:pPr>
        <w:pStyle w:val="TOC1"/>
        <w:tabs>
          <w:tab w:val="right" w:leader="dot" w:pos="8306"/>
        </w:tabs>
      </w:pPr>
      <w:hyperlink w:anchor="_Toc16443" w:history="1">
        <w:r>
          <w:rPr>
            <w:rFonts w:ascii="仿宋" w:eastAsia="仿宋" w:hAnsi="仿宋" w:cs="仿宋" w:hint="eastAsia"/>
            <w:lang w:eastAsia="zh-CN"/>
          </w:rPr>
          <w:t>八、高纯砷及氧化砷项目经营效益</w:t>
        </w:r>
        <w:r>
          <w:tab/>
        </w:r>
        <w:r>
          <w:fldChar w:fldCharType="begin"/>
        </w:r>
        <w:r>
          <w:instrText xml:space="preserve"> PAGEREF _Toc16443 \h </w:instrText>
        </w:r>
        <w:r>
          <w:fldChar w:fldCharType="separate"/>
        </w:r>
        <w:r>
          <w:t>30</w:t>
        </w:r>
        <w:r>
          <w:fldChar w:fldCharType="end"/>
        </w:r>
      </w:hyperlink>
    </w:p>
    <w:p>
      <w:pPr>
        <w:pStyle w:val="TOC2"/>
        <w:tabs>
          <w:tab w:val="right" w:leader="dot" w:pos="8306"/>
        </w:tabs>
      </w:pPr>
      <w:hyperlink w:anchor="_Toc3177" w:history="1">
        <w:r>
          <w:rPr>
            <w:rFonts w:ascii="仿宋" w:eastAsia="仿宋" w:hAnsi="仿宋" w:cs="仿宋" w:hint="eastAsia"/>
            <w:lang w:eastAsia="zh-CN"/>
          </w:rPr>
          <w:t>(一)、经济评价财务测算</w:t>
        </w:r>
        <w:r>
          <w:tab/>
        </w:r>
        <w:r>
          <w:fldChar w:fldCharType="begin"/>
        </w:r>
        <w:r>
          <w:instrText xml:space="preserve"> PAGEREF _Toc3177 \h </w:instrText>
        </w:r>
        <w:r>
          <w:fldChar w:fldCharType="separate"/>
        </w:r>
        <w:r>
          <w:t>30</w:t>
        </w:r>
        <w:r>
          <w:fldChar w:fldCharType="end"/>
        </w:r>
      </w:hyperlink>
    </w:p>
    <w:p>
      <w:pPr>
        <w:pStyle w:val="TOC2"/>
        <w:tabs>
          <w:tab w:val="right" w:leader="dot" w:pos="8306"/>
        </w:tabs>
      </w:pPr>
      <w:hyperlink w:anchor="_Toc4525" w:history="1">
        <w:r>
          <w:rPr>
            <w:rFonts w:ascii="仿宋" w:eastAsia="仿宋" w:hAnsi="仿宋" w:cs="仿宋" w:hint="eastAsia"/>
            <w:lang w:eastAsia="zh-CN"/>
          </w:rPr>
          <w:t>(二)、高纯砷及氧化砷项目盈利能力分析</w:t>
        </w:r>
        <w:r>
          <w:tab/>
        </w:r>
        <w:r>
          <w:fldChar w:fldCharType="begin"/>
        </w:r>
        <w:r>
          <w:instrText xml:space="preserve"> PAGEREF _Toc4525 \h </w:instrText>
        </w:r>
        <w:r>
          <w:fldChar w:fldCharType="separate"/>
        </w:r>
        <w:r>
          <w:t>31</w:t>
        </w:r>
        <w:r>
          <w:fldChar w:fldCharType="end"/>
        </w:r>
      </w:hyperlink>
    </w:p>
    <w:p>
      <w:pPr>
        <w:pStyle w:val="TOC1"/>
        <w:tabs>
          <w:tab w:val="right" w:leader="dot" w:pos="8306"/>
        </w:tabs>
      </w:pPr>
      <w:hyperlink w:anchor="_Toc29162" w:history="1">
        <w:r>
          <w:rPr>
            <w:rFonts w:ascii="仿宋" w:eastAsia="仿宋" w:hAnsi="仿宋" w:cs="仿宋" w:hint="eastAsia"/>
            <w:lang w:eastAsia="zh-CN"/>
          </w:rPr>
          <w:t>九、高纯砷及氧化砷项目投资规划</w:t>
        </w:r>
        <w:r>
          <w:tab/>
        </w:r>
        <w:r>
          <w:fldChar w:fldCharType="begin"/>
        </w:r>
        <w:r>
          <w:instrText xml:space="preserve"> PAGEREF _Toc29162 \h </w:instrText>
        </w:r>
        <w:r>
          <w:fldChar w:fldCharType="separate"/>
        </w:r>
        <w:r>
          <w:t>32</w:t>
        </w:r>
        <w:r>
          <w:fldChar w:fldCharType="end"/>
        </w:r>
      </w:hyperlink>
    </w:p>
    <w:p>
      <w:pPr>
        <w:pStyle w:val="TOC2"/>
        <w:tabs>
          <w:tab w:val="right" w:leader="dot" w:pos="8306"/>
        </w:tabs>
      </w:pPr>
      <w:hyperlink w:anchor="_Toc14532" w:history="1">
        <w:r>
          <w:rPr>
            <w:rFonts w:ascii="仿宋" w:eastAsia="仿宋" w:hAnsi="仿宋" w:cs="仿宋" w:hint="eastAsia"/>
            <w:lang w:eastAsia="zh-CN"/>
          </w:rPr>
          <w:t>(一)、高纯砷及氧化砷项目总投资估算</w:t>
        </w:r>
        <w:r>
          <w:tab/>
        </w:r>
        <w:r>
          <w:fldChar w:fldCharType="begin"/>
        </w:r>
        <w:r>
          <w:instrText xml:space="preserve"> PAGEREF _Toc14532 \h </w:instrText>
        </w:r>
        <w:r>
          <w:fldChar w:fldCharType="separate"/>
        </w:r>
        <w:r>
          <w:t>32</w:t>
        </w:r>
        <w:r>
          <w:fldChar w:fldCharType="end"/>
        </w:r>
      </w:hyperlink>
    </w:p>
    <w:p>
      <w:pPr>
        <w:pStyle w:val="TOC2"/>
        <w:tabs>
          <w:tab w:val="right" w:leader="dot" w:pos="8306"/>
        </w:tabs>
      </w:pPr>
      <w:hyperlink w:anchor="_Toc18035" w:history="1">
        <w:r>
          <w:rPr>
            <w:rFonts w:ascii="仿宋" w:eastAsia="仿宋" w:hAnsi="仿宋" w:cs="仿宋" w:hint="eastAsia"/>
            <w:lang w:eastAsia="zh-CN"/>
          </w:rPr>
          <w:t>(二)、资金筹措</w:t>
        </w:r>
        <w:r>
          <w:tab/>
        </w:r>
        <w:r>
          <w:fldChar w:fldCharType="begin"/>
        </w:r>
        <w:r>
          <w:instrText xml:space="preserve"> PAGEREF _Toc18035 \h </w:instrText>
        </w:r>
        <w:r>
          <w:fldChar w:fldCharType="separate"/>
        </w:r>
        <w:r>
          <w:t>33</w:t>
        </w:r>
        <w:r>
          <w:fldChar w:fldCharType="end"/>
        </w:r>
      </w:hyperlink>
    </w:p>
    <w:p>
      <w:pPr>
        <w:pStyle w:val="TOC1"/>
        <w:tabs>
          <w:tab w:val="right" w:leader="dot" w:pos="8306"/>
        </w:tabs>
      </w:pPr>
      <w:hyperlink w:anchor="_Toc27618" w:history="1">
        <w:r>
          <w:rPr>
            <w:rFonts w:ascii="仿宋" w:eastAsia="仿宋" w:hAnsi="仿宋" w:cs="仿宋" w:hint="eastAsia"/>
            <w:lang w:eastAsia="zh-CN"/>
          </w:rPr>
          <w:t>十、高纯砷及氧化砷项目社会影响</w:t>
        </w:r>
        <w:r>
          <w:tab/>
        </w:r>
        <w:r>
          <w:fldChar w:fldCharType="begin"/>
        </w:r>
        <w:r>
          <w:instrText xml:space="preserve"> PAGEREF _Toc27618 \h </w:instrText>
        </w:r>
        <w:r>
          <w:fldChar w:fldCharType="separate"/>
        </w:r>
        <w:r>
          <w:t>34</w:t>
        </w:r>
        <w:r>
          <w:fldChar w:fldCharType="end"/>
        </w:r>
      </w:hyperlink>
    </w:p>
    <w:p>
      <w:pPr>
        <w:pStyle w:val="TOC2"/>
        <w:tabs>
          <w:tab w:val="right" w:leader="dot" w:pos="8306"/>
        </w:tabs>
      </w:pPr>
      <w:hyperlink w:anchor="_Toc28813" w:history="1">
        <w:r>
          <w:rPr>
            <w:rFonts w:ascii="仿宋" w:eastAsia="仿宋" w:hAnsi="仿宋" w:cs="仿宋" w:hint="eastAsia"/>
            <w:lang w:eastAsia="zh-CN"/>
          </w:rPr>
          <w:t>(一)、社会责任与义务</w:t>
        </w:r>
        <w:r>
          <w:tab/>
        </w:r>
        <w:r>
          <w:fldChar w:fldCharType="begin"/>
        </w:r>
        <w:r>
          <w:instrText xml:space="preserve"> PAGEREF _Toc28813 \h </w:instrText>
        </w:r>
        <w:r>
          <w:fldChar w:fldCharType="separate"/>
        </w:r>
        <w:r>
          <w:t>34</w:t>
        </w:r>
        <w:r>
          <w:fldChar w:fldCharType="end"/>
        </w:r>
      </w:hyperlink>
    </w:p>
    <w:p>
      <w:pPr>
        <w:pStyle w:val="TOC2"/>
        <w:tabs>
          <w:tab w:val="right" w:leader="dot" w:pos="8306"/>
        </w:tabs>
      </w:pPr>
      <w:hyperlink w:anchor="_Toc8790" w:history="1">
        <w:r>
          <w:rPr>
            <w:rFonts w:ascii="仿宋" w:eastAsia="仿宋" w:hAnsi="仿宋" w:cs="仿宋" w:hint="eastAsia"/>
            <w:lang w:eastAsia="zh-CN"/>
          </w:rPr>
          <w:t>(二)、社会参与与沟通</w:t>
        </w:r>
        <w:r>
          <w:tab/>
        </w:r>
        <w:r>
          <w:fldChar w:fldCharType="begin"/>
        </w:r>
        <w:r>
          <w:instrText xml:space="preserve"> PAGEREF _Toc8790 \h </w:instrText>
        </w:r>
        <w:r>
          <w:fldChar w:fldCharType="separate"/>
        </w:r>
        <w:r>
          <w:t>35</w:t>
        </w:r>
        <w:r>
          <w:fldChar w:fldCharType="end"/>
        </w:r>
      </w:hyperlink>
    </w:p>
    <w:p>
      <w:pPr>
        <w:pStyle w:val="TOC1"/>
        <w:tabs>
          <w:tab w:val="right" w:leader="dot" w:pos="8306"/>
        </w:tabs>
      </w:pPr>
      <w:hyperlink w:anchor="_Toc12691" w:history="1">
        <w:r>
          <w:rPr>
            <w:rFonts w:ascii="仿宋" w:eastAsia="仿宋" w:hAnsi="仿宋" w:cs="仿宋" w:hint="eastAsia"/>
            <w:lang w:eastAsia="zh-CN"/>
          </w:rPr>
          <w:t>十一、高纯砷及氧化砷项目计划安排</w:t>
        </w:r>
        <w:r>
          <w:tab/>
        </w:r>
        <w:r>
          <w:fldChar w:fldCharType="begin"/>
        </w:r>
        <w:r>
          <w:instrText xml:space="preserve"> PAGEREF _Toc12691 \h </w:instrText>
        </w:r>
        <w:r>
          <w:fldChar w:fldCharType="separate"/>
        </w:r>
        <w:r>
          <w:t>35</w:t>
        </w:r>
        <w:r>
          <w:fldChar w:fldCharType="end"/>
        </w:r>
      </w:hyperlink>
    </w:p>
    <w:p>
      <w:pPr>
        <w:pStyle w:val="TOC2"/>
        <w:tabs>
          <w:tab w:val="right" w:leader="dot" w:pos="8306"/>
        </w:tabs>
      </w:pPr>
      <w:hyperlink w:anchor="_Toc10822" w:history="1">
        <w:r>
          <w:rPr>
            <w:rFonts w:ascii="仿宋" w:eastAsia="仿宋" w:hAnsi="仿宋" w:cs="仿宋" w:hint="eastAsia"/>
            <w:lang w:eastAsia="zh-CN"/>
          </w:rPr>
          <w:t>(一)、建设周期</w:t>
        </w:r>
        <w:r>
          <w:tab/>
        </w:r>
        <w:r>
          <w:fldChar w:fldCharType="begin"/>
        </w:r>
        <w:r>
          <w:instrText xml:space="preserve"> PAGEREF _Toc10822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74" w:history="1">
        <w:r>
          <w:rPr>
            <w:rFonts w:ascii="仿宋" w:eastAsia="仿宋" w:hAnsi="仿宋" w:cs="仿宋" w:hint="eastAsia"/>
            <w:lang w:eastAsia="zh-CN"/>
          </w:rPr>
          <w:t>(二)、建设进度</w:t>
        </w:r>
        <w:r>
          <w:tab/>
        </w:r>
        <w:r>
          <w:fldChar w:fldCharType="begin"/>
        </w:r>
        <w:r>
          <w:instrText xml:space="preserve"> PAGEREF _Toc20574 \h </w:instrText>
        </w:r>
        <w:r>
          <w:fldChar w:fldCharType="separate"/>
        </w:r>
        <w:r>
          <w:t>36</w:t>
        </w:r>
        <w:r>
          <w:fldChar w:fldCharType="end"/>
        </w:r>
      </w:hyperlink>
    </w:p>
    <w:p>
      <w:pPr>
        <w:pStyle w:val="TOC2"/>
        <w:tabs>
          <w:tab w:val="right" w:leader="dot" w:pos="8306"/>
        </w:tabs>
      </w:pPr>
      <w:hyperlink w:anchor="_Toc25392" w:history="1">
        <w:r>
          <w:rPr>
            <w:rFonts w:ascii="仿宋" w:eastAsia="仿宋" w:hAnsi="仿宋" w:cs="仿宋" w:hint="eastAsia"/>
            <w:lang w:eastAsia="zh-CN"/>
          </w:rPr>
          <w:t>(三)、进度安排注意事项</w:t>
        </w:r>
        <w:r>
          <w:tab/>
        </w:r>
        <w:r>
          <w:fldChar w:fldCharType="begin"/>
        </w:r>
        <w:r>
          <w:instrText xml:space="preserve"> PAGEREF _Toc25392 \h </w:instrText>
        </w:r>
        <w:r>
          <w:fldChar w:fldCharType="separate"/>
        </w:r>
        <w:r>
          <w:t>37</w:t>
        </w:r>
        <w:r>
          <w:fldChar w:fldCharType="end"/>
        </w:r>
      </w:hyperlink>
    </w:p>
    <w:p>
      <w:pPr>
        <w:pStyle w:val="TOC2"/>
        <w:tabs>
          <w:tab w:val="right" w:leader="dot" w:pos="8306"/>
        </w:tabs>
      </w:pPr>
      <w:hyperlink w:anchor="_Toc14936" w:history="1">
        <w:r>
          <w:rPr>
            <w:rFonts w:ascii="仿宋" w:eastAsia="仿宋" w:hAnsi="仿宋" w:cs="仿宋" w:hint="eastAsia"/>
            <w:lang w:eastAsia="zh-CN"/>
          </w:rPr>
          <w:t>(四)、人力资源配置</w:t>
        </w:r>
        <w:r>
          <w:tab/>
        </w:r>
        <w:r>
          <w:fldChar w:fldCharType="begin"/>
        </w:r>
        <w:r>
          <w:instrText xml:space="preserve"> PAGEREF _Toc14936 \h </w:instrText>
        </w:r>
        <w:r>
          <w:fldChar w:fldCharType="separate"/>
        </w:r>
        <w:r>
          <w:t>39</w:t>
        </w:r>
        <w:r>
          <w:fldChar w:fldCharType="end"/>
        </w:r>
      </w:hyperlink>
    </w:p>
    <w:p>
      <w:pPr>
        <w:pStyle w:val="TOC1"/>
        <w:tabs>
          <w:tab w:val="right" w:leader="dot" w:pos="8306"/>
        </w:tabs>
      </w:pPr>
      <w:hyperlink w:anchor="_Toc26931" w:history="1">
        <w:r>
          <w:rPr>
            <w:rFonts w:ascii="仿宋" w:eastAsia="仿宋" w:hAnsi="仿宋" w:cs="仿宋" w:hint="eastAsia"/>
            <w:lang w:eastAsia="zh-CN"/>
          </w:rPr>
          <w:t>十二、高纯砷及氧化砷项目人力资源培养与发展</w:t>
        </w:r>
        <w:r>
          <w:tab/>
        </w:r>
        <w:r>
          <w:fldChar w:fldCharType="begin"/>
        </w:r>
        <w:r>
          <w:instrText xml:space="preserve"> PAGEREF _Toc26931 \h </w:instrText>
        </w:r>
        <w:r>
          <w:fldChar w:fldCharType="separate"/>
        </w:r>
        <w:r>
          <w:t>40</w:t>
        </w:r>
        <w:r>
          <w:fldChar w:fldCharType="end"/>
        </w:r>
      </w:hyperlink>
    </w:p>
    <w:p>
      <w:pPr>
        <w:pStyle w:val="TOC2"/>
        <w:tabs>
          <w:tab w:val="right" w:leader="dot" w:pos="8306"/>
        </w:tabs>
      </w:pPr>
      <w:hyperlink w:anchor="_Toc22041" w:history="1">
        <w:r>
          <w:rPr>
            <w:rFonts w:ascii="仿宋" w:eastAsia="仿宋" w:hAnsi="仿宋" w:cs="仿宋" w:hint="eastAsia"/>
            <w:lang w:eastAsia="zh-CN"/>
          </w:rPr>
          <w:t>(一)、人才需求与规划</w:t>
        </w:r>
        <w:r>
          <w:tab/>
        </w:r>
        <w:r>
          <w:fldChar w:fldCharType="begin"/>
        </w:r>
        <w:r>
          <w:instrText xml:space="preserve"> PAGEREF _Toc22041 \h </w:instrText>
        </w:r>
        <w:r>
          <w:fldChar w:fldCharType="separate"/>
        </w:r>
        <w:r>
          <w:t>40</w:t>
        </w:r>
        <w:r>
          <w:fldChar w:fldCharType="end"/>
        </w:r>
      </w:hyperlink>
    </w:p>
    <w:p>
      <w:pPr>
        <w:pStyle w:val="TOC2"/>
        <w:tabs>
          <w:tab w:val="right" w:leader="dot" w:pos="8306"/>
        </w:tabs>
      </w:pPr>
      <w:hyperlink w:anchor="_Toc8114" w:history="1">
        <w:r>
          <w:rPr>
            <w:rFonts w:ascii="仿宋" w:eastAsia="仿宋" w:hAnsi="仿宋" w:cs="仿宋" w:hint="eastAsia"/>
            <w:lang w:eastAsia="zh-CN"/>
          </w:rPr>
          <w:t>(二)、培训与发展计划</w:t>
        </w:r>
        <w:r>
          <w:tab/>
        </w:r>
        <w:r>
          <w:fldChar w:fldCharType="begin"/>
        </w:r>
        <w:r>
          <w:instrText xml:space="preserve"> PAGEREF _Toc8114 \h </w:instrText>
        </w:r>
        <w:r>
          <w:fldChar w:fldCharType="separate"/>
        </w:r>
        <w:r>
          <w:t>40</w:t>
        </w:r>
        <w:r>
          <w:fldChar w:fldCharType="end"/>
        </w:r>
      </w:hyperlink>
    </w:p>
    <w:p>
      <w:pPr>
        <w:pStyle w:val="TOC1"/>
        <w:tabs>
          <w:tab w:val="right" w:leader="dot" w:pos="8306"/>
        </w:tabs>
      </w:pPr>
      <w:hyperlink w:anchor="_Toc23547" w:history="1">
        <w:r>
          <w:rPr>
            <w:rFonts w:ascii="仿宋" w:eastAsia="仿宋" w:hAnsi="仿宋" w:cs="仿宋" w:hint="eastAsia"/>
            <w:lang w:eastAsia="zh-CN"/>
          </w:rPr>
          <w:t>十三、营销与推广策略</w:t>
        </w:r>
        <w:r>
          <w:tab/>
        </w:r>
        <w:r>
          <w:fldChar w:fldCharType="begin"/>
        </w:r>
        <w:r>
          <w:instrText xml:space="preserve"> PAGEREF _Toc23547 \h </w:instrText>
        </w:r>
        <w:r>
          <w:fldChar w:fldCharType="separate"/>
        </w:r>
        <w:r>
          <w:t>41</w:t>
        </w:r>
        <w:r>
          <w:fldChar w:fldCharType="end"/>
        </w:r>
      </w:hyperlink>
    </w:p>
    <w:p>
      <w:pPr>
        <w:pStyle w:val="TOC2"/>
        <w:tabs>
          <w:tab w:val="right" w:leader="dot" w:pos="8306"/>
        </w:tabs>
      </w:pPr>
      <w:hyperlink w:anchor="_Toc15896" w:history="1">
        <w:r>
          <w:rPr>
            <w:rFonts w:ascii="仿宋" w:eastAsia="仿宋" w:hAnsi="仿宋" w:cs="仿宋" w:hint="eastAsia"/>
            <w:lang w:eastAsia="zh-CN"/>
          </w:rPr>
          <w:t>(一)、产品/服务定位与特点</w:t>
        </w:r>
        <w:r>
          <w:tab/>
        </w:r>
        <w:r>
          <w:fldChar w:fldCharType="begin"/>
        </w:r>
        <w:r>
          <w:instrText xml:space="preserve"> PAGEREF _Toc15896 \h </w:instrText>
        </w:r>
        <w:r>
          <w:fldChar w:fldCharType="separate"/>
        </w:r>
        <w:r>
          <w:t>41</w:t>
        </w:r>
        <w:r>
          <w:fldChar w:fldCharType="end"/>
        </w:r>
      </w:hyperlink>
    </w:p>
    <w:p>
      <w:pPr>
        <w:pStyle w:val="TOC2"/>
        <w:tabs>
          <w:tab w:val="right" w:leader="dot" w:pos="8306"/>
        </w:tabs>
      </w:pPr>
      <w:hyperlink w:anchor="_Toc27721" w:history="1">
        <w:r>
          <w:rPr>
            <w:rFonts w:ascii="仿宋" w:eastAsia="仿宋" w:hAnsi="仿宋" w:cs="仿宋" w:hint="eastAsia"/>
            <w:lang w:eastAsia="zh-CN"/>
          </w:rPr>
          <w:t>(二)、市场定位与竞争分析</w:t>
        </w:r>
        <w:r>
          <w:tab/>
        </w:r>
        <w:r>
          <w:fldChar w:fldCharType="begin"/>
        </w:r>
        <w:r>
          <w:instrText xml:space="preserve"> PAGEREF _Toc27721 \h </w:instrText>
        </w:r>
        <w:r>
          <w:fldChar w:fldCharType="separate"/>
        </w:r>
        <w:r>
          <w:t>42</w:t>
        </w:r>
        <w:r>
          <w:fldChar w:fldCharType="end"/>
        </w:r>
      </w:hyperlink>
    </w:p>
    <w:p>
      <w:pPr>
        <w:pStyle w:val="TOC2"/>
        <w:tabs>
          <w:tab w:val="right" w:leader="dot" w:pos="8306"/>
        </w:tabs>
      </w:pPr>
      <w:hyperlink w:anchor="_Toc22474" w:history="1">
        <w:r>
          <w:rPr>
            <w:rFonts w:ascii="仿宋" w:eastAsia="仿宋" w:hAnsi="仿宋" w:cs="仿宋" w:hint="eastAsia"/>
            <w:lang w:eastAsia="zh-CN"/>
          </w:rPr>
          <w:t>(三)、营销渠道与策略</w:t>
        </w:r>
        <w:r>
          <w:tab/>
        </w:r>
        <w:r>
          <w:fldChar w:fldCharType="begin"/>
        </w:r>
        <w:r>
          <w:instrText xml:space="preserve"> PAGEREF _Toc22474 \h </w:instrText>
        </w:r>
        <w:r>
          <w:fldChar w:fldCharType="separate"/>
        </w:r>
        <w:r>
          <w:t>44</w:t>
        </w:r>
        <w:r>
          <w:fldChar w:fldCharType="end"/>
        </w:r>
      </w:hyperlink>
    </w:p>
    <w:p>
      <w:pPr>
        <w:pStyle w:val="TOC2"/>
        <w:tabs>
          <w:tab w:val="right" w:leader="dot" w:pos="8306"/>
        </w:tabs>
      </w:pPr>
      <w:hyperlink w:anchor="_Toc6137" w:history="1">
        <w:r>
          <w:rPr>
            <w:rFonts w:ascii="仿宋" w:eastAsia="仿宋" w:hAnsi="仿宋" w:cs="仿宋" w:hint="eastAsia"/>
            <w:lang w:eastAsia="zh-CN"/>
          </w:rPr>
          <w:t>(四)、推广与宣传活动</w:t>
        </w:r>
        <w:r>
          <w:tab/>
        </w:r>
        <w:r>
          <w:fldChar w:fldCharType="begin"/>
        </w:r>
        <w:r>
          <w:instrText xml:space="preserve"> PAGEREF _Toc6137 \h </w:instrText>
        </w:r>
        <w:r>
          <w:fldChar w:fldCharType="separate"/>
        </w:r>
        <w:r>
          <w:t>45</w:t>
        </w:r>
        <w:r>
          <w:fldChar w:fldCharType="end"/>
        </w:r>
      </w:hyperlink>
    </w:p>
    <w:p>
      <w:pPr>
        <w:pStyle w:val="TOC1"/>
        <w:tabs>
          <w:tab w:val="right" w:leader="dot" w:pos="8306"/>
        </w:tabs>
      </w:pPr>
      <w:hyperlink w:anchor="_Toc24708" w:history="1">
        <w:r>
          <w:rPr>
            <w:rFonts w:ascii="仿宋" w:eastAsia="仿宋" w:hAnsi="仿宋" w:cs="仿宋" w:hint="eastAsia"/>
            <w:lang w:eastAsia="zh-CN"/>
          </w:rPr>
          <w:t>十四、高纯砷及氧化砷项目实施时间节点</w:t>
        </w:r>
        <w:r>
          <w:tab/>
        </w:r>
        <w:r>
          <w:fldChar w:fldCharType="begin"/>
        </w:r>
        <w:r>
          <w:instrText xml:space="preserve"> PAGEREF _Toc24708 \h </w:instrText>
        </w:r>
        <w:r>
          <w:fldChar w:fldCharType="separate"/>
        </w:r>
        <w:r>
          <w:t>50</w:t>
        </w:r>
        <w:r>
          <w:fldChar w:fldCharType="end"/>
        </w:r>
      </w:hyperlink>
    </w:p>
    <w:p>
      <w:pPr>
        <w:pStyle w:val="TOC2"/>
        <w:tabs>
          <w:tab w:val="right" w:leader="dot" w:pos="8306"/>
        </w:tabs>
      </w:pPr>
      <w:hyperlink w:anchor="_Toc30732" w:history="1">
        <w:r>
          <w:rPr>
            <w:rFonts w:ascii="仿宋" w:eastAsia="仿宋" w:hAnsi="仿宋" w:cs="仿宋" w:hint="eastAsia"/>
            <w:lang w:eastAsia="zh-CN"/>
          </w:rPr>
          <w:t>(一)、高纯砷及氧化砷项目启动阶段时间节点</w:t>
        </w:r>
        <w:r>
          <w:tab/>
        </w:r>
        <w:r>
          <w:fldChar w:fldCharType="begin"/>
        </w:r>
        <w:r>
          <w:instrText xml:space="preserve"> PAGEREF _Toc30732 \h </w:instrText>
        </w:r>
        <w:r>
          <w:fldChar w:fldCharType="separate"/>
        </w:r>
        <w:r>
          <w:t>50</w:t>
        </w:r>
        <w:r>
          <w:fldChar w:fldCharType="end"/>
        </w:r>
      </w:hyperlink>
    </w:p>
    <w:p>
      <w:pPr>
        <w:pStyle w:val="TOC2"/>
        <w:tabs>
          <w:tab w:val="right" w:leader="dot" w:pos="8306"/>
        </w:tabs>
      </w:pPr>
      <w:hyperlink w:anchor="_Toc30896" w:history="1">
        <w:r>
          <w:rPr>
            <w:rFonts w:ascii="仿宋" w:eastAsia="仿宋" w:hAnsi="仿宋" w:cs="仿宋" w:hint="eastAsia"/>
            <w:lang w:eastAsia="zh-CN"/>
          </w:rPr>
          <w:t>(二)、高纯砷及氧化砷项目执行阶段时间节点</w:t>
        </w:r>
        <w:r>
          <w:tab/>
        </w:r>
        <w:r>
          <w:fldChar w:fldCharType="begin"/>
        </w:r>
        <w:r>
          <w:instrText xml:space="preserve"> PAGEREF _Toc30896 \h </w:instrText>
        </w:r>
        <w:r>
          <w:fldChar w:fldCharType="separate"/>
        </w:r>
        <w:r>
          <w:t>51</w:t>
        </w:r>
        <w:r>
          <w:fldChar w:fldCharType="end"/>
        </w:r>
      </w:hyperlink>
    </w:p>
    <w:p>
      <w:pPr>
        <w:pStyle w:val="TOC2"/>
        <w:tabs>
          <w:tab w:val="right" w:leader="dot" w:pos="8306"/>
        </w:tabs>
      </w:pPr>
      <w:hyperlink w:anchor="_Toc4354" w:history="1">
        <w:r>
          <w:rPr>
            <w:rFonts w:ascii="仿宋" w:eastAsia="仿宋" w:hAnsi="仿宋" w:cs="仿宋" w:hint="eastAsia"/>
            <w:lang w:eastAsia="zh-CN"/>
          </w:rPr>
          <w:t>(三)、高纯砷及氧化砷项目完成阶段时间节点</w:t>
        </w:r>
        <w:r>
          <w:tab/>
        </w:r>
        <w:r>
          <w:fldChar w:fldCharType="begin"/>
        </w:r>
        <w:r>
          <w:instrText xml:space="preserve"> PAGEREF _Toc4354 \h </w:instrText>
        </w:r>
        <w:r>
          <w:fldChar w:fldCharType="separate"/>
        </w:r>
        <w:r>
          <w:t>52</w:t>
        </w:r>
        <w:r>
          <w:fldChar w:fldCharType="end"/>
        </w:r>
      </w:hyperlink>
    </w:p>
    <w:p>
      <w:pPr>
        <w:pStyle w:val="TOC1"/>
        <w:tabs>
          <w:tab w:val="right" w:leader="dot" w:pos="8306"/>
        </w:tabs>
      </w:pPr>
      <w:hyperlink w:anchor="_Toc27008" w:history="1">
        <w:r>
          <w:rPr>
            <w:rFonts w:ascii="仿宋" w:eastAsia="仿宋" w:hAnsi="仿宋" w:cs="仿宋" w:hint="eastAsia"/>
            <w:lang w:eastAsia="zh-CN"/>
          </w:rPr>
          <w:t>十五、高纯砷及氧化砷项目工程方案分析</w:t>
        </w:r>
        <w:r>
          <w:tab/>
        </w:r>
        <w:r>
          <w:fldChar w:fldCharType="begin"/>
        </w:r>
        <w:r>
          <w:instrText xml:space="preserve"> PAGEREF _Toc27008 \h </w:instrText>
        </w:r>
        <w:r>
          <w:fldChar w:fldCharType="separate"/>
        </w:r>
        <w:r>
          <w:t>53</w:t>
        </w:r>
        <w:r>
          <w:fldChar w:fldCharType="end"/>
        </w:r>
      </w:hyperlink>
    </w:p>
    <w:p>
      <w:pPr>
        <w:pStyle w:val="TOC2"/>
        <w:tabs>
          <w:tab w:val="right" w:leader="dot" w:pos="8306"/>
        </w:tabs>
      </w:pPr>
      <w:hyperlink w:anchor="_Toc27414" w:history="1">
        <w:r>
          <w:rPr>
            <w:rFonts w:ascii="仿宋" w:eastAsia="仿宋" w:hAnsi="仿宋" w:cs="仿宋" w:hint="eastAsia"/>
            <w:lang w:eastAsia="zh-CN"/>
          </w:rPr>
          <w:t>(一)、建筑工程设计原则</w:t>
        </w:r>
        <w:r>
          <w:tab/>
        </w:r>
        <w:r>
          <w:fldChar w:fldCharType="begin"/>
        </w:r>
        <w:r>
          <w:instrText xml:space="preserve"> PAGEREF _Toc27414 \h </w:instrText>
        </w:r>
        <w:r>
          <w:fldChar w:fldCharType="separate"/>
        </w:r>
        <w:r>
          <w:t>53</w:t>
        </w:r>
        <w:r>
          <w:fldChar w:fldCharType="end"/>
        </w:r>
      </w:hyperlink>
    </w:p>
    <w:p>
      <w:pPr>
        <w:pStyle w:val="TOC2"/>
        <w:tabs>
          <w:tab w:val="right" w:leader="dot" w:pos="8306"/>
        </w:tabs>
      </w:pPr>
      <w:hyperlink w:anchor="_Toc14035" w:history="1">
        <w:r>
          <w:rPr>
            <w:rFonts w:ascii="仿宋" w:eastAsia="仿宋" w:hAnsi="仿宋" w:cs="仿宋" w:hint="eastAsia"/>
            <w:lang w:eastAsia="zh-CN"/>
          </w:rPr>
          <w:t>(二)、土建工程建设指标</w:t>
        </w:r>
        <w:r>
          <w:tab/>
        </w:r>
        <w:r>
          <w:fldChar w:fldCharType="begin"/>
        </w:r>
        <w:r>
          <w:instrText xml:space="preserve"> PAGEREF _Toc14035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026"/>
      <w:r>
        <w:rPr>
          <w:rFonts w:ascii="仿宋" w:eastAsia="仿宋" w:hAnsi="仿宋" w:cs="仿宋" w:hint="eastAsia"/>
          <w:sz w:val="28"/>
          <w:lang w:eastAsia="zh-CN"/>
        </w:rPr>
        <w:t>一、高纯砷及氧化砷项目危机管理</w:t>
      </w:r>
      <w:bookmarkEnd w:id="2"/>
    </w:p>
    <w:p>
      <w:pPr>
        <w:pStyle w:val="Heading2"/>
        <w:rPr>
          <w:rFonts w:ascii="仿宋" w:eastAsia="仿宋" w:hAnsi="仿宋" w:cs="仿宋" w:hint="eastAsia"/>
          <w:lang w:eastAsia="zh-CN"/>
        </w:rPr>
      </w:pPr>
      <w:bookmarkStart w:id="3" w:name="_Toc2281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砷及氧化砷项目危机管理中，危机预警与识别是确保高纯砷及氧化砷项目稳健运行的核心步骤。通过建立全面的监测机制，高纯砷及氧化砷项目团队旨在及时发现和理解潜在的风险和危机因素，以便采取及时的预防和应对措施，确保高纯砷及氧化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纯砷及氧化砷项目团队全面分析了整个高纯砷及氧化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纯砷及氧化砷项目团队着重于明确定义高纯砷及氧化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纯砷及氧化砷项目进展的持续监控，团队能够及时发现潜在问题并作出迅速反应。高纯砷及氧化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在这一阶段，团队的专业素养和反应速度将发挥至关重要的作用，以确保潜在危机能够在初期得到有效的处理，最大程度地减轻负面影响。通过危机预警与识别，高纯砷及氧化砷项目得以更有序、可控地推进。</w:t>
      </w:r>
    </w:p>
    <w:p>
      <w:pPr>
        <w:pStyle w:val="Heading2"/>
        <w:ind w:firstLine="560" w:firstLineChars="200"/>
        <w:rPr>
          <w:rFonts w:ascii="仿宋" w:eastAsia="仿宋" w:hAnsi="仿宋" w:cs="仿宋" w:hint="eastAsia"/>
          <w:sz w:val="28"/>
          <w:lang w:eastAsia="zh-CN"/>
        </w:rPr>
      </w:pPr>
      <w:bookmarkStart w:id="4" w:name="_Toc3106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在危机发生时，高纯砷及氧化砷项目团队立即行动，成立了应急小组。该小组的任务是迅速制定并实施紧急应对措施，以最小化潜在损失。以下是采取的主要措施：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暂停高纯砷及氧化砷项目进度：为遏制危机蔓延，高纯砷及氧化砷项目暂时停止进行，以便全面评估当前状况。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资源重新分配：重新评估高纯砷及氧化砷项目资源的分配，确保最大限度地减小损失。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实时沟通：与关键利益相关者建立实时沟通机制，向他们传递高纯砷及氧化砷项目危机的实际状况，保障高纯砷及氧化砷项目核心利益。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在紧急应对的同时，高纯砷及氧化砷项目团队强调了团队协作和有效沟通的重要性。以下是团队协作的关键举措：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信息共享机制：建立了信息共享平台，确保团队成员能够及时获取高纯砷及氧化砷项目危机的实时信息。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领导者沟通：高纯砷及氧化砷项目领导者通过定期会议和即时沟通工具，指导团队应对危机，保持团队稳定运行。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随着危机得到初步控制，高纯砷及氧化砷项目团队转向制定恢复计划，以确保高纯砷及氧化砷项目能够从中迅速恢复。主要恢复计划包括：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修复受损的进度计划：重新评估高纯砷及氧化砷项目进度，制定修复计划，确保高纯砷及氧化砷项目尽快回归正常进程。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重新调整资源分配：优化资源分配，确保高纯砷及氧化砷项目在有限资源下高效运转。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风险管理机制加强：对高纯砷及氧化砷项目风险进行全面评估，制定更强化的风险管理策略，以预防未来可能的危机。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966"/>
      <w:r>
        <w:rPr>
          <w:rFonts w:ascii="仿宋" w:eastAsia="仿宋" w:hAnsi="仿宋" w:cs="仿宋" w:hint="eastAsia"/>
          <w:sz w:val="28"/>
          <w:lang w:eastAsia="zh-CN"/>
        </w:rPr>
        <w:t>二、高纯砷及氧化砷项目建设背景及必要性分析</w:t>
      </w:r>
      <w:bookmarkEnd w:id="5"/>
    </w:p>
    <w:p>
      <w:pPr>
        <w:pStyle w:val="Heading2"/>
        <w:rPr>
          <w:rFonts w:ascii="仿宋" w:eastAsia="仿宋" w:hAnsi="仿宋" w:cs="仿宋" w:hint="eastAsia"/>
          <w:lang w:eastAsia="zh-CN"/>
        </w:rPr>
      </w:pPr>
      <w:bookmarkStart w:id="6" w:name="_Toc7267"/>
      <w:r>
        <w:rPr>
          <w:rFonts w:ascii="仿宋" w:eastAsia="仿宋" w:hAnsi="仿宋" w:cs="仿宋" w:hint="eastAsia"/>
          <w:lang w:eastAsia="zh-CN"/>
        </w:rPr>
        <w:t>(一)、高纯砷及氧化砷项目背景分析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纯砷及氧化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纯砷及氧化砷项目在这个潮流中的定位。同时，我们将关注行业内涌现的新兴机遇，以便高纯砷及氧化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纯砷及氧化砷项目提供了强大的发展动力。我们将聚焦于行业内最新的技术发展趋势，包括但不限于人工智能、大数据分析、物联网等领域。通过深度的技术研究，我们将确保高纯砷及氧化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纯砷及氧化砷项目发展的源泉。我们将投入更多的精力对市场需求进行深入剖析，超越表面的需求，深入挖掘潜在的市场痛点和机遇。通过对市场需求的细致了解，高纯砷及氧化砷项目将更有针对性地设计解决方案，满足市场的多样化需求，从而更好地促进高纯砷及氧化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纯砷及氧化砷项目战略至关重要。我们将对竞争态势进行更为深入的分析，包括但不限于市场份额、产品特点、客户满意度等多个维度。通过深度的竞争分析，高纯砷及氧化砷项目将能够更准确地把握市场脉搏，制定具有竞争力的高纯砷及氧化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纯砷及氧化砷项目的发展具有直接的影响。我们将进行更为全面的法规和政策分析，了解行业发展中的潜在法律风险和合规挑战。通过充分了解和遵守相关法规，高纯砷及氧化砷项目将确保在法律框架内合法合规运营，为高纯砷及氧化砷项目的稳健发展提供有力支持。</w:t>
      </w:r>
    </w:p>
    <w:p>
      <w:pPr>
        <w:pStyle w:val="Heading2"/>
        <w:ind w:firstLine="560" w:firstLineChars="200"/>
        <w:rPr>
          <w:rFonts w:ascii="仿宋" w:eastAsia="仿宋" w:hAnsi="仿宋" w:cs="仿宋" w:hint="eastAsia"/>
          <w:sz w:val="28"/>
          <w:lang w:eastAsia="zh-CN"/>
        </w:rPr>
      </w:pPr>
      <w:bookmarkStart w:id="7" w:name="_Toc5400"/>
      <w:r>
        <w:rPr>
          <w:rFonts w:ascii="仿宋" w:eastAsia="仿宋" w:hAnsi="仿宋" w:cs="仿宋" w:hint="eastAsia"/>
          <w:sz w:val="28"/>
          <w:lang w:eastAsia="zh-CN"/>
        </w:rPr>
        <w:t>(二)、高纯砷及氧化砷项目建设必要性分析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建设的迫切性源于对行业发展趋势的深刻洞察。我们正处于一个行业变革的时代，科技创新、数字化转型成为企业发展的关键动力。高纯砷及氧化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建设不仅仅是为了跟上潮流，更是为了通过技术创新推动企业的持续发展。通过引入先进的技术和解决方案，高纯砷及氧化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纯砷及氧化砷项目的建设成为必然选择，通过提高产品质量、拓展服务领域，从而在竞争中获得更多的机会。高纯砷及氧化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纯砷及氧化砷项目建设的必要性体现在对客户需求更精准的满足。通过高纯砷及氧化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建设的背后是对企业持续创新的追求。只有通过不断创新，企业才能在竞争中立于不败之地。高纯砷及氧化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5729"/>
      <w:r>
        <w:rPr>
          <w:rFonts w:ascii="仿宋" w:eastAsia="仿宋" w:hAnsi="仿宋" w:cs="仿宋" w:hint="eastAsia"/>
          <w:sz w:val="28"/>
          <w:lang w:eastAsia="zh-CN"/>
        </w:rPr>
        <w:t>三、高纯砷及氧化砷项目建设单位说明</w:t>
      </w:r>
      <w:bookmarkEnd w:id="8"/>
    </w:p>
    <w:p>
      <w:pPr>
        <w:pStyle w:val="Heading2"/>
        <w:rPr>
          <w:rFonts w:ascii="仿宋" w:eastAsia="仿宋" w:hAnsi="仿宋" w:cs="仿宋" w:hint="eastAsia"/>
          <w:lang w:eastAsia="zh-CN"/>
        </w:rPr>
      </w:pPr>
      <w:bookmarkStart w:id="9" w:name="_Toc9690"/>
      <w:r>
        <w:rPr>
          <w:rFonts w:ascii="仿宋" w:eastAsia="仿宋" w:hAnsi="仿宋" w:cs="仿宋" w:hint="eastAsia"/>
          <w:lang w:eastAsia="zh-CN"/>
        </w:rPr>
        <w:t>(一)、高纯砷及氧化砷项目承办单位基本情况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238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作为高纯砷及氧化砷项目承办单位的XXXX，我们着眼于实现可持续的经济效益。通过技术创新和解决方案的提供，公司预计在高纯砷及氧化砷项目执行期间将获得可观的收入增长。这一收入来源主要包括高纯砷及氧化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同时，我们注重成本控制和效率提升，以确保高纯砷及氧化砷项目的可持续盈利。透过精细的管理和资源优化，公司期望实现高纯砷及氧化砷项目利润最大化。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纯砷及氧化砷项目实施进行全面的投资评估，包括高纯砷及氧化砷项目启动阶段的资金投入和后续运营成本。通过对高纯砷及氧化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纯砷及氧化砷项目实施过程中具备足够的资金流动性，公司将进行详尽的现金流分析。这包括资金需求的合理预测、高纯砷及氧化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3577"/>
      <w:r>
        <w:rPr>
          <w:rFonts w:ascii="仿宋" w:eastAsia="仿宋" w:hAnsi="仿宋" w:cs="仿宋" w:hint="eastAsia"/>
          <w:sz w:val="28"/>
          <w:lang w:eastAsia="zh-CN"/>
        </w:rPr>
        <w:t>四、高纯砷及氧化砷项目文档管理</w:t>
      </w:r>
      <w:bookmarkEnd w:id="11"/>
    </w:p>
    <w:p>
      <w:pPr>
        <w:pStyle w:val="Heading2"/>
        <w:rPr>
          <w:rFonts w:ascii="仿宋" w:eastAsia="仿宋" w:hAnsi="仿宋" w:cs="仿宋" w:hint="eastAsia"/>
          <w:lang w:eastAsia="zh-CN"/>
        </w:rPr>
      </w:pPr>
      <w:bookmarkStart w:id="12" w:name="_Toc500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高纯砷及氧化砷项目高度重视文档的质量和准确性，以支持高纯砷及氧化砷项目的各项活动和决策。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文档的编制始于高纯砷及氧化砷项目计划的初期，我们制定了详细的文档编制计划，明确了每个文档的内容、格式和编写责任人。在高纯砷及氧化砷项目启动阶段，我们首先编制了高纯砷及氧化砷项目章程，明确定义了高纯砷及氧化砷项目的目标、范围、风险等关键要素。随后，高纯砷及氧化砷项目团队根据计划陆续编制了需求文档、设计文档、测试文档等各类文档，确保高纯砷及氧化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纯砷及氧化砷项目管理中的重要环节，旨在确保高纯砷及氧化砷项目文档符合质量标准和高纯砷及氧化砷项目需求。在高纯砷及氧化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纯砷及氧化砷项目相关利益方和专业领域的专家对文档进行独立审查。这有助于获取更全面、客观的反馈，确保高纯砷及氧化砷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高纯砷及氧化砷项目在文档编制与审查方面建立了严格的管理机制，通过规范的流程和多维度的审查，确保高纯砷及氧化砷项目文档的质量、准确性和可靠性，为高纯砷及氧化砷项目的顺利推进提供了有力支持。</w:t>
      </w:r>
    </w:p>
    <w:p>
      <w:pPr>
        <w:pStyle w:val="Heading2"/>
        <w:ind w:firstLine="560" w:firstLineChars="200"/>
        <w:rPr>
          <w:rFonts w:ascii="仿宋" w:eastAsia="仿宋" w:hAnsi="仿宋" w:cs="仿宋" w:hint="eastAsia"/>
          <w:sz w:val="28"/>
          <w:lang w:eastAsia="zh-CN"/>
        </w:rPr>
      </w:pPr>
      <w:bookmarkStart w:id="13" w:name="_Toc1019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在高纯砷及氧化砷项目中，我们致力于优化文档发布与分发过程，以确保信息的高效传递和团队间协作的顺畅进行。以下是我们采取的关键优化策略：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我们通过多渠道发布文档，包括电子邮件、高纯砷及氧化砷项目管理平台、内部网站等，以满足不同团队成员的偏好和需求。多渠道发布确保了信息的全面覆盖。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我们采用了精细的权限控制，确保只有授权人员可以访问敏感信息。这种安全措施保护了高纯砷及氧化砷项目文档的机密性，防止了未经授权的信息泄露。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112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纯砷及氧化砷项目生命周期中一个至关重要的环节，直接关系到高纯砷及氧化砷项目信息的长期保存和历史记录的完整性。在高纯砷及氧化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3874"/>
      <w:r>
        <w:rPr>
          <w:rFonts w:ascii="仿宋" w:eastAsia="仿宋" w:hAnsi="仿宋" w:cs="仿宋" w:hint="eastAsia"/>
          <w:sz w:val="28"/>
          <w:lang w:eastAsia="zh-CN"/>
        </w:rPr>
        <w:t>五、高纯砷及氧化砷项目绩效评估</w:t>
      </w:r>
      <w:bookmarkEnd w:id="15"/>
    </w:p>
    <w:p>
      <w:pPr>
        <w:pStyle w:val="Heading2"/>
        <w:rPr>
          <w:rFonts w:ascii="仿宋" w:eastAsia="仿宋" w:hAnsi="仿宋" w:cs="仿宋" w:hint="eastAsia"/>
          <w:lang w:eastAsia="zh-CN"/>
        </w:rPr>
      </w:pPr>
      <w:bookmarkStart w:id="16" w:name="_Toc2289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砷及氧化砷项目中，我们设计了一套全面的绩效评估指标，以确保高纯砷及氧化砷项目的可控和成功交付。这些指标跨足高纯砷及氧化砷项目目标、成本、进度和质量等多个维度，为我们提供了全面洞察高纯砷及氧化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目标达成率是我们关注的首要指标。我们设定了明确的目标，并通过定期监测和评估，迅速发现并应对潜在的目标偏差。这为高纯砷及氧化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成本绩效是另一个核心关注点。通过实际成本与预算成本的对比分析，我们深入了解成本差异的原因，及时调整资源分配，保持高纯砷及氧化砷项目在经济效益方面的合理水平。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进度作为关键的绩效指标之一，得到了精心的关注。我们制定了详细的高纯砷及氧化砷项目进度计划，并设立了进度符合度指标，确保实际进度与计划进度保持一致。这使我们能够快速发现和解决潜在的进度问题，保持高纯砷及氧化砷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纯砷及氧化砷项目绩效的不可或缺的一环。我们引入了一系列的质量标准和客户满意度指标，以确保高纯砷及氧化砷项目交付的成果在质量上达到或超越预期水平。通过持续监测这些指标，我们努力提升高纯砷及氧化砷项目整体质量水平，为高纯砷及氧化砷项目的成功交付提供有力保障。通过这些科学且全面的绩效评估，我们能够更好地引导高纯砷及氧化砷项目的持续改进，确保高纯砷及氧化砷项目目标的顺利达成。</w:t>
      </w:r>
    </w:p>
    <w:p>
      <w:pPr>
        <w:pStyle w:val="Heading2"/>
        <w:ind w:firstLine="560" w:firstLineChars="200"/>
        <w:rPr>
          <w:rFonts w:ascii="仿宋" w:eastAsia="仿宋" w:hAnsi="仿宋" w:cs="仿宋" w:hint="eastAsia"/>
          <w:sz w:val="28"/>
          <w:lang w:eastAsia="zh-CN"/>
        </w:rPr>
      </w:pPr>
      <w:bookmarkStart w:id="17" w:name="_Toc647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绩效评估是高纯砷及氧化砷项目中的关键环节，为确保高纯砷及氧化砷项目达到预期目标，我们采用了多层次、多维度的绩效评估方法。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纯砷及氧化砷项目的战略目标对齐，确保每个决策和行动都与高纯砷及氧化砷项目整体目标保持一致。团队会定期召开战略对齐会议，审视当前工作与高纯砷及氧化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纯砷及氧化砷项目进度、质量、成本和风险等方面。这些指标通过数据收集和分析，为高纯砷及氧化砷项目管理团队提供了客观的评估依据。例如，我们通过高纯砷及氧化砷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纯砷及氧化砷项目内部，还考虑了高纯砷及氧化砷项目对外部环境的影响。我们定期进行干系人满意度调查，以了解各利益相关方对高纯砷及氧化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这种多层次、多角度的绩效评估方法，使得我们能够全面了解高纯砷及氧化砷项目的运行状态，及时做出调整，确保高纯砷及氧化砷项目在不断变化的环境中保持稳健前行。</w:t>
      </w:r>
    </w:p>
    <w:p>
      <w:pPr>
        <w:pStyle w:val="Heading2"/>
        <w:ind w:firstLine="560" w:firstLineChars="200"/>
        <w:rPr>
          <w:rFonts w:ascii="仿宋" w:eastAsia="仿宋" w:hAnsi="仿宋" w:cs="仿宋" w:hint="eastAsia"/>
          <w:sz w:val="28"/>
          <w:lang w:eastAsia="zh-CN"/>
        </w:rPr>
      </w:pPr>
      <w:bookmarkStart w:id="18" w:name="_Toc32262"/>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为了确保高纯砷及氧化砷项目的有效管理和不断优化，我们采用了精心设计的绩效评估周期。这个周期旨在实现灵活、实时和全面的评估，以适应高纯砷及氧化砷项目执行中的各种挑战。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纯砷及氧化砷项目的不同需求，分为短期、中期和长期。短期评估关注每个迭代或工作周期，以及时发现和解决当前任务中的问题。中期评估涵盖几个迭代，深入了解整体高纯砷及氧化砷项目的趋势和性能。长期评估则着眼于整个高纯砷及氧化砷项目阶段，确保高纯砷及氧化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https://d.book118.com/326141024211010031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AC11AE"/>
    <w:rsid w:val="22AC11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141024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2024-01-03T11:35:00Z</dcterms:created>
  <dcterms:modified xsi:type="dcterms:W3CDTF">2024-01-03T11:35:19Z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6A57E15A58E9498C93A9E6C9BB3B1622_11</vt:lpwstr>
  </property>
  <property fmtid="{D5CDD505-2E9C-101B-9397-08002B2CF9AE}" pid="3" name="KSOProductBuildVer">
    <vt:lpwstr>2052-12.1.0.16120</vt:lpwstr>
  </property>
</Properties>
</file>