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pStyle w:val="TOC1"/>
        <w:tabs>
          <w:tab w:val="right" w:leader="hyphen" w:pos="8957"/>
        </w:tabs>
        <w:jc w:val="center"/>
        <w:rPr>
          <w:rFonts w:ascii="宋体" w:hAnsi="宋体" w:cs="宋体" w:hint="eastAsia"/>
          <w:b/>
          <w:sz w:val="24"/>
          <w:szCs w:val="24"/>
          <w:lang w:eastAsia="zh-CN"/>
        </w:rPr>
      </w:pPr>
      <w:r>
        <w:rPr>
          <w:rFonts w:ascii="黑体" w:eastAsia="黑体" w:hAnsi="黑体" w:cs="黑体" w:hint="eastAsia"/>
          <w:b w:val="0"/>
          <w:bCs/>
          <w:sz w:val="32"/>
          <w:szCs w:val="32"/>
          <w:lang w:eastAsia="zh-CN"/>
        </w:rPr>
        <w:t>目录</w:t>
      </w:r>
    </w:p>
    <w:p>
      <w:pPr>
        <w:pStyle w:val="TOC1"/>
        <w:tabs>
          <w:tab w:val="right" w:leader="hyphen" w:pos="8957"/>
        </w:tabs>
        <w:rPr>
          <w:rFonts w:ascii="宋体" w:eastAsia="宋体" w:hAnsi="宋体" w:cs="宋体" w:hint="eastAsia"/>
          <w:kern w:val="2"/>
          <w:sz w:val="24"/>
          <w:szCs w:val="24"/>
          <w:lang w:val="en-US" w:eastAsia="zh-CN" w:bidi="ar-SA"/>
        </w:rPr>
      </w:pPr>
      <w:r>
        <w:rPr>
          <w:rFonts w:ascii="宋体" w:eastAsia="宋体" w:hAnsi="宋体" w:cs="宋体" w:hint="eastAsia"/>
          <w:b/>
          <w:sz w:val="24"/>
          <w:szCs w:val="24"/>
        </w:rPr>
        <w:fldChar w:fldCharType="begin"/>
      </w:r>
      <w:r>
        <w:rPr>
          <w:rFonts w:ascii="宋体" w:eastAsia="宋体" w:hAnsi="宋体" w:cs="宋体" w:hint="eastAsia"/>
          <w:b/>
          <w:sz w:val="24"/>
          <w:szCs w:val="24"/>
        </w:rPr>
        <w:instrText xml:space="preserve">TOC \o "1-4" \h  \u </w:instrText>
      </w:r>
      <w:r>
        <w:rPr>
          <w:rFonts w:ascii="宋体" w:eastAsia="宋体" w:hAnsi="宋体" w:cs="宋体" w:hint="eastAsia"/>
          <w:b/>
          <w:sz w:val="24"/>
          <w:szCs w:val="24"/>
        </w:rPr>
        <w:fldChar w:fldCharType="separate"/>
      </w:r>
      <w:hyperlink w:anchor="_Toc27366" w:history="1">
        <w:r>
          <w:rPr>
            <w:rFonts w:ascii="黑体" w:eastAsia="黑体" w:hAnsi="黑体" w:cs="黑体" w:hint="eastAsia"/>
            <w:bCs w:val="0"/>
            <w:kern w:val="2"/>
            <w:sz w:val="28"/>
            <w:szCs w:val="28"/>
            <w:lang w:val="en-US" w:eastAsia="zh-CN" w:bidi="ar-SA"/>
          </w:rPr>
          <w:t>1.1概述</w:t>
        </w:r>
        <w:r>
          <w:rPr>
            <w:rFonts w:ascii="黑体" w:eastAsia="黑体" w:hAnsi="黑体" w:cs="黑体" w:hint="eastAsia"/>
            <w:kern w:val="2"/>
            <w:sz w:val="28"/>
            <w:szCs w:val="28"/>
            <w:lang w:val="en-US" w:eastAsia="zh-CN" w:bidi="ar-SA"/>
          </w:rPr>
          <w:fldChar w:fldCharType="begin"/>
        </w:r>
        <w:r>
          <w:rPr>
            <w:rFonts w:ascii="黑体" w:eastAsia="黑体" w:hAnsi="黑体" w:cs="黑体" w:hint="eastAsia"/>
            <w:kern w:val="2"/>
            <w:sz w:val="28"/>
            <w:szCs w:val="28"/>
            <w:lang w:val="en-US" w:eastAsia="zh-CN" w:bidi="ar-SA"/>
          </w:rPr>
          <w:instrText xml:space="preserve"> PAGEREF _Toc27366 </w:instrText>
        </w:r>
        <w:r>
          <w:rPr>
            <w:rFonts w:ascii="黑体" w:eastAsia="黑体" w:hAnsi="黑体" w:cs="黑体" w:hint="eastAsia"/>
            <w:kern w:val="2"/>
            <w:sz w:val="28"/>
            <w:szCs w:val="28"/>
            <w:lang w:val="en-US" w:eastAsia="zh-CN" w:bidi="ar-SA"/>
          </w:rPr>
          <w:fldChar w:fldCharType="separate"/>
        </w:r>
        <w:r>
          <w:rPr>
            <w:rFonts w:ascii="黑体" w:eastAsia="黑体" w:hAnsi="黑体" w:cs="黑体" w:hint="eastAsia"/>
            <w:kern w:val="2"/>
            <w:sz w:val="28"/>
            <w:szCs w:val="28"/>
            <w:lang w:val="en-US" w:eastAsia="zh-CN" w:bidi="ar-SA"/>
          </w:rPr>
          <w:t>1</w:t>
        </w:r>
        <w:r>
          <w:rPr>
            <w:rFonts w:ascii="黑体" w:eastAsia="黑体" w:hAnsi="黑体" w:cs="黑体" w:hint="eastAsia"/>
            <w:kern w:val="2"/>
            <w:sz w:val="28"/>
            <w:szCs w:val="28"/>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11679" w:history="1">
        <w:r>
          <w:rPr>
            <w:rFonts w:ascii="宋体" w:eastAsia="宋体" w:hAnsi="宋体" w:cs="宋体" w:hint="eastAsia"/>
            <w:bCs w:val="0"/>
            <w:kern w:val="2"/>
            <w:sz w:val="24"/>
            <w:szCs w:val="24"/>
            <w:lang w:val="en-US" w:eastAsia="zh-CN" w:bidi="ar-SA"/>
          </w:rPr>
          <w:t>1.2市场分析</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_Toc11679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20234" w:history="1">
        <w:r>
          <w:rPr>
            <w:rFonts w:ascii="宋体" w:eastAsia="宋体" w:hAnsi="宋体" w:cs="宋体" w:hint="eastAsia"/>
            <w:bCs/>
            <w:kern w:val="2"/>
            <w:sz w:val="24"/>
            <w:szCs w:val="24"/>
            <w:lang w:val="en-US" w:eastAsia="zh-CN" w:bidi="ar-SA"/>
          </w:rPr>
          <w:t>1.2.1对世界甲醇供需现状的分析</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_Toc20234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ind w:left="0" w:firstLine="0" w:leftChars="0" w:firstLineChars="0"/>
        <w:rPr>
          <w:rFonts w:ascii="宋体" w:eastAsia="宋体" w:hAnsi="宋体" w:cs="宋体" w:hint="eastAsia"/>
          <w:kern w:val="2"/>
          <w:sz w:val="24"/>
          <w:szCs w:val="24"/>
          <w:lang w:val="en-US" w:eastAsia="zh-CN" w:bidi="ar-SA"/>
        </w:rPr>
      </w:pPr>
      <w:hyperlink w:anchor="_Toc9596" w:history="1">
        <w:r>
          <w:rPr>
            <w:rFonts w:ascii="宋体" w:eastAsia="宋体" w:hAnsi="宋体" w:cs="宋体" w:hint="eastAsia"/>
            <w:bCs/>
            <w:kern w:val="2"/>
            <w:sz w:val="24"/>
            <w:szCs w:val="24"/>
            <w:lang w:val="en-US" w:eastAsia="zh-CN" w:bidi="ar-SA"/>
          </w:rPr>
          <w:t>1.2.2 我国甲醇开展预测</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_Toc9596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3</w:t>
        </w:r>
        <w:r>
          <w:rPr>
            <w:rFonts w:ascii="宋体" w:eastAsia="宋体" w:hAnsi="宋体" w:cs="宋体" w:hint="eastAsia"/>
            <w:kern w:val="2"/>
            <w:sz w:val="24"/>
            <w:szCs w:val="24"/>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17866" w:history="1">
        <w:r>
          <w:rPr>
            <w:rFonts w:ascii="黑体" w:eastAsia="黑体" w:hAnsi="黑体" w:cs="黑体" w:hint="eastAsia"/>
            <w:bCs w:val="0"/>
            <w:kern w:val="2"/>
            <w:sz w:val="28"/>
            <w:szCs w:val="28"/>
            <w:lang w:val="en-US" w:eastAsia="zh-CN" w:bidi="ar-SA"/>
          </w:rPr>
          <w:t>第二章 工艺流程设计</w:t>
        </w:r>
        <w:r>
          <w:rPr>
            <w:rFonts w:ascii="黑体" w:eastAsia="黑体" w:hAnsi="黑体" w:cs="黑体" w:hint="eastAsia"/>
            <w:kern w:val="2"/>
            <w:sz w:val="28"/>
            <w:szCs w:val="28"/>
            <w:lang w:val="en-US" w:eastAsia="zh-CN" w:bidi="ar-SA"/>
          </w:rPr>
          <w:fldChar w:fldCharType="begin"/>
        </w:r>
        <w:r>
          <w:rPr>
            <w:rFonts w:ascii="黑体" w:eastAsia="黑体" w:hAnsi="黑体" w:cs="黑体" w:hint="eastAsia"/>
            <w:kern w:val="2"/>
            <w:sz w:val="28"/>
            <w:szCs w:val="28"/>
            <w:lang w:val="en-US" w:eastAsia="zh-CN" w:bidi="ar-SA"/>
          </w:rPr>
          <w:instrText xml:space="preserve"> PAGEREF _Toc17866 </w:instrText>
        </w:r>
        <w:r>
          <w:rPr>
            <w:rFonts w:ascii="黑体" w:eastAsia="黑体" w:hAnsi="黑体" w:cs="黑体" w:hint="eastAsia"/>
            <w:kern w:val="2"/>
            <w:sz w:val="28"/>
            <w:szCs w:val="28"/>
            <w:lang w:val="en-US" w:eastAsia="zh-CN" w:bidi="ar-SA"/>
          </w:rPr>
          <w:fldChar w:fldCharType="separate"/>
        </w:r>
        <w:r>
          <w:rPr>
            <w:rFonts w:ascii="黑体" w:eastAsia="黑体" w:hAnsi="黑体" w:cs="黑体" w:hint="eastAsia"/>
            <w:kern w:val="2"/>
            <w:sz w:val="28"/>
            <w:szCs w:val="28"/>
            <w:lang w:val="en-US" w:eastAsia="zh-CN" w:bidi="ar-SA"/>
          </w:rPr>
          <w:t>6</w:t>
        </w:r>
        <w:r>
          <w:rPr>
            <w:rFonts w:ascii="黑体" w:eastAsia="黑体" w:hAnsi="黑体" w:cs="黑体" w:hint="eastAsia"/>
            <w:kern w:val="2"/>
            <w:sz w:val="28"/>
            <w:szCs w:val="28"/>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7113" w:history="1">
        <w:r>
          <w:rPr>
            <w:rFonts w:ascii="宋体" w:eastAsia="宋体" w:hAnsi="宋体" w:cs="宋体" w:hint="eastAsia"/>
            <w:bCs w:val="0"/>
            <w:kern w:val="2"/>
            <w:sz w:val="24"/>
            <w:szCs w:val="24"/>
            <w:lang w:val="en-US" w:eastAsia="zh-CN" w:bidi="ar-SA"/>
          </w:rPr>
          <w:t>2.1生产方法</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_Toc7113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6</w:t>
        </w:r>
        <w:r>
          <w:rPr>
            <w:rFonts w:ascii="宋体" w:eastAsia="宋体" w:hAnsi="宋体" w:cs="宋体" w:hint="eastAsia"/>
            <w:kern w:val="2"/>
            <w:sz w:val="24"/>
            <w:szCs w:val="24"/>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3669" w:history="1">
        <w:r>
          <w:rPr>
            <w:rFonts w:ascii="宋体" w:eastAsia="宋体" w:hAnsi="宋体" w:cs="宋体" w:hint="eastAsia"/>
            <w:bCs w:val="0"/>
            <w:kern w:val="2"/>
            <w:sz w:val="24"/>
            <w:szCs w:val="24"/>
            <w:lang w:val="en-US" w:eastAsia="zh-CN" w:bidi="ar-SA"/>
          </w:rPr>
          <w:t>2.2 工艺流程化</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_Toc3669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9</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14330" w:history="1">
        <w:r>
          <w:rPr>
            <w:rFonts w:ascii="宋体" w:eastAsia="宋体" w:hAnsi="宋体" w:cs="宋体" w:hint="eastAsia"/>
            <w:bCs/>
            <w:kern w:val="2"/>
            <w:sz w:val="24"/>
            <w:szCs w:val="24"/>
            <w:lang w:val="en-US" w:eastAsia="zh-CN" w:bidi="ar-SA"/>
          </w:rPr>
          <w:t>2.2.1反响工段</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_Toc14330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9</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9756" w:history="1">
        <w:r>
          <w:rPr>
            <w:rFonts w:ascii="宋体" w:eastAsia="宋体" w:hAnsi="宋体" w:cs="宋体" w:hint="eastAsia"/>
            <w:bCs/>
            <w:kern w:val="2"/>
            <w:sz w:val="24"/>
            <w:szCs w:val="24"/>
            <w:lang w:val="en-US" w:eastAsia="zh-CN" w:bidi="ar-SA"/>
          </w:rPr>
          <w:t>2.2.2原料预处理</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_Toc9756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13</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ind w:left="0" w:firstLine="0" w:leftChars="0" w:firstLineChars="0"/>
        <w:rPr>
          <w:rFonts w:ascii="宋体" w:eastAsia="宋体" w:hAnsi="宋体" w:cs="宋体" w:hint="eastAsia"/>
          <w:kern w:val="2"/>
          <w:sz w:val="24"/>
          <w:szCs w:val="24"/>
          <w:lang w:val="en-US" w:eastAsia="zh-CN" w:bidi="ar-SA"/>
        </w:rPr>
      </w:pPr>
      <w:hyperlink w:anchor="_Toc27551" w:history="1">
        <w:r>
          <w:rPr>
            <w:rFonts w:ascii="宋体" w:eastAsia="宋体" w:hAnsi="宋体" w:cs="宋体" w:hint="eastAsia"/>
            <w:bCs/>
            <w:kern w:val="2"/>
            <w:sz w:val="24"/>
            <w:szCs w:val="24"/>
            <w:lang w:val="en-US" w:eastAsia="zh-CN" w:bidi="ar-SA"/>
          </w:rPr>
          <w:t>2.2.3产品后处理</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_Toc27551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13</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ind w:left="0" w:firstLine="0" w:leftChars="0" w:firstLineChars="0"/>
        <w:rPr>
          <w:rFonts w:ascii="宋体" w:eastAsia="宋体" w:hAnsi="宋体" w:cs="宋体" w:hint="eastAsia"/>
          <w:kern w:val="2"/>
          <w:sz w:val="24"/>
          <w:szCs w:val="24"/>
          <w:lang w:val="en-US" w:eastAsia="zh-CN" w:bidi="ar-SA"/>
        </w:rPr>
      </w:pPr>
      <w:hyperlink w:anchor="_Toc10561" w:history="1">
        <w:r>
          <w:rPr>
            <w:rFonts w:ascii="宋体" w:eastAsia="宋体" w:hAnsi="宋体" w:cs="宋体" w:hint="eastAsia"/>
            <w:bCs/>
            <w:kern w:val="2"/>
            <w:sz w:val="24"/>
            <w:szCs w:val="24"/>
            <w:lang w:val="en-US" w:eastAsia="zh-CN" w:bidi="ar-SA"/>
          </w:rPr>
          <w:t>2.2.4废物回收或处理</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_Toc10561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14</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ind w:left="0" w:firstLine="0" w:leftChars="0" w:firstLineChars="0"/>
        <w:rPr>
          <w:rFonts w:ascii="宋体" w:eastAsia="宋体" w:hAnsi="宋体" w:cs="宋体" w:hint="eastAsia"/>
          <w:kern w:val="2"/>
          <w:sz w:val="24"/>
          <w:szCs w:val="24"/>
          <w:lang w:val="en-US" w:eastAsia="zh-CN" w:bidi="ar-SA"/>
        </w:rPr>
      </w:pPr>
      <w:hyperlink w:anchor="_Toc31471" w:history="1">
        <w:r>
          <w:rPr>
            <w:rFonts w:ascii="宋体" w:eastAsia="宋体" w:hAnsi="宋体" w:cs="宋体" w:hint="eastAsia"/>
            <w:bCs/>
            <w:kern w:val="2"/>
            <w:sz w:val="24"/>
            <w:szCs w:val="24"/>
            <w:lang w:val="en-US" w:eastAsia="zh-CN" w:bidi="ar-SA"/>
          </w:rPr>
          <w:t>2.2.5流程简述</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_Toc31471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23</w:t>
        </w:r>
        <w:r>
          <w:rPr>
            <w:rFonts w:ascii="宋体" w:eastAsia="宋体" w:hAnsi="宋体" w:cs="宋体" w:hint="eastAsia"/>
            <w:kern w:val="2"/>
            <w:sz w:val="24"/>
            <w:szCs w:val="24"/>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10666" w:history="1">
        <w:r>
          <w:rPr>
            <w:rFonts w:ascii="黑体" w:eastAsia="黑体" w:hAnsi="黑体" w:cs="黑体" w:hint="eastAsia"/>
            <w:bCs w:val="0"/>
            <w:i w:val="0"/>
            <w:iCs w:val="0"/>
            <w:kern w:val="2"/>
            <w:sz w:val="28"/>
            <w:szCs w:val="28"/>
            <w:lang w:val="en-US" w:eastAsia="zh-CN" w:bidi="ar-SA"/>
          </w:rPr>
          <w:t>第三章 设备平面布置图</w:t>
        </w:r>
        <w:r>
          <w:rPr>
            <w:rFonts w:ascii="黑体" w:eastAsia="黑体" w:hAnsi="黑体" w:cs="黑体" w:hint="eastAsia"/>
            <w:kern w:val="2"/>
            <w:sz w:val="28"/>
            <w:szCs w:val="28"/>
            <w:lang w:val="en-US" w:eastAsia="zh-CN" w:bidi="ar-SA"/>
          </w:rPr>
          <w:fldChar w:fldCharType="begin"/>
        </w:r>
        <w:r>
          <w:rPr>
            <w:rFonts w:ascii="黑体" w:eastAsia="黑体" w:hAnsi="黑体" w:cs="黑体" w:hint="eastAsia"/>
            <w:kern w:val="2"/>
            <w:sz w:val="28"/>
            <w:szCs w:val="28"/>
            <w:lang w:val="en-US" w:eastAsia="zh-CN" w:bidi="ar-SA"/>
          </w:rPr>
          <w:instrText xml:space="preserve"> PAGEREF _Toc10666 </w:instrText>
        </w:r>
        <w:r>
          <w:rPr>
            <w:rFonts w:ascii="黑体" w:eastAsia="黑体" w:hAnsi="黑体" w:cs="黑体" w:hint="eastAsia"/>
            <w:kern w:val="2"/>
            <w:sz w:val="28"/>
            <w:szCs w:val="28"/>
            <w:lang w:val="en-US" w:eastAsia="zh-CN" w:bidi="ar-SA"/>
          </w:rPr>
          <w:fldChar w:fldCharType="separate"/>
        </w:r>
        <w:r>
          <w:rPr>
            <w:rFonts w:ascii="黑体" w:eastAsia="黑体" w:hAnsi="黑体" w:cs="黑体" w:hint="eastAsia"/>
            <w:kern w:val="2"/>
            <w:sz w:val="28"/>
            <w:szCs w:val="28"/>
            <w:lang w:val="en-US" w:eastAsia="zh-CN" w:bidi="ar-SA"/>
          </w:rPr>
          <w:t>24</w:t>
        </w:r>
        <w:r>
          <w:rPr>
            <w:rFonts w:ascii="黑体" w:eastAsia="黑体" w:hAnsi="黑体" w:cs="黑体" w:hint="eastAsia"/>
            <w:kern w:val="2"/>
            <w:sz w:val="28"/>
            <w:szCs w:val="28"/>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10179" w:history="1">
        <w:r>
          <w:rPr>
            <w:rFonts w:ascii="宋体" w:eastAsia="宋体" w:hAnsi="宋体" w:cs="宋体" w:hint="eastAsia"/>
            <w:bCs w:val="0"/>
            <w:kern w:val="2"/>
            <w:sz w:val="24"/>
            <w:szCs w:val="24"/>
            <w:lang w:val="en-US" w:eastAsia="zh-CN" w:bidi="ar-SA"/>
          </w:rPr>
          <w:t>3.1设备布置概述</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_Toc10179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24</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9290" w:history="1">
        <w:r>
          <w:rPr>
            <w:rFonts w:ascii="宋体" w:eastAsia="宋体" w:hAnsi="宋体" w:cs="宋体" w:hint="eastAsia"/>
            <w:bCs/>
            <w:kern w:val="2"/>
            <w:sz w:val="24"/>
            <w:szCs w:val="24"/>
            <w:lang w:val="en-US" w:eastAsia="zh-CN" w:bidi="ar-SA"/>
          </w:rPr>
          <w:t>3.1.1设备布置原那么</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_Toc9290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24</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18732" w:history="1">
        <w:r>
          <w:rPr>
            <w:rFonts w:ascii="宋体" w:eastAsia="宋体" w:hAnsi="宋体" w:cs="宋体" w:hint="eastAsia"/>
            <w:bCs/>
            <w:kern w:val="2"/>
            <w:sz w:val="24"/>
            <w:szCs w:val="24"/>
            <w:lang w:val="en-US" w:eastAsia="zh-CN" w:bidi="ar-SA"/>
          </w:rPr>
          <w:t>3.1.2设备布置内容</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_Toc18732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25</w:t>
        </w:r>
        <w:r>
          <w:rPr>
            <w:rFonts w:ascii="宋体" w:eastAsia="宋体" w:hAnsi="宋体" w:cs="宋体" w:hint="eastAsia"/>
            <w:kern w:val="2"/>
            <w:sz w:val="24"/>
            <w:szCs w:val="24"/>
            <w:lang w:val="en-US" w:eastAsia="zh-CN" w:bidi="ar-SA"/>
          </w:rPr>
          <w:fldChar w:fldCharType="end"/>
        </w:r>
      </w:hyperlink>
    </w:p>
    <w:p>
      <w:pPr>
        <w:pStyle w:val="TOC2"/>
        <w:tabs>
          <w:tab w:val="right" w:leader="hyphen" w:pos="8957"/>
        </w:tabs>
        <w:rPr>
          <w:rFonts w:ascii="宋体" w:eastAsia="宋体" w:hAnsi="宋体" w:cs="宋体" w:hint="eastAsia"/>
          <w:kern w:val="2"/>
          <w:sz w:val="24"/>
          <w:szCs w:val="24"/>
          <w:lang w:val="en-US" w:eastAsia="zh-CN" w:bidi="ar-SA"/>
        </w:rPr>
      </w:pPr>
      <w:hyperlink w:anchor="_Toc20051" w:history="1">
        <w:r>
          <w:rPr>
            <w:rFonts w:ascii="宋体" w:eastAsia="宋体" w:hAnsi="宋体" w:cs="宋体" w:hint="eastAsia"/>
            <w:bCs/>
            <w:kern w:val="2"/>
            <w:sz w:val="24"/>
            <w:szCs w:val="24"/>
            <w:lang w:val="en-US" w:eastAsia="zh-CN" w:bidi="ar-SA"/>
          </w:rPr>
          <w:t>3.1.3设备布置考前须知</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_Toc20051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25</w:t>
        </w:r>
        <w:r>
          <w:rPr>
            <w:rFonts w:ascii="宋体" w:eastAsia="宋体" w:hAnsi="宋体" w:cs="宋体" w:hint="eastAsia"/>
            <w:kern w:val="2"/>
            <w:sz w:val="24"/>
            <w:szCs w:val="24"/>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23022" w:history="1">
        <w:r>
          <w:rPr>
            <w:rFonts w:ascii="宋体" w:eastAsia="宋体" w:hAnsi="宋体" w:cs="宋体" w:hint="eastAsia"/>
            <w:bCs w:val="0"/>
            <w:kern w:val="2"/>
            <w:sz w:val="24"/>
            <w:szCs w:val="24"/>
            <w:lang w:val="en-US" w:eastAsia="zh-CN" w:bidi="ar-SA"/>
          </w:rPr>
          <w:t>3.2主要设备一览表</w:t>
        </w:r>
        <w:r>
          <w:rPr>
            <w:rFonts w:ascii="宋体" w:eastAsia="宋体" w:hAnsi="宋体" w:cs="宋体" w:hint="eastAsia"/>
            <w:kern w:val="2"/>
            <w:sz w:val="24"/>
            <w:szCs w:val="24"/>
            <w:lang w:val="en-US" w:eastAsia="zh-CN" w:bidi="ar-SA"/>
          </w:rPr>
          <w:fldChar w:fldCharType="begin"/>
        </w:r>
        <w:r>
          <w:rPr>
            <w:rFonts w:ascii="宋体" w:eastAsia="宋体" w:hAnsi="宋体" w:cs="宋体" w:hint="eastAsia"/>
            <w:kern w:val="2"/>
            <w:sz w:val="24"/>
            <w:szCs w:val="24"/>
            <w:lang w:val="en-US" w:eastAsia="zh-CN" w:bidi="ar-SA"/>
          </w:rPr>
          <w:instrText xml:space="preserve"> PAGEREF _Toc23022 </w:instrText>
        </w:r>
        <w:r>
          <w:rPr>
            <w:rFonts w:ascii="宋体" w:eastAsia="宋体" w:hAnsi="宋体" w:cs="宋体" w:hint="eastAsia"/>
            <w:kern w:val="2"/>
            <w:sz w:val="24"/>
            <w:szCs w:val="24"/>
            <w:lang w:val="en-US" w:eastAsia="zh-CN" w:bidi="ar-SA"/>
          </w:rPr>
          <w:fldChar w:fldCharType="separate"/>
        </w:r>
        <w:r>
          <w:rPr>
            <w:rFonts w:ascii="宋体" w:eastAsia="宋体" w:hAnsi="宋体" w:cs="宋体" w:hint="eastAsia"/>
            <w:kern w:val="2"/>
            <w:sz w:val="24"/>
            <w:szCs w:val="24"/>
            <w:lang w:val="en-US" w:eastAsia="zh-CN" w:bidi="ar-SA"/>
          </w:rPr>
          <w:t>27</w:t>
        </w:r>
        <w:r>
          <w:rPr>
            <w:rFonts w:ascii="宋体" w:eastAsia="宋体" w:hAnsi="宋体" w:cs="宋体" w:hint="eastAsia"/>
            <w:kern w:val="2"/>
            <w:sz w:val="24"/>
            <w:szCs w:val="24"/>
            <w:lang w:val="en-US" w:eastAsia="zh-CN" w:bidi="ar-SA"/>
          </w:rPr>
          <w:fldChar w:fldCharType="end"/>
        </w:r>
      </w:hyperlink>
    </w:p>
    <w:p>
      <w:pPr>
        <w:pStyle w:val="TOC1"/>
        <w:tabs>
          <w:tab w:val="right" w:leader="hyphen" w:pos="8957"/>
        </w:tabs>
        <w:rPr>
          <w:rFonts w:ascii="黑体" w:eastAsia="黑体" w:hAnsi="黑体" w:cs="黑体" w:hint="eastAsia"/>
          <w:kern w:val="2"/>
          <w:sz w:val="28"/>
          <w:szCs w:val="28"/>
          <w:lang w:val="en-US" w:eastAsia="zh-CN" w:bidi="ar-SA"/>
        </w:rPr>
      </w:pPr>
      <w:hyperlink w:anchor="_Toc17054" w:history="1">
        <w:r>
          <w:rPr>
            <w:rFonts w:ascii="黑体" w:eastAsia="黑体" w:hAnsi="黑体" w:cs="黑体" w:hint="eastAsia"/>
            <w:bCs w:val="0"/>
            <w:kern w:val="2"/>
            <w:sz w:val="28"/>
            <w:szCs w:val="28"/>
            <w:lang w:val="en-US" w:eastAsia="zh-CN" w:bidi="ar-SA"/>
          </w:rPr>
          <w:t>致  谢</w:t>
        </w:r>
        <w:r>
          <w:rPr>
            <w:rFonts w:ascii="黑体" w:eastAsia="黑体" w:hAnsi="黑体" w:cs="黑体" w:hint="eastAsia"/>
            <w:kern w:val="2"/>
            <w:sz w:val="28"/>
            <w:szCs w:val="28"/>
            <w:lang w:val="en-US" w:eastAsia="zh-CN" w:bidi="ar-SA"/>
          </w:rPr>
          <w:fldChar w:fldCharType="begin"/>
        </w:r>
        <w:r>
          <w:rPr>
            <w:rFonts w:ascii="黑体" w:eastAsia="黑体" w:hAnsi="黑体" w:cs="黑体" w:hint="eastAsia"/>
            <w:kern w:val="2"/>
            <w:sz w:val="28"/>
            <w:szCs w:val="28"/>
            <w:lang w:val="en-US" w:eastAsia="zh-CN" w:bidi="ar-SA"/>
          </w:rPr>
          <w:instrText xml:space="preserve"> PAGEREF _Toc17054 </w:instrText>
        </w:r>
        <w:r>
          <w:rPr>
            <w:rFonts w:ascii="黑体" w:eastAsia="黑体" w:hAnsi="黑体" w:cs="黑体" w:hint="eastAsia"/>
            <w:kern w:val="2"/>
            <w:sz w:val="28"/>
            <w:szCs w:val="28"/>
            <w:lang w:val="en-US" w:eastAsia="zh-CN" w:bidi="ar-SA"/>
          </w:rPr>
          <w:fldChar w:fldCharType="separate"/>
        </w:r>
        <w:r>
          <w:rPr>
            <w:rFonts w:ascii="黑体" w:eastAsia="黑体" w:hAnsi="黑体" w:cs="黑体" w:hint="eastAsia"/>
            <w:kern w:val="2"/>
            <w:sz w:val="28"/>
            <w:szCs w:val="28"/>
            <w:lang w:val="en-US" w:eastAsia="zh-CN" w:bidi="ar-SA"/>
          </w:rPr>
          <w:t>28</w:t>
        </w:r>
        <w:r>
          <w:rPr>
            <w:rFonts w:ascii="黑体" w:eastAsia="黑体" w:hAnsi="黑体" w:cs="黑体" w:hint="eastAsia"/>
            <w:kern w:val="2"/>
            <w:sz w:val="28"/>
            <w:szCs w:val="28"/>
            <w:lang w:val="en-US" w:eastAsia="zh-CN" w:bidi="ar-SA"/>
          </w:rPr>
          <w:fldChar w:fldCharType="end"/>
        </w:r>
      </w:hyperlink>
    </w:p>
    <w:p>
      <w:pPr>
        <w:pStyle w:val="TOC1"/>
        <w:tabs>
          <w:tab w:val="right" w:leader="hyphen" w:pos="8957"/>
        </w:tabs>
        <w:rPr>
          <w:rFonts w:ascii="宋体" w:eastAsia="宋体" w:hAnsi="宋体" w:cs="宋体" w:hint="eastAsia"/>
          <w:kern w:val="2"/>
          <w:sz w:val="24"/>
          <w:szCs w:val="24"/>
          <w:lang w:val="en-US" w:eastAsia="zh-CN" w:bidi="ar-SA"/>
        </w:rPr>
      </w:pPr>
      <w:hyperlink w:anchor="_Toc4088" w:history="1">
        <w:r>
          <w:rPr>
            <w:rFonts w:ascii="黑体" w:eastAsia="黑体" w:hAnsi="黑体" w:cs="黑体" w:hint="eastAsia"/>
            <w:bCs w:val="0"/>
            <w:kern w:val="2"/>
            <w:sz w:val="28"/>
            <w:szCs w:val="28"/>
            <w:lang w:val="en-US" w:eastAsia="zh-CN" w:bidi="ar-SA"/>
          </w:rPr>
          <w:t>参考文献</w:t>
        </w:r>
        <w:r>
          <w:rPr>
            <w:rFonts w:ascii="黑体" w:eastAsia="黑体" w:hAnsi="黑体" w:cs="黑体" w:hint="eastAsia"/>
            <w:kern w:val="2"/>
            <w:sz w:val="28"/>
            <w:szCs w:val="28"/>
            <w:lang w:val="en-US" w:eastAsia="zh-CN" w:bidi="ar-SA"/>
          </w:rPr>
          <w:fldChar w:fldCharType="begin"/>
        </w:r>
        <w:r>
          <w:rPr>
            <w:rFonts w:ascii="黑体" w:eastAsia="黑体" w:hAnsi="黑体" w:cs="黑体" w:hint="eastAsia"/>
            <w:kern w:val="2"/>
            <w:sz w:val="28"/>
            <w:szCs w:val="28"/>
            <w:lang w:val="en-US" w:eastAsia="zh-CN" w:bidi="ar-SA"/>
          </w:rPr>
          <w:instrText xml:space="preserve"> PAGEREF _Toc4088 </w:instrText>
        </w:r>
        <w:r>
          <w:rPr>
            <w:rFonts w:ascii="黑体" w:eastAsia="黑体" w:hAnsi="黑体" w:cs="黑体" w:hint="eastAsia"/>
            <w:kern w:val="2"/>
            <w:sz w:val="28"/>
            <w:szCs w:val="28"/>
            <w:lang w:val="en-US" w:eastAsia="zh-CN" w:bidi="ar-SA"/>
          </w:rPr>
          <w:fldChar w:fldCharType="separate"/>
        </w:r>
        <w:r>
          <w:rPr>
            <w:rFonts w:ascii="黑体" w:eastAsia="黑体" w:hAnsi="黑体" w:cs="黑体" w:hint="eastAsia"/>
            <w:kern w:val="2"/>
            <w:sz w:val="28"/>
            <w:szCs w:val="28"/>
            <w:lang w:val="en-US" w:eastAsia="zh-CN" w:bidi="ar-SA"/>
          </w:rPr>
          <w:t>29</w:t>
        </w:r>
        <w:r>
          <w:rPr>
            <w:rFonts w:ascii="黑体" w:eastAsia="黑体" w:hAnsi="黑体" w:cs="黑体" w:hint="eastAsia"/>
            <w:kern w:val="2"/>
            <w:sz w:val="28"/>
            <w:szCs w:val="28"/>
            <w:lang w:val="en-US" w:eastAsia="zh-CN" w:bidi="ar-SA"/>
          </w:rPr>
          <w:fldChar w:fldCharType="end"/>
        </w:r>
      </w:hyperlink>
    </w:p>
    <w:p>
      <w:pPr>
        <w:rPr>
          <w:rFonts w:ascii="宋体" w:hAnsi="宋体" w:hint="eastAsia"/>
          <w:b/>
          <w:sz w:val="24"/>
        </w:rPr>
        <w:sectPr>
          <w:type w:val="nextPage"/>
          <w:pgSz w:w="11906" w:h="16838"/>
          <w:pgMar w:top="1162" w:right="1270" w:bottom="1162" w:left="1230" w:header="851" w:footer="992" w:gutter="0"/>
          <w:pgNumType w:fmt="upperRoman"/>
          <w:cols w:space="708"/>
          <w:docGrid w:type="lines" w:linePitch="312"/>
        </w:sectPr>
      </w:pPr>
      <w:r>
        <w:rPr>
          <w:rFonts w:ascii="宋体" w:eastAsia="宋体" w:hAnsi="宋体" w:cs="宋体" w:hint="eastAsia"/>
          <w:kern w:val="2"/>
          <w:sz w:val="24"/>
          <w:szCs w:val="24"/>
          <w:lang w:val="en-US" w:eastAsia="zh-CN" w:bidi="ar-SA"/>
        </w:rPr>
        <w:fldChar w:fldCharType="end"/>
      </w:r>
    </w:p>
    <w:p>
      <w:pPr>
        <w:jc w:val="center"/>
        <w:rPr>
          <w:rFonts w:ascii="黑体" w:eastAsia="黑体" w:hAnsi="黑体" w:cs="黑体" w:hint="eastAsia"/>
          <w:sz w:val="32"/>
          <w:szCs w:val="32"/>
        </w:rPr>
      </w:pPr>
      <w:r>
        <w:rPr>
          <w:rFonts w:ascii="黑体" w:eastAsia="黑体" w:hAnsi="黑体" w:cs="黑体" w:hint="eastAsia"/>
          <w:sz w:val="32"/>
          <w:szCs w:val="32"/>
        </w:rPr>
        <w:t>第一章 总论</w:t>
      </w:r>
    </w:p>
    <w:p>
      <w:pPr>
        <w:pStyle w:val="Heading1"/>
        <w:rPr>
          <w:rFonts w:hint="eastAsia"/>
          <w:b w:val="0"/>
          <w:bCs w:val="0"/>
        </w:rPr>
      </w:pPr>
      <w:bookmarkStart w:id="0" w:name="_Toc20353"/>
      <w:bookmarkStart w:id="1" w:name="_Toc32579"/>
      <w:bookmarkStart w:id="2" w:name="_Toc27366"/>
      <w:r>
        <w:rPr>
          <w:rFonts w:hint="eastAsia"/>
          <w:b w:val="0"/>
          <w:bCs w:val="0"/>
        </w:rPr>
        <w:t>1.1概述</w:t>
      </w:r>
      <w:bookmarkEnd w:id="0"/>
      <w:bookmarkEnd w:id="1"/>
      <w:bookmarkEnd w:id="2"/>
    </w:p>
    <w:p>
      <w:pPr>
        <w:spacing w:line="360" w:lineRule="auto"/>
        <w:ind w:firstLine="480" w:firstLineChars="200"/>
        <w:rPr>
          <w:rFonts w:ascii="宋体" w:hAnsi="宋体" w:hint="eastAsia"/>
          <w:color w:val="000000"/>
          <w:sz w:val="24"/>
        </w:rPr>
      </w:pPr>
      <w:r>
        <w:rPr>
          <w:rFonts w:ascii="宋体" w:hAnsi="宋体" w:cs="宋体" w:hint="eastAsia"/>
          <w:color w:val="000000"/>
          <w:kern w:val="0"/>
          <w:sz w:val="24"/>
        </w:rPr>
        <w:t>甲醇俗称木醇、木精，</w:t>
      </w:r>
      <w:r>
        <w:rPr>
          <w:rFonts w:ascii="宋体" w:hAnsi="宋体" w:hint="eastAsia"/>
          <w:color w:val="000000"/>
          <w:sz w:val="24"/>
        </w:rPr>
        <w:t>英文名为methanol，分子式CH</w:t>
      </w:r>
      <w:r>
        <w:rPr>
          <w:rFonts w:ascii="宋体" w:hAnsi="宋体" w:hint="eastAsia"/>
          <w:color w:val="000000"/>
          <w:sz w:val="24"/>
          <w:vertAlign w:val="subscript"/>
        </w:rPr>
        <w:t>3</w:t>
      </w:r>
      <w:r>
        <w:rPr>
          <w:rFonts w:ascii="宋体" w:hAnsi="宋体" w:hint="eastAsia"/>
          <w:color w:val="000000"/>
          <w:sz w:val="24"/>
        </w:rPr>
        <w:t>OH。是一种无色、透明、易燃、有毒、易挥发的液体，略带酒精味；</w:t>
      </w:r>
      <w:r>
        <w:rPr>
          <w:rFonts w:ascii="宋体" w:hAnsi="宋体"/>
          <w:color w:val="000000"/>
          <w:sz w:val="24"/>
        </w:rPr>
        <w:t>分子量32.04</w:t>
      </w:r>
      <w:r>
        <w:rPr>
          <w:rFonts w:ascii="宋体" w:hAnsi="宋体" w:hint="eastAsia"/>
          <w:color w:val="000000"/>
          <w:sz w:val="24"/>
        </w:rPr>
        <w:t>，相对密度0.7914(d</w:t>
      </w:r>
      <w:r>
        <w:rPr>
          <w:rFonts w:ascii="宋体" w:hAnsi="宋体" w:hint="eastAsia"/>
          <w:color w:val="000000"/>
          <w:sz w:val="24"/>
          <w:vertAlign w:val="subscript"/>
        </w:rPr>
        <w:t>4</w:t>
      </w:r>
      <w:r>
        <w:rPr>
          <w:rFonts w:ascii="宋体" w:hAnsi="宋体" w:hint="eastAsia"/>
          <w:color w:val="000000"/>
          <w:sz w:val="24"/>
          <w:vertAlign w:val="superscript"/>
        </w:rPr>
        <w:t>20</w:t>
      </w:r>
      <w:r>
        <w:rPr>
          <w:rFonts w:ascii="宋体" w:hAnsi="宋体" w:hint="eastAsia"/>
          <w:color w:val="000000"/>
          <w:sz w:val="24"/>
        </w:rPr>
        <w:t>)，蒸气相对密度1.11(空气=1)，熔点-97.8</w:t>
      </w:r>
      <w:r>
        <w:rPr>
          <w:rFonts w:ascii="宋体" w:hAnsi="宋体" w:hint="eastAsia"/>
          <w:color w:val="000000"/>
          <w:sz w:val="24"/>
        </w:rPr>
        <w:t>℃</w:t>
      </w:r>
      <w:r>
        <w:rPr>
          <w:rFonts w:ascii="宋体" w:hAnsi="宋体" w:hint="eastAsia"/>
          <w:color w:val="000000"/>
          <w:sz w:val="24"/>
        </w:rPr>
        <w:t>，沸点64.7</w:t>
      </w:r>
      <w:r>
        <w:rPr>
          <w:rFonts w:ascii="宋体" w:hAnsi="宋体" w:hint="eastAsia"/>
          <w:color w:val="000000"/>
          <w:sz w:val="24"/>
        </w:rPr>
        <w:t>℃</w:t>
      </w:r>
      <w:r>
        <w:rPr>
          <w:rFonts w:ascii="宋体" w:hAnsi="宋体" w:hint="eastAsia"/>
          <w:color w:val="000000"/>
          <w:sz w:val="24"/>
        </w:rPr>
        <w:t>，闪点〔开杯〕16</w:t>
      </w:r>
      <w:r>
        <w:rPr>
          <w:rFonts w:ascii="宋体" w:hAnsi="宋体" w:hint="eastAsia"/>
          <w:color w:val="000000"/>
          <w:sz w:val="24"/>
        </w:rPr>
        <w:t>℃</w:t>
      </w:r>
      <w:r>
        <w:rPr>
          <w:rFonts w:ascii="宋体" w:hAnsi="宋体" w:hint="eastAsia"/>
          <w:color w:val="000000"/>
          <w:sz w:val="24"/>
        </w:rPr>
        <w:t>，自燃点473</w:t>
      </w:r>
      <w:r>
        <w:rPr>
          <w:rFonts w:ascii="宋体" w:hAnsi="宋体" w:hint="eastAsia"/>
          <w:color w:val="000000"/>
          <w:sz w:val="24"/>
        </w:rPr>
        <w:t>℃</w:t>
      </w:r>
      <w:r>
        <w:rPr>
          <w:rFonts w:ascii="宋体" w:hAnsi="宋体" w:hint="eastAsia"/>
          <w:color w:val="000000"/>
          <w:sz w:val="24"/>
        </w:rPr>
        <w:t>，折射率(20</w:t>
      </w:r>
      <w:r>
        <w:rPr>
          <w:rFonts w:ascii="宋体" w:hAnsi="宋体" w:hint="eastAsia"/>
          <w:color w:val="000000"/>
          <w:sz w:val="24"/>
        </w:rPr>
        <w:t>℃</w:t>
      </w:r>
      <w:r>
        <w:rPr>
          <w:rFonts w:ascii="宋体" w:hAnsi="宋体" w:hint="eastAsia"/>
          <w:color w:val="000000"/>
          <w:sz w:val="24"/>
        </w:rPr>
        <w:t>)1.3287，外表张力〔25</w:t>
      </w:r>
      <w:r>
        <w:rPr>
          <w:rFonts w:ascii="宋体" w:hAnsi="宋体" w:hint="eastAsia"/>
          <w:color w:val="000000"/>
          <w:sz w:val="24"/>
        </w:rPr>
        <w:t>℃</w:t>
      </w:r>
      <w:r>
        <w:rPr>
          <w:rFonts w:ascii="宋体" w:hAnsi="宋体" w:hint="eastAsia"/>
          <w:color w:val="000000"/>
          <w:sz w:val="24"/>
        </w:rPr>
        <w:t>〕45.05mN/m，蒸气压〔20</w:t>
      </w:r>
      <w:r>
        <w:rPr>
          <w:rFonts w:ascii="宋体" w:hAnsi="宋体" w:hint="eastAsia"/>
          <w:color w:val="000000"/>
          <w:sz w:val="24"/>
        </w:rPr>
        <w:t>℃</w:t>
      </w:r>
      <w:r>
        <w:rPr>
          <w:rFonts w:ascii="宋体" w:hAnsi="宋体" w:hint="eastAsia"/>
          <w:color w:val="000000"/>
          <w:sz w:val="24"/>
        </w:rPr>
        <w:t>〕12.265kPa，粘度〔20</w:t>
      </w:r>
      <w:r>
        <w:rPr>
          <w:rFonts w:ascii="宋体" w:hAnsi="宋体" w:hint="eastAsia"/>
          <w:color w:val="000000"/>
          <w:sz w:val="24"/>
        </w:rPr>
        <w:t>℃</w:t>
      </w:r>
      <w:r>
        <w:rPr>
          <w:rFonts w:ascii="宋体" w:hAnsi="宋体" w:hint="eastAsia"/>
          <w:color w:val="000000"/>
          <w:sz w:val="24"/>
        </w:rPr>
        <w:t>〕0.5945mPa</w:t>
      </w:r>
      <w:r>
        <w:rPr>
          <w:rFonts w:ascii="宋体" w:hAnsi="宋体" w:hint="eastAsia"/>
          <w:color w:val="000000"/>
          <w:sz w:val="24"/>
        </w:rPr>
        <w:t>•</w:t>
      </w:r>
      <w:r>
        <w:rPr>
          <w:rFonts w:ascii="宋体" w:hAnsi="宋体" w:hint="eastAsia"/>
          <w:color w:val="000000"/>
          <w:sz w:val="24"/>
        </w:rPr>
        <w:t>s。能与水、乙醇、乙醚、苯、酮类和大多数其他有机溶剂混溶。蒸气与空气形成爆炸性混合物，爆炸极限6.0％</w:t>
      </w:r>
      <w:r>
        <w:rPr>
          <w:rFonts w:ascii="宋体" w:hAnsi="宋体" w:hint="eastAsia"/>
          <w:szCs w:val="21"/>
        </w:rPr>
        <w:t>～</w:t>
      </w:r>
      <w:r>
        <w:rPr>
          <w:rFonts w:ascii="宋体" w:hAnsi="宋体" w:hint="eastAsia"/>
          <w:color w:val="000000"/>
          <w:sz w:val="24"/>
        </w:rPr>
        <w:t>36.5</w:t>
      </w:r>
      <w:r>
        <w:rPr>
          <w:rFonts w:ascii="宋体" w:hAnsi="宋体" w:hint="eastAsia"/>
          <w:color w:val="000000"/>
          <w:sz w:val="24"/>
        </w:rPr>
        <w:t>﹪</w:t>
      </w:r>
      <w:r>
        <w:rPr>
          <w:rFonts w:ascii="宋体" w:hAnsi="宋体" w:hint="eastAsia"/>
          <w:color w:val="000000"/>
          <w:sz w:val="24"/>
        </w:rPr>
        <w:t>〔体积比〕。</w:t>
      </w:r>
      <w:r>
        <w:rPr>
          <w:rFonts w:ascii="宋体" w:hAnsi="宋体"/>
          <w:color w:val="000000"/>
          <w:sz w:val="24"/>
        </w:rPr>
        <w:t>化学性质较活泼，能发生氧化、酯化、羰基化等化学反响</w:t>
      </w:r>
      <w:r>
        <w:rPr>
          <w:rFonts w:ascii="宋体" w:hAnsi="宋体" w:hint="eastAsia"/>
          <w:color w:val="000000"/>
          <w:sz w:val="24"/>
        </w:rPr>
        <w:t>。</w:t>
      </w:r>
    </w:p>
    <w:p>
      <w:pPr>
        <w:spacing w:line="360" w:lineRule="auto"/>
        <w:ind w:firstLine="480" w:firstLineChars="200"/>
        <w:rPr>
          <w:rFonts w:ascii="宋体" w:hAnsi="宋体" w:hint="eastAsia"/>
          <w:color w:val="000000"/>
          <w:sz w:val="24"/>
        </w:rPr>
      </w:pPr>
      <w:r>
        <w:rPr>
          <w:rFonts w:ascii="ˎ̥" w:hAnsi="ˎ̥" w:cs="宋体" w:hint="eastAsia"/>
          <w:color w:val="000000"/>
          <w:kern w:val="0"/>
          <w:sz w:val="24"/>
        </w:rPr>
        <w:t>甲醇</w:t>
      </w:r>
      <w:r>
        <w:rPr>
          <w:rFonts w:ascii="ˎ̥" w:hAnsi="ˎ̥" w:cs="宋体"/>
          <w:color w:val="000000"/>
          <w:kern w:val="0"/>
          <w:sz w:val="24"/>
        </w:rPr>
        <w:t>是重要有机化工原料和优质燃料</w:t>
      </w:r>
      <w:r>
        <w:rPr>
          <w:rFonts w:ascii="ˎ̥" w:hAnsi="ˎ̥" w:cs="宋体" w:hint="eastAsia"/>
          <w:color w:val="000000"/>
          <w:kern w:val="0"/>
          <w:sz w:val="24"/>
        </w:rPr>
        <w:t>，</w:t>
      </w:r>
      <w:r>
        <w:rPr>
          <w:rFonts w:ascii="ˎ̥" w:hAnsi="ˎ̥" w:cs="宋体"/>
          <w:color w:val="000000"/>
          <w:kern w:val="0"/>
          <w:sz w:val="24"/>
        </w:rPr>
        <w:t>广泛应用于精细化工，塑料，医药，林产品加工等领域</w:t>
      </w:r>
      <w:r>
        <w:rPr>
          <w:rFonts w:ascii="ˎ̥" w:hAnsi="ˎ̥" w:cs="宋体" w:hint="eastAsia"/>
          <w:color w:val="000000"/>
          <w:kern w:val="0"/>
          <w:sz w:val="24"/>
        </w:rPr>
        <w:t>。甲醇</w:t>
      </w:r>
      <w:r>
        <w:rPr>
          <w:rFonts w:ascii="ˎ̥" w:hAnsi="ˎ̥" w:cs="宋体"/>
          <w:color w:val="000000"/>
          <w:kern w:val="0"/>
          <w:sz w:val="24"/>
        </w:rPr>
        <w:t>主要用于生产甲醛，消耗量要占到</w:t>
      </w:r>
      <w:r>
        <w:rPr>
          <w:rFonts w:ascii="ˎ̥" w:hAnsi="ˎ̥" w:cs="宋体" w:hint="eastAsia"/>
          <w:color w:val="000000"/>
          <w:kern w:val="0"/>
          <w:sz w:val="24"/>
        </w:rPr>
        <w:t>甲醇</w:t>
      </w:r>
      <w:r>
        <w:rPr>
          <w:rFonts w:ascii="ˎ̥" w:hAnsi="ˎ̥" w:cs="宋体"/>
          <w:color w:val="000000"/>
          <w:kern w:val="0"/>
          <w:sz w:val="24"/>
        </w:rPr>
        <w:t>总产量的一半，甲醛那么是生产各种合成树脂不可少的原料。用甲醇作甲基化试剂可生产丙烯酸甲酯、对苯二甲酸二甲酯、甲胺、甲基苯胺、甲烷氯化物等；</w:t>
      </w:r>
      <w:r>
        <w:rPr>
          <w:rFonts w:ascii="ˎ̥" w:hAnsi="ˎ̥" w:cs="宋体" w:hint="eastAsia"/>
          <w:color w:val="000000"/>
          <w:kern w:val="0"/>
          <w:sz w:val="24"/>
        </w:rPr>
        <w:t>甲醇</w:t>
      </w:r>
      <w:r>
        <w:rPr>
          <w:rFonts w:ascii="ˎ̥" w:hAnsi="ˎ̥" w:cs="宋体"/>
          <w:color w:val="000000"/>
          <w:kern w:val="0"/>
          <w:sz w:val="24"/>
        </w:rPr>
        <w:t>羰基化可生产醋酸、醋酐、甲酸甲酯等重要有机合成中间体，它们是制造各种染料、药品、农药、炸药、香料、喷漆的原料，目前用甲醇合成乙二醇、乙醛、乙醇也日益受到重视</w:t>
      </w:r>
      <w:r>
        <w:rPr>
          <w:rFonts w:ascii="ˎ̥" w:hAnsi="ˎ̥" w:cs="宋体" w:hint="eastAsia"/>
          <w:color w:val="000000"/>
          <w:kern w:val="0"/>
          <w:sz w:val="24"/>
        </w:rPr>
        <w:t>。</w:t>
      </w:r>
      <w:r>
        <w:rPr>
          <w:rFonts w:ascii="ˎ̥" w:hAnsi="ˎ̥" w:cs="宋体"/>
          <w:color w:val="000000"/>
          <w:kern w:val="0"/>
          <w:sz w:val="24"/>
        </w:rPr>
        <w:t>甲醇</w:t>
      </w:r>
      <w:r>
        <w:rPr>
          <w:rFonts w:ascii="ˎ̥" w:hAnsi="ˎ̥" w:cs="宋体" w:hint="eastAsia"/>
          <w:color w:val="000000"/>
          <w:kern w:val="0"/>
          <w:sz w:val="24"/>
        </w:rPr>
        <w:t>也</w:t>
      </w:r>
      <w:r>
        <w:rPr>
          <w:rFonts w:ascii="ˎ̥" w:hAnsi="ˎ̥" w:cs="宋体"/>
          <w:color w:val="000000"/>
          <w:kern w:val="0"/>
          <w:sz w:val="24"/>
        </w:rPr>
        <w:t>是一种重要的有机溶剂，其溶解性能优于乙醇，可用于调制油漆。作为一种良好的萃取剂，甲醇在分析化学中可用于一些物质的别离</w:t>
      </w:r>
      <w:r>
        <w:rPr>
          <w:rFonts w:ascii="ˎ̥" w:hAnsi="ˎ̥" w:cs="宋体" w:hint="eastAsia"/>
          <w:color w:val="000000"/>
          <w:kern w:val="0"/>
          <w:sz w:val="24"/>
        </w:rPr>
        <w:t>。</w:t>
      </w:r>
      <w:r>
        <w:rPr>
          <w:rFonts w:ascii="ˎ̥" w:hAnsi="ˎ̥" w:cs="宋体"/>
          <w:color w:val="000000"/>
          <w:kern w:val="0"/>
          <w:sz w:val="24"/>
        </w:rPr>
        <w:t>甲醇</w:t>
      </w:r>
      <w:r>
        <w:rPr>
          <w:rFonts w:ascii="ˎ̥" w:hAnsi="ˎ̥" w:cs="宋体" w:hint="eastAsia"/>
          <w:color w:val="000000"/>
          <w:kern w:val="0"/>
          <w:sz w:val="24"/>
        </w:rPr>
        <w:t>还</w:t>
      </w:r>
      <w:r>
        <w:rPr>
          <w:rFonts w:ascii="ˎ̥" w:hAnsi="ˎ̥" w:cs="宋体"/>
          <w:color w:val="000000"/>
          <w:kern w:val="0"/>
          <w:sz w:val="24"/>
        </w:rPr>
        <w:t>是一种</w:t>
      </w:r>
      <w:r>
        <w:rPr>
          <w:rFonts w:ascii="ˎ̥" w:hAnsi="ˎ̥" w:cs="宋体" w:hint="eastAsia"/>
          <w:color w:val="000000"/>
          <w:kern w:val="0"/>
          <w:sz w:val="24"/>
        </w:rPr>
        <w:t>很有前景的清洁</w:t>
      </w:r>
      <w:r>
        <w:rPr>
          <w:rFonts w:ascii="ˎ̥" w:hAnsi="ˎ̥" w:cs="宋体"/>
          <w:color w:val="000000"/>
          <w:kern w:val="0"/>
          <w:sz w:val="24"/>
        </w:rPr>
        <w:t>能源</w:t>
      </w:r>
      <w:r>
        <w:rPr>
          <w:rFonts w:ascii="ˎ̥" w:hAnsi="ˎ̥" w:cs="宋体" w:hint="eastAsia"/>
          <w:color w:val="000000"/>
          <w:kern w:val="0"/>
          <w:sz w:val="24"/>
        </w:rPr>
        <w:t>，</w:t>
      </w:r>
      <w:r>
        <w:rPr>
          <w:rFonts w:ascii="宋体" w:hAnsi="宋体"/>
          <w:color w:val="000000"/>
          <w:sz w:val="24"/>
        </w:rPr>
        <w:t>甲醇燃料以其平安、廉价、燃烧充分，利用率高、环保的众多优点，替代汽油已经成为车用燃料的开展方向之一</w:t>
      </w:r>
      <w:r>
        <w:rPr>
          <w:rFonts w:ascii="宋体" w:hAnsi="宋体" w:hint="eastAsia"/>
          <w:color w:val="000000"/>
          <w:sz w:val="24"/>
        </w:rPr>
        <w:t>；另外燃料级甲醇用于供热和发电，也可到达环保要求。</w:t>
      </w:r>
      <w:r>
        <w:rPr>
          <w:color w:val="000000"/>
          <w:sz w:val="24"/>
        </w:rPr>
        <w:t>甲醇还可经生物发酵生成甲醇蛋白，</w:t>
      </w:r>
      <w:r>
        <w:rPr>
          <w:rFonts w:ascii="ˎ̥" w:hAnsi="ˎ̥" w:cs="宋体"/>
          <w:color w:val="000000"/>
          <w:kern w:val="0"/>
          <w:sz w:val="24"/>
        </w:rPr>
        <w:t>富含维生素和蛋白质，具有营养价值高而本钱低的优点，</w:t>
      </w:r>
      <w:r>
        <w:rPr>
          <w:color w:val="000000"/>
          <w:sz w:val="24"/>
        </w:rPr>
        <w:t>用作饲料添加剂，有着广阔的应用前景。</w:t>
      </w:r>
    </w:p>
    <w:p>
      <w:pPr>
        <w:spacing w:line="360" w:lineRule="auto"/>
        <w:ind w:firstLine="480" w:firstLineChars="200"/>
        <w:rPr>
          <w:rFonts w:ascii="宋体" w:hAnsi="宋体" w:cs="宋体" w:hint="eastAsia"/>
          <w:color w:val="000000"/>
          <w:kern w:val="0"/>
          <w:sz w:val="24"/>
        </w:rPr>
      </w:pPr>
      <w:r>
        <w:rPr>
          <w:rFonts w:ascii="宋体" w:hAnsi="宋体" w:cs="宋体"/>
          <w:color w:val="000000"/>
          <w:kern w:val="0"/>
          <w:sz w:val="24"/>
        </w:rPr>
        <w:t>甲醇是醇类中最简单的一元醇。1661年英国化学家R.波义耳首先在木材干馏后的液体产物中发现甲醇，故甲醇俗称木精、木醇。在自然界只有某些树叶或果实中含有少量的游离态甲醇，绝大多数以酯或醚的形式存在。1857年法国的M·贝特洛在</w:t>
      </w:r>
      <w:r>
        <w:rPr>
          <w:rFonts w:cs="宋体"/>
          <w:kern w:val="0"/>
        </w:rPr>
        <w:t>实验室</w:t>
      </w:r>
      <w:r>
        <w:rPr>
          <w:rFonts w:ascii="宋体" w:hAnsi="宋体" w:cs="宋体"/>
          <w:color w:val="000000"/>
          <w:kern w:val="0"/>
          <w:sz w:val="24"/>
        </w:rPr>
        <w:t>用一氯甲烷在碱</w:t>
      </w:r>
      <w:r>
        <w:rPr>
          <w:rFonts w:ascii="宋体" w:hAnsi="宋体" w:cs="宋体" w:hint="eastAsia"/>
          <w:color w:val="000000"/>
          <w:kern w:val="0"/>
          <w:sz w:val="24"/>
        </w:rPr>
        <w:t>性</w:t>
      </w:r>
      <w:r>
        <w:rPr>
          <w:rFonts w:ascii="宋体" w:hAnsi="宋体" w:cs="宋体"/>
          <w:color w:val="000000"/>
          <w:kern w:val="0"/>
          <w:sz w:val="24"/>
        </w:rPr>
        <w:t>溶液中水解也制</w:t>
      </w:r>
      <w:r>
        <w:rPr>
          <w:rStyle w:val="dl1"/>
          <w:kern w:val="28"/>
          <w:szCs w:val="20"/>
        </w:rPr>
        <w:t>得了</w:t>
      </w:r>
      <w:r>
        <w:rPr>
          <w:rFonts w:ascii="宋体" w:hAnsi="宋体" w:cs="宋体"/>
          <w:color w:val="000000"/>
          <w:kern w:val="0"/>
          <w:sz w:val="24"/>
        </w:rPr>
        <w:t>甲醇。</w:t>
      </w:r>
    </w:p>
    <w:p>
      <w:pPr>
        <w:spacing w:line="360" w:lineRule="auto"/>
        <w:ind w:firstLine="480" w:firstLineChars="200"/>
        <w:rPr>
          <w:rFonts w:ascii="宋体" w:hAnsi="宋体" w:cs="宋体" w:hint="eastAsia"/>
          <w:color w:val="000000"/>
          <w:kern w:val="0"/>
          <w:sz w:val="24"/>
        </w:rPr>
        <w:sectPr>
          <w:type w:val="nextPage"/>
          <w:pgSz w:w="11906" w:h="16838"/>
          <w:pgMar w:top="1985" w:right="1418" w:bottom="1247" w:left="1531" w:header="851" w:footer="992" w:gutter="0"/>
          <w:pgNumType w:fmt="decimal" w:start="0"/>
          <w:cols w:space="708"/>
          <w:docGrid w:type="lines" w:linePitch="312"/>
        </w:sectPr>
      </w:pPr>
      <w:r>
        <w:rPr>
          <w:rFonts w:ascii="宋体" w:hAnsi="宋体" w:cs="宋体"/>
          <w:color w:val="000000"/>
          <w:kern w:val="0"/>
          <w:sz w:val="24"/>
        </w:rPr>
        <w:t>1923年德国</w:t>
      </w:r>
      <w:r>
        <w:rPr>
          <w:color w:val="000000"/>
          <w:kern w:val="0"/>
          <w:sz w:val="24"/>
        </w:rPr>
        <w:t>BASF</w:t>
      </w:r>
    </w:p>
    <w:p>
      <w:pPr>
        <w:spacing w:line="360" w:lineRule="auto"/>
        <w:ind w:firstLine="480" w:firstLineChars="200"/>
        <w:rPr>
          <w:rFonts w:ascii="宋体" w:hAnsi="宋体" w:cs="宋体" w:hint="eastAsia"/>
          <w:color w:val="000000"/>
          <w:kern w:val="0"/>
          <w:sz w:val="24"/>
        </w:rPr>
      </w:pPr>
      <w:r>
        <w:rPr>
          <w:rFonts w:ascii="宋体" w:hAnsi="宋体" w:cs="宋体"/>
          <w:color w:val="000000"/>
          <w:kern w:val="0"/>
          <w:sz w:val="24"/>
        </w:rPr>
        <w:t>公司首先用合成气在高压下实现了甲醇的工业化生产，直到1965年，这种高压法工艺是合成甲醇的唯一方法。1966年英国</w:t>
      </w:r>
      <w:r>
        <w:rPr>
          <w:color w:val="000000"/>
          <w:kern w:val="0"/>
          <w:sz w:val="24"/>
        </w:rPr>
        <w:t>ICI</w:t>
      </w:r>
      <w:r>
        <w:rPr>
          <w:rFonts w:ascii="宋体" w:hAnsi="宋体" w:cs="宋体"/>
          <w:color w:val="000000"/>
          <w:kern w:val="0"/>
          <w:sz w:val="24"/>
        </w:rPr>
        <w:t>公司开发了低压法工艺，接着又开发了中压法工艺。1971年德国的</w:t>
      </w:r>
      <w:r>
        <w:rPr>
          <w:color w:val="000000"/>
          <w:kern w:val="0"/>
          <w:sz w:val="24"/>
        </w:rPr>
        <w:t>Lurgi</w:t>
      </w:r>
      <w:r>
        <w:rPr>
          <w:rFonts w:ascii="宋体" w:hAnsi="宋体" w:cs="宋体"/>
          <w:color w:val="000000"/>
          <w:kern w:val="0"/>
          <w:sz w:val="24"/>
        </w:rPr>
        <w:t>公司相继开发了适用于天然气－渣油为原料的低压法工艺。由于低压法比高压法在能耗、装置建设和单系列反响器生产能力方面具有明显的优越性，所以从70年代中期起，国外新建装置大多采用低压法工艺。世界上典型的甲醇合成工艺主要有</w:t>
      </w:r>
      <w:r>
        <w:rPr>
          <w:color w:val="000000"/>
          <w:kern w:val="0"/>
          <w:sz w:val="24"/>
        </w:rPr>
        <w:t>ICI</w:t>
      </w:r>
      <w:r>
        <w:rPr>
          <w:rFonts w:ascii="宋体" w:hAnsi="宋体" w:cs="宋体"/>
          <w:color w:val="000000"/>
          <w:kern w:val="0"/>
          <w:sz w:val="24"/>
        </w:rPr>
        <w:t>工艺、</w:t>
      </w:r>
      <w:r>
        <w:rPr>
          <w:color w:val="000000"/>
          <w:kern w:val="0"/>
          <w:sz w:val="24"/>
        </w:rPr>
        <w:t>Lurgi</w:t>
      </w:r>
      <w:r>
        <w:rPr>
          <w:rFonts w:ascii="宋体" w:hAnsi="宋体" w:cs="宋体"/>
          <w:color w:val="000000"/>
          <w:kern w:val="0"/>
          <w:sz w:val="24"/>
        </w:rPr>
        <w:t>工艺和三菱瓦斯化学公司(</w:t>
      </w:r>
      <w:r>
        <w:rPr>
          <w:color w:val="000000"/>
          <w:kern w:val="0"/>
          <w:sz w:val="24"/>
        </w:rPr>
        <w:t>MCC</w:t>
      </w:r>
      <w:r>
        <w:rPr>
          <w:rFonts w:ascii="宋体" w:hAnsi="宋体" w:cs="宋体"/>
          <w:color w:val="000000"/>
          <w:kern w:val="0"/>
          <w:sz w:val="24"/>
        </w:rPr>
        <w:t>)工艺</w:t>
      </w:r>
      <w:r>
        <w:rPr>
          <w:rFonts w:ascii="宋体" w:hAnsi="宋体" w:cs="宋体" w:hint="eastAsia"/>
          <w:kern w:val="0"/>
          <w:sz w:val="24"/>
          <w:vertAlign w:val="superscript"/>
        </w:rPr>
        <w:t>［1］</w:t>
      </w:r>
      <w:r>
        <w:rPr>
          <w:rFonts w:ascii="宋体" w:hAnsi="宋体" w:cs="宋体"/>
          <w:color w:val="000000"/>
          <w:kern w:val="0"/>
          <w:sz w:val="24"/>
        </w:rPr>
        <w:t>。目前，国外的液相甲醇合成新工艺</w:t>
      </w:r>
      <w:r>
        <w:rPr>
          <w:rFonts w:ascii="宋体" w:hAnsi="宋体" w:cs="宋体" w:hint="eastAsia"/>
          <w:kern w:val="0"/>
          <w:sz w:val="24"/>
          <w:vertAlign w:val="superscript"/>
        </w:rPr>
        <w:t>［2］</w:t>
      </w:r>
      <w:r>
        <w:rPr>
          <w:rFonts w:ascii="宋体" w:hAnsi="宋体" w:cs="宋体"/>
          <w:color w:val="000000"/>
          <w:kern w:val="0"/>
          <w:sz w:val="24"/>
        </w:rPr>
        <w:t>具有投资省、热效率高、生产本钱低的显著优点，尤其是</w:t>
      </w:r>
      <w:r>
        <w:rPr>
          <w:color w:val="000000"/>
          <w:kern w:val="0"/>
          <w:sz w:val="24"/>
        </w:rPr>
        <w:t>LPMEOHTM</w:t>
      </w:r>
      <w:r>
        <w:rPr>
          <w:rFonts w:ascii="宋体" w:hAnsi="宋体" w:cs="宋体"/>
          <w:color w:val="000000"/>
          <w:kern w:val="0"/>
          <w:sz w:val="24"/>
        </w:rPr>
        <w:t>工艺，采用浆态反响器，特别适用于用现代气流床煤气化炉生产的低H</w:t>
      </w:r>
      <w:r>
        <w:rPr>
          <w:rFonts w:ascii="宋体" w:hAnsi="宋体" w:cs="宋体"/>
          <w:color w:val="000000"/>
          <w:kern w:val="0"/>
          <w:sz w:val="24"/>
          <w:vertAlign w:val="subscript"/>
        </w:rPr>
        <w:t>2</w:t>
      </w:r>
      <w:r>
        <w:rPr>
          <w:rFonts w:ascii="宋体" w:hAnsi="宋体" w:cs="宋体"/>
          <w:color w:val="000000"/>
          <w:kern w:val="0"/>
          <w:sz w:val="24"/>
        </w:rPr>
        <w:t>／(CO＋CO</w:t>
      </w:r>
      <w:r>
        <w:rPr>
          <w:rFonts w:ascii="宋体" w:hAnsi="宋体" w:cs="宋体"/>
          <w:color w:val="000000"/>
          <w:kern w:val="0"/>
          <w:sz w:val="24"/>
          <w:vertAlign w:val="subscript"/>
        </w:rPr>
        <w:t>2</w:t>
      </w:r>
      <w:r>
        <w:rPr>
          <w:rFonts w:ascii="宋体" w:hAnsi="宋体" w:cs="宋体"/>
          <w:color w:val="000000"/>
          <w:kern w:val="0"/>
          <w:sz w:val="24"/>
        </w:rPr>
        <w:t>)比的原料气，在价格上能够与天然气原料竞争。</w:t>
      </w:r>
    </w:p>
    <w:p>
      <w:pPr>
        <w:spacing w:line="360" w:lineRule="auto"/>
        <w:ind w:firstLine="480" w:firstLineChars="200"/>
        <w:rPr>
          <w:rFonts w:ascii="宋体" w:hAnsi="宋体" w:cs="宋体"/>
          <w:color w:val="000000"/>
          <w:kern w:val="0"/>
          <w:sz w:val="24"/>
        </w:rPr>
      </w:pPr>
      <w:r>
        <w:rPr>
          <w:rFonts w:ascii="宋体" w:hAnsi="宋体" w:cs="宋体"/>
          <w:color w:val="000000"/>
          <w:kern w:val="0"/>
          <w:sz w:val="24"/>
        </w:rPr>
        <w:t>我国的甲醇生产始于1957年，50年代在吉林、兰州和太原等地建成了以煤或焦炭为原料来生产甲醇的装置。60年代建成了一批中小型装置，并在合成氨工业的根底上开发了联产法生产甲醇的工艺。70年代四川维尼纶厂引进了一套以乙炔尾气为原料的95 kt/a低压法装置，采用英国ICI技术。1995年12月，由化工部第八设计院和上海化工设计院联合设计的200 kt/a甲醇生产装置在上海太平洋化工公司顺利投产，标志着我国甲醇生产技术向大型化和国产化迈出了新的一步。2000年，杭州林达公司开发了拥有完全自主知识产权的</w:t>
      </w:r>
      <w:r>
        <w:rPr>
          <w:color w:val="000000"/>
          <w:kern w:val="0"/>
          <w:sz w:val="24"/>
        </w:rPr>
        <w:t>JW</w:t>
      </w:r>
      <w:r>
        <w:rPr>
          <w:rFonts w:ascii="宋体" w:hAnsi="宋体" w:cs="宋体"/>
          <w:color w:val="000000"/>
          <w:kern w:val="0"/>
          <w:sz w:val="24"/>
        </w:rPr>
        <w:t>低压均温甲醇合成塔技术，打破长期来被</w:t>
      </w:r>
      <w:r>
        <w:rPr>
          <w:color w:val="000000"/>
          <w:kern w:val="0"/>
          <w:sz w:val="24"/>
        </w:rPr>
        <w:t>ICI</w:t>
      </w:r>
      <w:r>
        <w:rPr>
          <w:rFonts w:ascii="宋体" w:hAnsi="宋体" w:cs="宋体"/>
          <w:color w:val="000000"/>
          <w:kern w:val="0"/>
          <w:sz w:val="24"/>
        </w:rPr>
        <w:t>、</w:t>
      </w:r>
      <w:r>
        <w:rPr>
          <w:color w:val="000000"/>
          <w:kern w:val="0"/>
          <w:sz w:val="24"/>
        </w:rPr>
        <w:t>Lurgi</w:t>
      </w:r>
      <w:r>
        <w:rPr>
          <w:rFonts w:ascii="宋体" w:hAnsi="宋体" w:cs="宋体"/>
          <w:color w:val="000000"/>
          <w:kern w:val="0"/>
          <w:sz w:val="24"/>
        </w:rPr>
        <w:t>等国外少数公司所垄断拥的局面，并在2004年获得国家技术创造二等奖。2005年，该技术成功应用于国内首家焦炉气制甲醇装置上。</w:t>
      </w:r>
    </w:p>
    <w:p>
      <w:pPr>
        <w:pStyle w:val="Heading1"/>
        <w:rPr>
          <w:rFonts w:hint="eastAsia"/>
          <w:b w:val="0"/>
          <w:bCs w:val="0"/>
          <w:sz w:val="28"/>
          <w:szCs w:val="28"/>
          <w:lang w:val="en-US" w:eastAsia="zh-CN"/>
        </w:rPr>
      </w:pPr>
      <w:bookmarkStart w:id="3" w:name="_Toc11679"/>
      <w:r>
        <w:rPr>
          <w:rFonts w:hint="eastAsia"/>
          <w:b w:val="0"/>
          <w:bCs w:val="0"/>
          <w:sz w:val="28"/>
          <w:szCs w:val="28"/>
          <w:lang w:val="en-US" w:eastAsia="zh-CN"/>
        </w:rPr>
        <w:t>1.2市场分析</w:t>
      </w:r>
      <w:bookmarkEnd w:id="3"/>
    </w:p>
    <w:p>
      <w:pPr>
        <w:pStyle w:val="Heading2"/>
        <w:rPr>
          <w:rFonts w:ascii="宋体" w:eastAsia="宋体" w:hAnsi="宋体" w:cs="宋体" w:hint="eastAsia"/>
          <w:b w:val="0"/>
          <w:bCs/>
          <w:sz w:val="28"/>
          <w:szCs w:val="28"/>
          <w:lang w:val="en-US" w:eastAsia="zh-CN"/>
        </w:rPr>
      </w:pPr>
      <w:bookmarkStart w:id="4" w:name="_Toc20184"/>
      <w:r>
        <w:rPr>
          <w:rFonts w:ascii="宋体" w:eastAsia="宋体" w:hAnsi="宋体" w:cs="宋体" w:hint="eastAsia"/>
          <w:b w:val="0"/>
          <w:bCs/>
          <w:sz w:val="28"/>
          <w:szCs w:val="28"/>
          <w:lang w:val="en-US" w:eastAsia="zh-CN"/>
        </w:rPr>
        <w:t>1.2.1对世界甲醇供需现状的分析</w:t>
      </w:r>
      <w:bookmarkEnd w:id="4"/>
    </w:p>
    <w:p>
      <w:pPr>
        <w:rPr>
          <w:rFonts w:ascii="宋体" w:eastAsia="宋体" w:hAnsi="宋体" w:cs="宋体" w:hint="eastAsia"/>
          <w:b w:val="0"/>
          <w:bCs w:val="0"/>
          <w:sz w:val="24"/>
        </w:rPr>
      </w:pPr>
      <w:r>
        <w:rPr>
          <w:rFonts w:ascii="宋体" w:eastAsia="宋体" w:hAnsi="宋体" w:cs="宋体" w:hint="eastAsia"/>
          <w:b w:val="0"/>
          <w:bCs w:val="0"/>
          <w:sz w:val="24"/>
          <w:szCs w:val="24"/>
        </w:rPr>
        <w:t>2005年世界甲醇的总生产能力为4568万吨/年，总产量为3487.1万吨，平均开工率为76%。中南美洲是世界上最大的甲醇生产地区，占世界总生产能力的24.3%，其它依次是亚洲占24.1%，中东占19%、北美占8.6%、中东欧占10.9%、西欧占7.9%。</w:t>
      </w:r>
    </w:p>
    <w:p>
      <w:pPr>
        <w:pStyle w:val="Heading1"/>
        <w:rPr>
          <w:rFonts w:ascii="仿宋_GB2312" w:eastAsia="仿宋_GB2312" w:hint="eastAsia"/>
          <w:sz w:val="28"/>
          <w:szCs w:val="28"/>
        </w:rPr>
      </w:pPr>
      <w:bookmarkStart w:id="5" w:name="_Toc30235"/>
      <w:bookmarkStart w:id="6" w:name="_Toc14092"/>
      <w:bookmarkStart w:id="7" w:name="_Toc18700"/>
      <w:bookmarkStart w:id="8" w:name="_Toc30433"/>
      <w:bookmarkStart w:id="9" w:name="_Toc2740"/>
      <w:r>
        <w:rPr>
          <w:rFonts w:ascii="仿宋_GB2312" w:eastAsia="仿宋_GB2312" w:hint="eastAsia"/>
          <w:b w:val="0"/>
          <w:sz w:val="28"/>
          <w:szCs w:val="28"/>
        </w:rPr>
        <w:t>表</w:t>
      </w:r>
      <w:r>
        <w:rPr>
          <w:rFonts w:ascii="仿宋_GB2312" w:eastAsia="仿宋_GB2312" w:hint="eastAsia"/>
          <w:b w:val="0"/>
          <w:sz w:val="28"/>
          <w:szCs w:val="28"/>
          <w:lang w:val="en-US" w:eastAsia="zh-CN"/>
        </w:rPr>
        <w:t xml:space="preserve">1 </w:t>
      </w:r>
      <w:r>
        <w:rPr>
          <w:rFonts w:ascii="仿宋_GB2312" w:eastAsia="仿宋_GB2312" w:hint="eastAsia"/>
          <w:b w:val="0"/>
          <w:sz w:val="28"/>
          <w:szCs w:val="28"/>
        </w:rPr>
        <w:t>2005年世界甲醇供需平衡情况〔单位：万吨/年，万吨〕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45"/>
        <w:gridCol w:w="1306"/>
        <w:gridCol w:w="1639"/>
        <w:gridCol w:w="1638"/>
        <w:gridCol w:w="1639"/>
        <w:gridCol w:w="1633"/>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6"/>
          <w:tblHeader/>
          <w:jc w:val="center"/>
        </w:trPr>
        <w:tc>
          <w:tcPr>
            <w:tcW w:w="1445" w:type="dxa"/>
          </w:tcPr>
          <w:p>
            <w:pPr>
              <w:pStyle w:val="a"/>
              <w:jc w:val="center"/>
              <w:rPr>
                <w:rFonts w:ascii="仿宋_GB2312" w:cs="Arial Unicode MS" w:hint="eastAsia"/>
                <w:sz w:val="21"/>
                <w:szCs w:val="21"/>
              </w:rPr>
            </w:pPr>
            <w:bookmarkEnd w:id="5"/>
            <w:bookmarkEnd w:id="6"/>
            <w:bookmarkEnd w:id="7"/>
            <w:bookmarkEnd w:id="8"/>
            <w:bookmarkEnd w:id="9"/>
            <w:r>
              <w:rPr>
                <w:rFonts w:ascii="仿宋_GB2312" w:hint="eastAsia"/>
                <w:sz w:val="21"/>
                <w:szCs w:val="21"/>
              </w:rPr>
              <w:t>地区</w:t>
            </w:r>
          </w:p>
        </w:tc>
        <w:tc>
          <w:tcPr>
            <w:tcW w:w="1306" w:type="dxa"/>
          </w:tcPr>
          <w:p>
            <w:pPr>
              <w:pStyle w:val="a"/>
              <w:jc w:val="center"/>
              <w:rPr>
                <w:rFonts w:ascii="仿宋_GB2312" w:cs="Arial Unicode MS" w:hint="eastAsia"/>
                <w:sz w:val="21"/>
                <w:szCs w:val="21"/>
              </w:rPr>
            </w:pPr>
            <w:r>
              <w:rPr>
                <w:rFonts w:ascii="仿宋_GB2312" w:hint="eastAsia"/>
                <w:sz w:val="21"/>
                <w:szCs w:val="21"/>
              </w:rPr>
              <w:t>能力</w:t>
            </w:r>
          </w:p>
        </w:tc>
        <w:tc>
          <w:tcPr>
            <w:tcW w:w="1639" w:type="dxa"/>
          </w:tcPr>
          <w:p>
            <w:pPr>
              <w:pStyle w:val="a"/>
              <w:jc w:val="center"/>
              <w:rPr>
                <w:rFonts w:ascii="仿宋_GB2312" w:cs="Arial Unicode MS" w:hint="eastAsia"/>
                <w:sz w:val="21"/>
                <w:szCs w:val="21"/>
              </w:rPr>
            </w:pPr>
            <w:r>
              <w:rPr>
                <w:rFonts w:ascii="仿宋_GB2312" w:hint="eastAsia"/>
                <w:sz w:val="21"/>
                <w:szCs w:val="21"/>
              </w:rPr>
              <w:t>产量</w:t>
            </w:r>
          </w:p>
        </w:tc>
        <w:tc>
          <w:tcPr>
            <w:tcW w:w="1638" w:type="dxa"/>
          </w:tcPr>
          <w:p>
            <w:pPr>
              <w:pStyle w:val="a"/>
              <w:jc w:val="center"/>
              <w:rPr>
                <w:rFonts w:ascii="仿宋_GB2312" w:cs="Arial Unicode MS" w:hint="eastAsia"/>
                <w:sz w:val="21"/>
                <w:szCs w:val="21"/>
              </w:rPr>
            </w:pPr>
            <w:r>
              <w:rPr>
                <w:rFonts w:ascii="仿宋_GB2312" w:hint="eastAsia"/>
                <w:sz w:val="21"/>
                <w:szCs w:val="21"/>
              </w:rPr>
              <w:t>进口</w:t>
            </w:r>
          </w:p>
        </w:tc>
        <w:tc>
          <w:tcPr>
            <w:tcW w:w="1639" w:type="dxa"/>
          </w:tcPr>
          <w:p>
            <w:pPr>
              <w:pStyle w:val="a"/>
              <w:jc w:val="center"/>
              <w:rPr>
                <w:rFonts w:ascii="仿宋_GB2312" w:cs="Arial Unicode MS" w:hint="eastAsia"/>
                <w:sz w:val="21"/>
                <w:szCs w:val="21"/>
              </w:rPr>
            </w:pPr>
            <w:r>
              <w:rPr>
                <w:rFonts w:ascii="仿宋_GB2312" w:hint="eastAsia"/>
                <w:sz w:val="21"/>
                <w:szCs w:val="21"/>
              </w:rPr>
              <w:t>出口</w:t>
            </w:r>
          </w:p>
        </w:tc>
        <w:tc>
          <w:tcPr>
            <w:tcW w:w="1633" w:type="dxa"/>
          </w:tcPr>
          <w:p>
            <w:pPr>
              <w:pStyle w:val="a"/>
              <w:jc w:val="center"/>
              <w:rPr>
                <w:rFonts w:ascii="仿宋_GB2312" w:cs="Arial Unicode MS" w:hint="eastAsia"/>
                <w:sz w:val="21"/>
                <w:szCs w:val="21"/>
              </w:rPr>
            </w:pPr>
            <w:r>
              <w:rPr>
                <w:rFonts w:ascii="仿宋_GB2312" w:hint="eastAsia"/>
                <w:sz w:val="21"/>
                <w:szCs w:val="21"/>
              </w:rPr>
              <w:t>实际消费</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非洲</w:t>
            </w:r>
          </w:p>
        </w:tc>
        <w:tc>
          <w:tcPr>
            <w:tcW w:w="1306" w:type="dxa"/>
          </w:tcPr>
          <w:p>
            <w:pPr>
              <w:pStyle w:val="a"/>
              <w:jc w:val="center"/>
              <w:rPr>
                <w:rFonts w:ascii="仿宋_GB2312" w:cs="Arial Unicode MS" w:hint="eastAsia"/>
                <w:sz w:val="21"/>
                <w:szCs w:val="21"/>
              </w:rPr>
            </w:pPr>
            <w:r>
              <w:rPr>
                <w:rFonts w:ascii="仿宋_GB2312" w:hint="eastAsia"/>
                <w:sz w:val="21"/>
                <w:szCs w:val="21"/>
              </w:rPr>
              <w:t>178.3</w:t>
            </w:r>
          </w:p>
        </w:tc>
        <w:tc>
          <w:tcPr>
            <w:tcW w:w="1639" w:type="dxa"/>
          </w:tcPr>
          <w:p>
            <w:pPr>
              <w:pStyle w:val="a"/>
              <w:jc w:val="center"/>
              <w:rPr>
                <w:rFonts w:ascii="仿宋_GB2312" w:cs="Arial Unicode MS" w:hint="eastAsia"/>
                <w:sz w:val="21"/>
                <w:szCs w:val="21"/>
              </w:rPr>
            </w:pPr>
            <w:r>
              <w:rPr>
                <w:rFonts w:ascii="仿宋_GB2312" w:hint="eastAsia"/>
                <w:sz w:val="21"/>
                <w:szCs w:val="21"/>
              </w:rPr>
              <w:t>147</w:t>
            </w:r>
          </w:p>
        </w:tc>
        <w:tc>
          <w:tcPr>
            <w:tcW w:w="1638" w:type="dxa"/>
          </w:tcPr>
          <w:p>
            <w:pPr>
              <w:pStyle w:val="a"/>
              <w:jc w:val="center"/>
              <w:rPr>
                <w:rFonts w:ascii="仿宋_GB2312" w:cs="Arial Unicode MS" w:hint="eastAsia"/>
                <w:sz w:val="21"/>
                <w:szCs w:val="21"/>
              </w:rPr>
            </w:pPr>
            <w:r>
              <w:rPr>
                <w:rFonts w:ascii="仿宋_GB2312" w:hint="eastAsia"/>
                <w:sz w:val="21"/>
                <w:szCs w:val="21"/>
              </w:rPr>
              <w:t>5.3</w:t>
            </w:r>
          </w:p>
        </w:tc>
        <w:tc>
          <w:tcPr>
            <w:tcW w:w="1639" w:type="dxa"/>
          </w:tcPr>
          <w:p>
            <w:pPr>
              <w:pStyle w:val="a"/>
              <w:jc w:val="center"/>
              <w:rPr>
                <w:rFonts w:ascii="仿宋_GB2312" w:cs="Arial Unicode MS" w:hint="eastAsia"/>
                <w:sz w:val="21"/>
                <w:szCs w:val="21"/>
              </w:rPr>
            </w:pPr>
            <w:r>
              <w:rPr>
                <w:rFonts w:ascii="仿宋_GB2312" w:hint="eastAsia"/>
                <w:sz w:val="21"/>
                <w:szCs w:val="21"/>
              </w:rPr>
              <w:t>132</w:t>
            </w:r>
          </w:p>
        </w:tc>
        <w:tc>
          <w:tcPr>
            <w:tcW w:w="1633" w:type="dxa"/>
          </w:tcPr>
          <w:p>
            <w:pPr>
              <w:pStyle w:val="a"/>
              <w:jc w:val="center"/>
              <w:rPr>
                <w:rFonts w:ascii="仿宋_GB2312" w:cs="Arial Unicode MS" w:hint="eastAsia"/>
                <w:sz w:val="21"/>
                <w:szCs w:val="21"/>
              </w:rPr>
            </w:pPr>
            <w:r>
              <w:rPr>
                <w:rFonts w:ascii="仿宋_GB2312" w:hint="eastAsia"/>
                <w:sz w:val="21"/>
                <w:szCs w:val="21"/>
              </w:rPr>
              <w:t>20.3</w:t>
            </w:r>
          </w:p>
        </w:tc>
      </w:tr>
    </w:tbl>
    <w:p>
      <w:pPr>
        <w:sectPr>
          <w:type w:val="nextPage"/>
          <w:pgSz w:w="11906" w:h="16838"/>
          <w:pgMar w:top="1985" w:right="1418" w:bottom="1247" w:left="1531" w:header="851" w:footer="992" w:gutter="0"/>
          <w:pgNumType w:fmt="decimal" w:start="1"/>
          <w:cols w:space="708"/>
          <w:titlePg w:val="0"/>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45"/>
        <w:gridCol w:w="1306"/>
        <w:gridCol w:w="1639"/>
        <w:gridCol w:w="1638"/>
        <w:gridCol w:w="1639"/>
        <w:gridCol w:w="1633"/>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亚洲</w:t>
            </w:r>
          </w:p>
        </w:tc>
        <w:tc>
          <w:tcPr>
            <w:tcW w:w="1306" w:type="dxa"/>
          </w:tcPr>
          <w:p>
            <w:pPr>
              <w:pStyle w:val="a"/>
              <w:jc w:val="center"/>
              <w:rPr>
                <w:rFonts w:ascii="仿宋_GB2312" w:cs="Arial Unicode MS" w:hint="eastAsia"/>
                <w:sz w:val="21"/>
                <w:szCs w:val="21"/>
              </w:rPr>
            </w:pPr>
            <w:r>
              <w:rPr>
                <w:rFonts w:ascii="仿宋_GB2312" w:hint="eastAsia"/>
                <w:sz w:val="21"/>
                <w:szCs w:val="21"/>
              </w:rPr>
              <w:t>1100.6</w:t>
            </w:r>
          </w:p>
        </w:tc>
        <w:tc>
          <w:tcPr>
            <w:tcW w:w="1639" w:type="dxa"/>
          </w:tcPr>
          <w:p>
            <w:pPr>
              <w:pStyle w:val="a"/>
              <w:jc w:val="center"/>
              <w:rPr>
                <w:rFonts w:ascii="仿宋_GB2312" w:cs="Arial Unicode MS" w:hint="eastAsia"/>
                <w:sz w:val="21"/>
                <w:szCs w:val="21"/>
              </w:rPr>
            </w:pPr>
            <w:r>
              <w:rPr>
                <w:rFonts w:ascii="仿宋_GB2312" w:hint="eastAsia"/>
                <w:sz w:val="21"/>
                <w:szCs w:val="21"/>
              </w:rPr>
              <w:t>705</w:t>
            </w:r>
          </w:p>
        </w:tc>
        <w:tc>
          <w:tcPr>
            <w:tcW w:w="1638" w:type="dxa"/>
          </w:tcPr>
          <w:p>
            <w:pPr>
              <w:pStyle w:val="a"/>
              <w:jc w:val="center"/>
              <w:rPr>
                <w:rFonts w:ascii="仿宋_GB2312" w:cs="Arial Unicode MS" w:hint="eastAsia"/>
                <w:sz w:val="21"/>
                <w:szCs w:val="21"/>
              </w:rPr>
            </w:pPr>
            <w:r>
              <w:rPr>
                <w:rFonts w:ascii="仿宋_GB2312" w:hint="eastAsia"/>
                <w:sz w:val="21"/>
                <w:szCs w:val="21"/>
              </w:rPr>
              <w:t>698</w:t>
            </w:r>
          </w:p>
        </w:tc>
        <w:tc>
          <w:tcPr>
            <w:tcW w:w="1639" w:type="dxa"/>
          </w:tcPr>
          <w:p>
            <w:pPr>
              <w:pStyle w:val="a"/>
              <w:jc w:val="center"/>
              <w:rPr>
                <w:rFonts w:ascii="仿宋_GB2312" w:cs="Arial Unicode MS" w:hint="eastAsia"/>
                <w:sz w:val="21"/>
                <w:szCs w:val="21"/>
              </w:rPr>
            </w:pPr>
            <w:r>
              <w:rPr>
                <w:rFonts w:ascii="仿宋_GB2312" w:hint="eastAsia"/>
                <w:sz w:val="21"/>
                <w:szCs w:val="21"/>
              </w:rPr>
              <w:t>102.8</w:t>
            </w:r>
          </w:p>
        </w:tc>
        <w:tc>
          <w:tcPr>
            <w:tcW w:w="1633" w:type="dxa"/>
          </w:tcPr>
          <w:p>
            <w:pPr>
              <w:pStyle w:val="a"/>
              <w:jc w:val="center"/>
              <w:rPr>
                <w:rFonts w:ascii="仿宋_GB2312" w:cs="Arial Unicode MS" w:hint="eastAsia"/>
                <w:sz w:val="21"/>
                <w:szCs w:val="21"/>
              </w:rPr>
            </w:pPr>
            <w:r>
              <w:rPr>
                <w:rFonts w:ascii="仿宋_GB2312" w:hint="eastAsia"/>
                <w:sz w:val="21"/>
                <w:szCs w:val="21"/>
              </w:rPr>
              <w:t>1301.8</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中东欧</w:t>
            </w:r>
          </w:p>
        </w:tc>
        <w:tc>
          <w:tcPr>
            <w:tcW w:w="1306" w:type="dxa"/>
          </w:tcPr>
          <w:p>
            <w:pPr>
              <w:pStyle w:val="a"/>
              <w:jc w:val="center"/>
              <w:rPr>
                <w:rFonts w:ascii="仿宋_GB2312" w:cs="Arial Unicode MS" w:hint="eastAsia"/>
                <w:sz w:val="21"/>
                <w:szCs w:val="21"/>
              </w:rPr>
            </w:pPr>
            <w:r>
              <w:rPr>
                <w:rFonts w:ascii="仿宋_GB2312" w:hint="eastAsia"/>
                <w:sz w:val="21"/>
                <w:szCs w:val="21"/>
              </w:rPr>
              <w:t>496.6</w:t>
            </w:r>
          </w:p>
        </w:tc>
        <w:tc>
          <w:tcPr>
            <w:tcW w:w="1639" w:type="dxa"/>
          </w:tcPr>
          <w:p>
            <w:pPr>
              <w:pStyle w:val="a"/>
              <w:jc w:val="center"/>
              <w:rPr>
                <w:rFonts w:ascii="仿宋_GB2312" w:hint="eastAsia"/>
                <w:sz w:val="21"/>
                <w:szCs w:val="21"/>
              </w:rPr>
            </w:pPr>
            <w:r>
              <w:rPr>
                <w:rFonts w:ascii="仿宋_GB2312" w:hint="eastAsia"/>
                <w:sz w:val="21"/>
                <w:szCs w:val="21"/>
              </w:rPr>
              <w:t>348.5</w:t>
            </w:r>
          </w:p>
        </w:tc>
        <w:tc>
          <w:tcPr>
            <w:tcW w:w="1638" w:type="dxa"/>
          </w:tcPr>
          <w:p>
            <w:pPr>
              <w:pStyle w:val="a"/>
              <w:jc w:val="center"/>
              <w:rPr>
                <w:rFonts w:ascii="仿宋_GB2312" w:cs="Arial Unicode MS" w:hint="eastAsia"/>
                <w:sz w:val="21"/>
                <w:szCs w:val="21"/>
              </w:rPr>
            </w:pPr>
            <w:r>
              <w:rPr>
                <w:rFonts w:ascii="仿宋_GB2312" w:hint="eastAsia"/>
                <w:sz w:val="21"/>
                <w:szCs w:val="21"/>
              </w:rPr>
              <w:t>59.1</w:t>
            </w:r>
          </w:p>
        </w:tc>
        <w:tc>
          <w:tcPr>
            <w:tcW w:w="1639" w:type="dxa"/>
          </w:tcPr>
          <w:p>
            <w:pPr>
              <w:pStyle w:val="a"/>
              <w:jc w:val="center"/>
              <w:rPr>
                <w:rFonts w:ascii="仿宋_GB2312" w:cs="Arial Unicode MS" w:hint="eastAsia"/>
                <w:sz w:val="21"/>
                <w:szCs w:val="21"/>
              </w:rPr>
            </w:pPr>
            <w:r>
              <w:rPr>
                <w:rFonts w:ascii="仿宋_GB2312" w:hint="eastAsia"/>
                <w:sz w:val="21"/>
                <w:szCs w:val="21"/>
              </w:rPr>
              <w:t>186.2</w:t>
            </w:r>
          </w:p>
        </w:tc>
        <w:tc>
          <w:tcPr>
            <w:tcW w:w="1633" w:type="dxa"/>
          </w:tcPr>
          <w:p>
            <w:pPr>
              <w:pStyle w:val="a"/>
              <w:jc w:val="center"/>
              <w:rPr>
                <w:rFonts w:ascii="仿宋_GB2312" w:cs="Arial Unicode MS" w:hint="eastAsia"/>
                <w:sz w:val="21"/>
                <w:szCs w:val="21"/>
              </w:rPr>
            </w:pPr>
            <w:r>
              <w:rPr>
                <w:rFonts w:ascii="仿宋_GB2312" w:hint="eastAsia"/>
                <w:sz w:val="21"/>
                <w:szCs w:val="21"/>
              </w:rPr>
              <w:t>221.8</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中东</w:t>
            </w:r>
          </w:p>
        </w:tc>
        <w:tc>
          <w:tcPr>
            <w:tcW w:w="1306" w:type="dxa"/>
          </w:tcPr>
          <w:p>
            <w:pPr>
              <w:pStyle w:val="a"/>
              <w:jc w:val="center"/>
              <w:rPr>
                <w:rFonts w:ascii="仿宋_GB2312" w:cs="Arial Unicode MS" w:hint="eastAsia"/>
                <w:sz w:val="21"/>
                <w:szCs w:val="21"/>
              </w:rPr>
            </w:pPr>
            <w:r>
              <w:rPr>
                <w:rFonts w:ascii="仿宋_GB2312" w:hint="eastAsia"/>
                <w:sz w:val="21"/>
                <w:szCs w:val="21"/>
              </w:rPr>
              <w:t>867.5</w:t>
            </w:r>
          </w:p>
        </w:tc>
        <w:tc>
          <w:tcPr>
            <w:tcW w:w="1639" w:type="dxa"/>
          </w:tcPr>
          <w:p>
            <w:pPr>
              <w:pStyle w:val="a"/>
              <w:jc w:val="center"/>
              <w:rPr>
                <w:rFonts w:ascii="仿宋_GB2312" w:cs="Arial Unicode MS" w:hint="eastAsia"/>
                <w:sz w:val="21"/>
                <w:szCs w:val="21"/>
              </w:rPr>
            </w:pPr>
            <w:r>
              <w:rPr>
                <w:rFonts w:ascii="仿宋_GB2312" w:hint="eastAsia"/>
                <w:sz w:val="21"/>
                <w:szCs w:val="21"/>
              </w:rPr>
              <w:t>783.5</w:t>
            </w:r>
          </w:p>
        </w:tc>
        <w:tc>
          <w:tcPr>
            <w:tcW w:w="1638" w:type="dxa"/>
          </w:tcPr>
          <w:p>
            <w:pPr>
              <w:pStyle w:val="a"/>
              <w:jc w:val="center"/>
              <w:rPr>
                <w:rFonts w:ascii="仿宋_GB2312" w:cs="Arial Unicode MS" w:hint="eastAsia"/>
                <w:sz w:val="21"/>
                <w:szCs w:val="21"/>
              </w:rPr>
            </w:pPr>
            <w:r>
              <w:rPr>
                <w:rFonts w:ascii="仿宋_GB2312" w:hint="eastAsia"/>
                <w:sz w:val="21"/>
                <w:szCs w:val="21"/>
              </w:rPr>
              <w:t>39.5</w:t>
            </w:r>
          </w:p>
        </w:tc>
        <w:tc>
          <w:tcPr>
            <w:tcW w:w="1639" w:type="dxa"/>
          </w:tcPr>
          <w:p>
            <w:pPr>
              <w:pStyle w:val="a"/>
              <w:jc w:val="center"/>
              <w:rPr>
                <w:rFonts w:ascii="仿宋_GB2312" w:cs="Arial Unicode MS" w:hint="eastAsia"/>
                <w:sz w:val="21"/>
                <w:szCs w:val="21"/>
              </w:rPr>
            </w:pPr>
            <w:r>
              <w:rPr>
                <w:rFonts w:ascii="仿宋_GB2312" w:hint="eastAsia"/>
                <w:sz w:val="21"/>
                <w:szCs w:val="21"/>
              </w:rPr>
              <w:t>616.8</w:t>
            </w:r>
          </w:p>
        </w:tc>
        <w:tc>
          <w:tcPr>
            <w:tcW w:w="1633" w:type="dxa"/>
          </w:tcPr>
          <w:p>
            <w:pPr>
              <w:pStyle w:val="a"/>
              <w:jc w:val="center"/>
              <w:rPr>
                <w:rFonts w:ascii="仿宋_GB2312" w:cs="Arial Unicode MS" w:hint="eastAsia"/>
                <w:sz w:val="21"/>
                <w:szCs w:val="21"/>
              </w:rPr>
            </w:pPr>
            <w:r>
              <w:rPr>
                <w:rFonts w:ascii="仿宋_GB2312" w:hint="eastAsia"/>
                <w:sz w:val="21"/>
                <w:szCs w:val="21"/>
              </w:rPr>
              <w:t>206.2</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北美</w:t>
            </w:r>
          </w:p>
        </w:tc>
        <w:tc>
          <w:tcPr>
            <w:tcW w:w="1306" w:type="dxa"/>
          </w:tcPr>
          <w:p>
            <w:pPr>
              <w:pStyle w:val="a"/>
              <w:jc w:val="center"/>
              <w:rPr>
                <w:rFonts w:ascii="仿宋_GB2312" w:cs="Arial Unicode MS" w:hint="eastAsia"/>
                <w:sz w:val="21"/>
                <w:szCs w:val="21"/>
              </w:rPr>
            </w:pPr>
            <w:r>
              <w:rPr>
                <w:rFonts w:ascii="仿宋_GB2312" w:hint="eastAsia"/>
                <w:sz w:val="21"/>
                <w:szCs w:val="21"/>
              </w:rPr>
              <w:t>394.2</w:t>
            </w:r>
          </w:p>
        </w:tc>
        <w:tc>
          <w:tcPr>
            <w:tcW w:w="1639" w:type="dxa"/>
          </w:tcPr>
          <w:p>
            <w:pPr>
              <w:pStyle w:val="a"/>
              <w:jc w:val="center"/>
              <w:rPr>
                <w:rFonts w:ascii="仿宋_GB2312" w:cs="Arial Unicode MS" w:hint="eastAsia"/>
                <w:sz w:val="21"/>
                <w:szCs w:val="21"/>
              </w:rPr>
            </w:pPr>
            <w:r>
              <w:rPr>
                <w:rFonts w:ascii="仿宋_GB2312" w:hint="eastAsia"/>
                <w:sz w:val="21"/>
                <w:szCs w:val="21"/>
              </w:rPr>
              <w:t>253.1</w:t>
            </w:r>
          </w:p>
        </w:tc>
        <w:tc>
          <w:tcPr>
            <w:tcW w:w="1638" w:type="dxa"/>
          </w:tcPr>
          <w:p>
            <w:pPr>
              <w:pStyle w:val="a"/>
              <w:jc w:val="center"/>
              <w:rPr>
                <w:rFonts w:ascii="仿宋_GB2312" w:cs="Arial Unicode MS" w:hint="eastAsia"/>
                <w:sz w:val="21"/>
                <w:szCs w:val="21"/>
              </w:rPr>
            </w:pPr>
            <w:r>
              <w:rPr>
                <w:rFonts w:ascii="仿宋_GB2312" w:hint="eastAsia"/>
                <w:sz w:val="21"/>
                <w:szCs w:val="21"/>
              </w:rPr>
              <w:t>689.2</w:t>
            </w:r>
          </w:p>
        </w:tc>
        <w:tc>
          <w:tcPr>
            <w:tcW w:w="1639" w:type="dxa"/>
          </w:tcPr>
          <w:p>
            <w:pPr>
              <w:pStyle w:val="a"/>
              <w:jc w:val="center"/>
              <w:rPr>
                <w:rFonts w:ascii="仿宋_GB2312" w:cs="Arial Unicode MS" w:hint="eastAsia"/>
                <w:sz w:val="21"/>
                <w:szCs w:val="21"/>
              </w:rPr>
            </w:pPr>
            <w:r>
              <w:rPr>
                <w:rFonts w:ascii="仿宋_GB2312" w:hint="eastAsia"/>
                <w:sz w:val="21"/>
                <w:szCs w:val="21"/>
              </w:rPr>
              <w:t>82.7</w:t>
            </w:r>
          </w:p>
        </w:tc>
        <w:tc>
          <w:tcPr>
            <w:tcW w:w="1633" w:type="dxa"/>
          </w:tcPr>
          <w:p>
            <w:pPr>
              <w:pStyle w:val="a"/>
              <w:jc w:val="center"/>
              <w:rPr>
                <w:rFonts w:ascii="仿宋_GB2312" w:cs="Arial Unicode MS" w:hint="eastAsia"/>
                <w:sz w:val="21"/>
                <w:szCs w:val="21"/>
              </w:rPr>
            </w:pPr>
            <w:r>
              <w:rPr>
                <w:rFonts w:ascii="仿宋_GB2312" w:hint="eastAsia"/>
                <w:sz w:val="21"/>
                <w:szCs w:val="21"/>
              </w:rPr>
              <w:t>859.6</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大洋洲</w:t>
            </w:r>
          </w:p>
        </w:tc>
        <w:tc>
          <w:tcPr>
            <w:tcW w:w="1306" w:type="dxa"/>
          </w:tcPr>
          <w:p>
            <w:pPr>
              <w:pStyle w:val="a"/>
              <w:jc w:val="center"/>
              <w:rPr>
                <w:rFonts w:ascii="仿宋_GB2312" w:cs="Arial Unicode MS" w:hint="eastAsia"/>
                <w:sz w:val="21"/>
                <w:szCs w:val="21"/>
              </w:rPr>
            </w:pPr>
            <w:r>
              <w:rPr>
                <w:rFonts w:ascii="仿宋_GB2312" w:hint="eastAsia"/>
                <w:sz w:val="21"/>
                <w:szCs w:val="21"/>
              </w:rPr>
              <w:t>62.3</w:t>
            </w:r>
          </w:p>
        </w:tc>
        <w:tc>
          <w:tcPr>
            <w:tcW w:w="1639" w:type="dxa"/>
          </w:tcPr>
          <w:p>
            <w:pPr>
              <w:pStyle w:val="a"/>
              <w:jc w:val="center"/>
              <w:rPr>
                <w:rFonts w:ascii="仿宋_GB2312" w:cs="Arial Unicode MS" w:hint="eastAsia"/>
                <w:sz w:val="21"/>
                <w:szCs w:val="21"/>
              </w:rPr>
            </w:pPr>
            <w:r>
              <w:rPr>
                <w:rFonts w:ascii="仿宋_GB2312" w:hint="eastAsia"/>
                <w:sz w:val="21"/>
                <w:szCs w:val="21"/>
              </w:rPr>
              <w:t>38.5</w:t>
            </w:r>
          </w:p>
        </w:tc>
        <w:tc>
          <w:tcPr>
            <w:tcW w:w="1638" w:type="dxa"/>
          </w:tcPr>
          <w:p>
            <w:pPr>
              <w:pStyle w:val="a"/>
              <w:jc w:val="center"/>
              <w:rPr>
                <w:rFonts w:ascii="仿宋_GB2312" w:cs="Arial Unicode MS" w:hint="eastAsia"/>
                <w:sz w:val="21"/>
                <w:szCs w:val="21"/>
              </w:rPr>
            </w:pPr>
            <w:r>
              <w:rPr>
                <w:rFonts w:ascii="仿宋_GB2312" w:hint="eastAsia"/>
                <w:sz w:val="21"/>
                <w:szCs w:val="21"/>
              </w:rPr>
              <w:t>6.2</w:t>
            </w:r>
          </w:p>
        </w:tc>
        <w:tc>
          <w:tcPr>
            <w:tcW w:w="1639" w:type="dxa"/>
          </w:tcPr>
          <w:p>
            <w:pPr>
              <w:pStyle w:val="a"/>
              <w:jc w:val="center"/>
              <w:rPr>
                <w:rFonts w:ascii="仿宋_GB2312" w:cs="Arial Unicode MS" w:hint="eastAsia"/>
                <w:sz w:val="21"/>
                <w:szCs w:val="21"/>
              </w:rPr>
            </w:pPr>
            <w:r>
              <w:rPr>
                <w:rFonts w:ascii="仿宋_GB2312" w:hint="eastAsia"/>
                <w:sz w:val="21"/>
                <w:szCs w:val="21"/>
              </w:rPr>
              <w:t>33.3</w:t>
            </w:r>
          </w:p>
        </w:tc>
        <w:tc>
          <w:tcPr>
            <w:tcW w:w="1633" w:type="dxa"/>
          </w:tcPr>
          <w:p>
            <w:pPr>
              <w:pStyle w:val="a"/>
              <w:jc w:val="center"/>
              <w:rPr>
                <w:rFonts w:ascii="仿宋_GB2312" w:cs="Arial Unicode MS" w:hint="eastAsia"/>
                <w:sz w:val="21"/>
                <w:szCs w:val="21"/>
              </w:rPr>
            </w:pPr>
            <w:r>
              <w:rPr>
                <w:rFonts w:ascii="仿宋_GB2312" w:hint="eastAsia"/>
                <w:sz w:val="21"/>
                <w:szCs w:val="21"/>
              </w:rPr>
              <w:t>11.4</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中南美</w:t>
            </w:r>
          </w:p>
        </w:tc>
        <w:tc>
          <w:tcPr>
            <w:tcW w:w="1306" w:type="dxa"/>
          </w:tcPr>
          <w:p>
            <w:pPr>
              <w:pStyle w:val="a"/>
              <w:jc w:val="center"/>
              <w:rPr>
                <w:rFonts w:ascii="仿宋_GB2312" w:cs="Arial Unicode MS" w:hint="eastAsia"/>
                <w:sz w:val="21"/>
                <w:szCs w:val="21"/>
              </w:rPr>
            </w:pPr>
            <w:r>
              <w:rPr>
                <w:rFonts w:ascii="仿宋_GB2312" w:hint="eastAsia"/>
                <w:sz w:val="21"/>
                <w:szCs w:val="21"/>
              </w:rPr>
              <w:t>1108.5</w:t>
            </w:r>
          </w:p>
        </w:tc>
        <w:tc>
          <w:tcPr>
            <w:tcW w:w="1639" w:type="dxa"/>
          </w:tcPr>
          <w:p>
            <w:pPr>
              <w:pStyle w:val="a"/>
              <w:jc w:val="center"/>
              <w:rPr>
                <w:rFonts w:ascii="仿宋_GB2312" w:cs="Arial Unicode MS" w:hint="eastAsia"/>
                <w:sz w:val="21"/>
                <w:szCs w:val="21"/>
              </w:rPr>
            </w:pPr>
            <w:r>
              <w:rPr>
                <w:rFonts w:ascii="仿宋_GB2312" w:hint="eastAsia"/>
                <w:sz w:val="21"/>
                <w:szCs w:val="21"/>
              </w:rPr>
              <w:t>932.4</w:t>
            </w:r>
          </w:p>
        </w:tc>
        <w:tc>
          <w:tcPr>
            <w:tcW w:w="1638" w:type="dxa"/>
          </w:tcPr>
          <w:p>
            <w:pPr>
              <w:pStyle w:val="a"/>
              <w:jc w:val="center"/>
              <w:rPr>
                <w:rFonts w:ascii="仿宋_GB2312" w:cs="Arial Unicode MS" w:hint="eastAsia"/>
                <w:sz w:val="21"/>
                <w:szCs w:val="21"/>
              </w:rPr>
            </w:pPr>
            <w:r>
              <w:rPr>
                <w:rFonts w:ascii="仿宋_GB2312" w:hint="eastAsia"/>
                <w:sz w:val="21"/>
                <w:szCs w:val="21"/>
              </w:rPr>
              <w:t>28.2</w:t>
            </w:r>
          </w:p>
        </w:tc>
        <w:tc>
          <w:tcPr>
            <w:tcW w:w="1639" w:type="dxa"/>
          </w:tcPr>
          <w:p>
            <w:pPr>
              <w:pStyle w:val="a"/>
              <w:jc w:val="center"/>
              <w:rPr>
                <w:rFonts w:ascii="仿宋_GB2312" w:cs="Arial Unicode MS" w:hint="eastAsia"/>
                <w:sz w:val="21"/>
                <w:szCs w:val="21"/>
              </w:rPr>
            </w:pPr>
            <w:r>
              <w:rPr>
                <w:rFonts w:ascii="仿宋_GB2312" w:hint="eastAsia"/>
                <w:sz w:val="21"/>
                <w:szCs w:val="21"/>
              </w:rPr>
              <w:t>830.6</w:t>
            </w:r>
          </w:p>
        </w:tc>
        <w:tc>
          <w:tcPr>
            <w:tcW w:w="1633" w:type="dxa"/>
          </w:tcPr>
          <w:p>
            <w:pPr>
              <w:pStyle w:val="a"/>
              <w:jc w:val="center"/>
              <w:rPr>
                <w:rFonts w:ascii="仿宋_GB2312" w:cs="Arial Unicode MS" w:hint="eastAsia"/>
                <w:sz w:val="21"/>
                <w:szCs w:val="21"/>
              </w:rPr>
            </w:pPr>
            <w:r>
              <w:rPr>
                <w:rFonts w:ascii="仿宋_GB2312" w:hint="eastAsia"/>
                <w:sz w:val="21"/>
                <w:szCs w:val="21"/>
              </w:rPr>
              <w:t>130</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rPr>
                <w:rFonts w:ascii="仿宋_GB2312" w:cs="Arial Unicode MS" w:hint="eastAsia"/>
                <w:sz w:val="21"/>
                <w:szCs w:val="21"/>
              </w:rPr>
            </w:pPr>
            <w:r>
              <w:rPr>
                <w:rFonts w:ascii="仿宋_GB2312" w:hint="eastAsia"/>
                <w:sz w:val="21"/>
                <w:szCs w:val="21"/>
              </w:rPr>
              <w:t>西欧</w:t>
            </w:r>
          </w:p>
        </w:tc>
        <w:tc>
          <w:tcPr>
            <w:tcW w:w="1306" w:type="dxa"/>
          </w:tcPr>
          <w:p>
            <w:pPr>
              <w:pStyle w:val="a"/>
              <w:jc w:val="center"/>
              <w:rPr>
                <w:rFonts w:ascii="仿宋_GB2312" w:cs="Arial Unicode MS" w:hint="eastAsia"/>
                <w:sz w:val="21"/>
                <w:szCs w:val="21"/>
              </w:rPr>
            </w:pPr>
            <w:r>
              <w:rPr>
                <w:rFonts w:ascii="仿宋_GB2312" w:hint="eastAsia"/>
                <w:sz w:val="21"/>
                <w:szCs w:val="21"/>
              </w:rPr>
              <w:t>360</w:t>
            </w:r>
          </w:p>
        </w:tc>
        <w:tc>
          <w:tcPr>
            <w:tcW w:w="1639" w:type="dxa"/>
          </w:tcPr>
          <w:p>
            <w:pPr>
              <w:pStyle w:val="a"/>
              <w:jc w:val="center"/>
              <w:rPr>
                <w:rFonts w:ascii="仿宋_GB2312" w:cs="Arial Unicode MS" w:hint="eastAsia"/>
                <w:sz w:val="21"/>
                <w:szCs w:val="21"/>
              </w:rPr>
            </w:pPr>
            <w:r>
              <w:rPr>
                <w:rFonts w:ascii="仿宋_GB2312" w:hint="eastAsia"/>
                <w:sz w:val="21"/>
                <w:szCs w:val="21"/>
              </w:rPr>
              <w:t>279.1</w:t>
            </w:r>
          </w:p>
        </w:tc>
        <w:tc>
          <w:tcPr>
            <w:tcW w:w="1638" w:type="dxa"/>
          </w:tcPr>
          <w:p>
            <w:pPr>
              <w:pStyle w:val="a"/>
              <w:jc w:val="center"/>
              <w:rPr>
                <w:rFonts w:ascii="仿宋_GB2312" w:cs="Arial Unicode MS" w:hint="eastAsia"/>
                <w:sz w:val="21"/>
                <w:szCs w:val="21"/>
              </w:rPr>
            </w:pPr>
            <w:r>
              <w:rPr>
                <w:rFonts w:ascii="仿宋_GB2312" w:hint="eastAsia"/>
                <w:sz w:val="21"/>
                <w:szCs w:val="21"/>
              </w:rPr>
              <w:t>621.8</w:t>
            </w:r>
          </w:p>
        </w:tc>
        <w:tc>
          <w:tcPr>
            <w:tcW w:w="1639" w:type="dxa"/>
          </w:tcPr>
          <w:p>
            <w:pPr>
              <w:pStyle w:val="a"/>
              <w:jc w:val="center"/>
              <w:rPr>
                <w:rFonts w:ascii="仿宋_GB2312" w:cs="Arial Unicode MS" w:hint="eastAsia"/>
                <w:sz w:val="21"/>
                <w:szCs w:val="21"/>
              </w:rPr>
            </w:pPr>
            <w:r>
              <w:rPr>
                <w:rFonts w:ascii="仿宋_GB2312" w:hint="eastAsia"/>
                <w:sz w:val="21"/>
                <w:szCs w:val="21"/>
              </w:rPr>
              <w:t>196.6</w:t>
            </w:r>
          </w:p>
        </w:tc>
        <w:tc>
          <w:tcPr>
            <w:tcW w:w="1633" w:type="dxa"/>
          </w:tcPr>
          <w:p>
            <w:pPr>
              <w:pStyle w:val="a"/>
              <w:jc w:val="center"/>
              <w:rPr>
                <w:rFonts w:ascii="仿宋_GB2312" w:cs="Arial Unicode MS" w:hint="eastAsia"/>
                <w:sz w:val="21"/>
                <w:szCs w:val="21"/>
              </w:rPr>
            </w:pPr>
            <w:r>
              <w:rPr>
                <w:rFonts w:ascii="仿宋_GB2312" w:hint="eastAsia"/>
                <w:sz w:val="21"/>
                <w:szCs w:val="21"/>
              </w:rPr>
              <w:t>698.8</w:t>
            </w:r>
          </w:p>
        </w:tc>
      </w:tr>
      <w:tr>
        <w:tblPrEx>
          <w:jc w:val="center"/>
          <w:tblLayout w:type="fixed"/>
          <w:tblCellMar>
            <w:top w:w="0" w:type="dxa"/>
            <w:left w:w="108" w:type="dxa"/>
            <w:bottom w:w="0" w:type="dxa"/>
            <w:right w:w="108" w:type="dxa"/>
          </w:tblCellMar>
          <w:tblLook w:val="0000"/>
        </w:tblPrEx>
        <w:trPr>
          <w:trHeight w:val="386"/>
          <w:jc w:val="center"/>
        </w:trPr>
        <w:tc>
          <w:tcPr>
            <w:tcW w:w="1445" w:type="dxa"/>
          </w:tcPr>
          <w:p>
            <w:pPr>
              <w:pStyle w:val="a"/>
              <w:jc w:val="center"/>
              <w:rPr>
                <w:rFonts w:ascii="仿宋_GB2312" w:cs="Arial Unicode MS" w:hint="eastAsia"/>
                <w:sz w:val="21"/>
                <w:szCs w:val="21"/>
              </w:rPr>
            </w:pPr>
            <w:r>
              <w:rPr>
                <w:rFonts w:ascii="仿宋_GB2312" w:hint="eastAsia"/>
                <w:sz w:val="21"/>
                <w:szCs w:val="21"/>
              </w:rPr>
              <w:t>合计</w:t>
            </w:r>
          </w:p>
        </w:tc>
        <w:tc>
          <w:tcPr>
            <w:tcW w:w="1306" w:type="dxa"/>
          </w:tcPr>
          <w:p>
            <w:pPr>
              <w:pStyle w:val="a"/>
              <w:jc w:val="center"/>
              <w:rPr>
                <w:rFonts w:ascii="仿宋_GB2312" w:cs="Arial Unicode MS" w:hint="eastAsia"/>
                <w:sz w:val="21"/>
                <w:szCs w:val="21"/>
              </w:rPr>
            </w:pPr>
            <w:r>
              <w:rPr>
                <w:rFonts w:ascii="仿宋_GB2312" w:hint="eastAsia"/>
                <w:sz w:val="21"/>
                <w:szCs w:val="21"/>
              </w:rPr>
              <w:t>4568</w:t>
            </w:r>
          </w:p>
        </w:tc>
        <w:tc>
          <w:tcPr>
            <w:tcW w:w="1639" w:type="dxa"/>
          </w:tcPr>
          <w:p>
            <w:pPr>
              <w:pStyle w:val="a"/>
              <w:jc w:val="center"/>
              <w:rPr>
                <w:rFonts w:ascii="仿宋_GB2312" w:cs="Arial Unicode MS" w:hint="eastAsia"/>
                <w:sz w:val="21"/>
                <w:szCs w:val="21"/>
              </w:rPr>
            </w:pPr>
            <w:r>
              <w:rPr>
                <w:rFonts w:ascii="仿宋_GB2312" w:hint="eastAsia"/>
                <w:sz w:val="21"/>
                <w:szCs w:val="21"/>
              </w:rPr>
              <w:t>3487.1</w:t>
            </w:r>
          </w:p>
        </w:tc>
        <w:tc>
          <w:tcPr>
            <w:tcW w:w="1638" w:type="dxa"/>
          </w:tcPr>
          <w:p>
            <w:pPr>
              <w:pStyle w:val="a"/>
              <w:jc w:val="center"/>
              <w:rPr>
                <w:rFonts w:ascii="仿宋_GB2312" w:cs="Arial Unicode MS" w:hint="eastAsia"/>
                <w:sz w:val="21"/>
                <w:szCs w:val="21"/>
              </w:rPr>
            </w:pPr>
            <w:r>
              <w:rPr>
                <w:rFonts w:ascii="仿宋_GB2312" w:hint="eastAsia"/>
                <w:sz w:val="21"/>
                <w:szCs w:val="21"/>
              </w:rPr>
              <w:t>2147.3</w:t>
            </w:r>
          </w:p>
        </w:tc>
        <w:tc>
          <w:tcPr>
            <w:tcW w:w="1639" w:type="dxa"/>
          </w:tcPr>
          <w:p>
            <w:pPr>
              <w:pStyle w:val="a"/>
              <w:jc w:val="center"/>
              <w:rPr>
                <w:rFonts w:ascii="仿宋_GB2312" w:cs="Arial Unicode MS" w:hint="eastAsia"/>
                <w:sz w:val="21"/>
                <w:szCs w:val="21"/>
              </w:rPr>
            </w:pPr>
            <w:r>
              <w:rPr>
                <w:rFonts w:ascii="仿宋_GB2312" w:hint="eastAsia"/>
                <w:sz w:val="21"/>
                <w:szCs w:val="21"/>
              </w:rPr>
              <w:t>2181</w:t>
            </w:r>
          </w:p>
        </w:tc>
        <w:tc>
          <w:tcPr>
            <w:tcW w:w="1633" w:type="dxa"/>
          </w:tcPr>
          <w:p>
            <w:pPr>
              <w:pStyle w:val="a"/>
              <w:jc w:val="center"/>
              <w:rPr>
                <w:rFonts w:ascii="仿宋_GB2312" w:cs="Arial Unicode MS" w:hint="eastAsia"/>
                <w:sz w:val="21"/>
                <w:szCs w:val="21"/>
              </w:rPr>
            </w:pPr>
            <w:r>
              <w:rPr>
                <w:rFonts w:ascii="仿宋_GB2312" w:hint="eastAsia"/>
                <w:sz w:val="21"/>
                <w:szCs w:val="21"/>
              </w:rPr>
              <w:t>3450</w:t>
            </w:r>
          </w:p>
        </w:tc>
      </w:tr>
    </w:tbl>
    <w:p>
      <w:pPr>
        <w:pStyle w:val="Heading2"/>
        <w:rPr>
          <w:rFonts w:ascii="宋体" w:eastAsia="宋体" w:hAnsi="宋体" w:cs="宋体" w:hint="eastAsia"/>
          <w:b w:val="0"/>
          <w:bCs/>
          <w:sz w:val="28"/>
          <w:szCs w:val="28"/>
        </w:rPr>
      </w:pPr>
      <w:bookmarkStart w:id="10" w:name="_Toc9596"/>
      <w:r>
        <w:rPr>
          <w:rFonts w:ascii="宋体" w:eastAsia="宋体" w:hAnsi="宋体" w:cs="宋体" w:hint="eastAsia"/>
          <w:b w:val="0"/>
          <w:bCs/>
          <w:sz w:val="28"/>
          <w:szCs w:val="28"/>
          <w:lang w:val="en-US" w:eastAsia="zh-CN"/>
        </w:rPr>
        <w:t xml:space="preserve">1.2.2 </w:t>
      </w:r>
      <w:r>
        <w:rPr>
          <w:rFonts w:ascii="宋体" w:eastAsia="宋体" w:hAnsi="宋体" w:cs="宋体" w:hint="eastAsia"/>
          <w:b w:val="0"/>
          <w:bCs/>
          <w:sz w:val="28"/>
          <w:szCs w:val="28"/>
        </w:rPr>
        <w:t>我国甲醇开展预测</w:t>
      </w:r>
      <w:bookmarkEnd w:id="10"/>
    </w:p>
    <w:p>
      <w:pPr>
        <w:pStyle w:val="Heading2"/>
        <w:rPr>
          <w:rFonts w:ascii="宋体" w:eastAsia="宋体" w:hAnsi="宋体" w:cs="宋体" w:hint="eastAsia"/>
          <w:b w:val="0"/>
          <w:bCs/>
          <w:sz w:val="24"/>
          <w:szCs w:val="24"/>
        </w:rPr>
      </w:pPr>
      <w:bookmarkStart w:id="11" w:name="_Toc6360"/>
      <w:bookmarkStart w:id="12" w:name="_Toc31464"/>
      <w:bookmarkStart w:id="13" w:name="_Toc8045"/>
      <w:bookmarkStart w:id="14" w:name="_Toc23943"/>
      <w:bookmarkStart w:id="15" w:name="_Toc9021"/>
      <w:r>
        <w:rPr>
          <w:rFonts w:ascii="宋体" w:eastAsia="宋体" w:hAnsi="宋体" w:cs="宋体" w:hint="eastAsia"/>
          <w:b w:val="0"/>
          <w:bCs/>
          <w:sz w:val="24"/>
          <w:szCs w:val="24"/>
        </w:rPr>
        <w:t>据统计，</w:t>
      </w:r>
      <w:r>
        <w:rPr>
          <w:rFonts w:ascii="宋体" w:eastAsia="宋体" w:hAnsi="宋体" w:cs="宋体" w:hint="eastAsia"/>
          <w:b w:val="0"/>
          <w:bCs/>
          <w:sz w:val="24"/>
          <w:szCs w:val="24"/>
        </w:rPr>
        <w:t>“</w:t>
      </w:r>
      <w:r>
        <w:rPr>
          <w:rFonts w:ascii="宋体" w:eastAsia="宋体" w:hAnsi="宋体" w:cs="宋体" w:hint="eastAsia"/>
          <w:b w:val="0"/>
          <w:bCs/>
          <w:sz w:val="24"/>
          <w:szCs w:val="24"/>
        </w:rPr>
        <w:t>十一五〞期间我国新建、拟建甲醇工程共41个〔不包括二甲醚、甲醇制烯烃生产企业自身配套的甲醇生产装置〕。其中</w:t>
      </w:r>
      <w:r>
        <w:rPr>
          <w:rFonts w:ascii="宋体" w:eastAsia="宋体" w:hAnsi="宋体" w:cs="宋体" w:hint="eastAsia"/>
          <w:b w:val="0"/>
          <w:bCs/>
          <w:sz w:val="24"/>
          <w:szCs w:val="24"/>
        </w:rPr>
        <w:t>“</w:t>
      </w:r>
      <w:r>
        <w:rPr>
          <w:rFonts w:ascii="宋体" w:eastAsia="宋体" w:hAnsi="宋体" w:cs="宋体" w:hint="eastAsia"/>
          <w:b w:val="0"/>
          <w:bCs/>
          <w:sz w:val="24"/>
          <w:szCs w:val="24"/>
        </w:rPr>
        <w:t>十一五〞期间可以投产的工程为34个，产能合计1178万吨/年。另外7个工程尚处于前期工作阶段，尚未开工建设，</w:t>
      </w:r>
      <w:r>
        <w:rPr>
          <w:rFonts w:ascii="宋体" w:eastAsia="宋体" w:hAnsi="宋体" w:cs="宋体" w:hint="eastAsia"/>
          <w:b w:val="0"/>
          <w:bCs/>
          <w:sz w:val="24"/>
          <w:szCs w:val="24"/>
        </w:rPr>
        <w:t>“</w:t>
      </w:r>
      <w:r>
        <w:rPr>
          <w:rFonts w:ascii="宋体" w:eastAsia="宋体" w:hAnsi="宋体" w:cs="宋体" w:hint="eastAsia"/>
          <w:b w:val="0"/>
          <w:bCs/>
          <w:sz w:val="24"/>
          <w:szCs w:val="24"/>
        </w:rPr>
        <w:t>十一五〞期间能不能投产暂不确定。这7个工程产能共计670万吨/年</w:t>
      </w:r>
      <w:bookmarkEnd w:id="11"/>
      <w:bookmarkEnd w:id="12"/>
      <w:bookmarkEnd w:id="13"/>
      <w:bookmarkEnd w:id="14"/>
      <w:bookmarkEnd w:id="15"/>
    </w:p>
    <w:p>
      <w:pPr>
        <w:jc w:val="center"/>
        <w:rPr>
          <w:rFonts w:ascii="宋体" w:eastAsia="宋体" w:hAnsi="宋体" w:cs="宋体" w:hint="eastAsia"/>
          <w:b w:val="0"/>
          <w:bCs/>
          <w:sz w:val="24"/>
        </w:rPr>
      </w:pPr>
      <w:r>
        <w:rPr>
          <w:rFonts w:ascii="宋体" w:eastAsia="宋体" w:hAnsi="宋体" w:cs="宋体" w:hint="eastAsia"/>
          <w:b w:val="0"/>
          <w:bCs/>
          <w:sz w:val="24"/>
          <w:szCs w:val="24"/>
        </w:rPr>
        <w:t>表</w:t>
      </w:r>
      <w:r>
        <w:rPr>
          <w:rFonts w:ascii="宋体" w:eastAsia="宋体" w:hAnsi="宋体" w:cs="宋体" w:hint="eastAsia"/>
          <w:b w:val="0"/>
          <w:bCs/>
          <w:sz w:val="24"/>
          <w:szCs w:val="24"/>
          <w:lang w:val="en-US" w:eastAsia="zh-CN"/>
        </w:rPr>
        <w:t xml:space="preserve">2 </w:t>
      </w:r>
      <w:r>
        <w:rPr>
          <w:rFonts w:ascii="宋体" w:eastAsia="宋体" w:hAnsi="宋体" w:cs="宋体" w:hint="eastAsia"/>
          <w:b w:val="0"/>
          <w:bCs/>
          <w:sz w:val="24"/>
          <w:szCs w:val="24"/>
        </w:rPr>
        <w:t>“</w:t>
      </w:r>
      <w:r>
        <w:rPr>
          <w:rFonts w:ascii="宋体" w:eastAsia="宋体" w:hAnsi="宋体" w:cs="宋体" w:hint="eastAsia"/>
          <w:b w:val="0"/>
          <w:bCs/>
          <w:sz w:val="24"/>
          <w:szCs w:val="24"/>
        </w:rPr>
        <w:t>十一五〞期间可以建成投产的甲醇工程</w:t>
      </w:r>
    </w:p>
    <w:tbl>
      <w:tblPr>
        <w:tblStyle w:val="TableNormal"/>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65"/>
        <w:gridCol w:w="1155"/>
        <w:gridCol w:w="2625"/>
        <w:gridCol w:w="1320"/>
        <w:gridCol w:w="1494"/>
      </w:tblGrid>
      <w:tr>
        <w:tblPrEx>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0"/>
          <w:jc w:val="center"/>
        </w:trPr>
        <w:tc>
          <w:tcPr>
            <w:tcW w:w="346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建设单位</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地点</w:t>
            </w:r>
          </w:p>
        </w:tc>
        <w:tc>
          <w:tcPr>
            <w:tcW w:w="262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产能及工程情况</w:t>
            </w:r>
          </w:p>
        </w:tc>
        <w:tc>
          <w:tcPr>
            <w:tcW w:w="1320"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投产日期</w:t>
            </w:r>
          </w:p>
        </w:tc>
        <w:tc>
          <w:tcPr>
            <w:tcW w:w="14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备注</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1.香港建滔化工集团/重庆长寿化工园区</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重庆长寿</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一期45万吨/年〔总计75万吨/年，投资17亿元〕</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07年上半年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2.山西焦化集团</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山西</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12万吨/年甲醇技术改造</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焦炉气原料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360" w:hanging="360" w:hangingChars="150"/>
              <w:rPr>
                <w:rFonts w:ascii="宋体" w:eastAsia="宋体" w:hAnsi="宋体" w:cs="宋体" w:hint="eastAsia"/>
                <w:b w:val="0"/>
                <w:bCs/>
                <w:kern w:val="0"/>
                <w:sz w:val="24"/>
                <w:lang w:val="zh-CN"/>
              </w:rPr>
            </w:pPr>
            <w:r>
              <w:rPr>
                <w:rFonts w:ascii="宋体" w:eastAsia="宋体" w:hAnsi="宋体" w:cs="宋体" w:hint="eastAsia"/>
                <w:b w:val="0"/>
                <w:bCs/>
                <w:kern w:val="0"/>
                <w:sz w:val="24"/>
                <w:szCs w:val="24"/>
                <w:lang w:val="zh-CN"/>
              </w:rPr>
              <w:t>3.山西兰花科技创业公司</w:t>
            </w:r>
          </w:p>
        </w:tc>
        <w:tc>
          <w:tcPr>
            <w:tcW w:w="1155" w:type="dxa"/>
          </w:tcPr>
          <w:p>
            <w:pPr>
              <w:jc w:val="center"/>
              <w:rPr>
                <w:rFonts w:ascii="宋体" w:eastAsia="宋体" w:hAnsi="宋体" w:cs="宋体" w:hint="eastAsia"/>
                <w:b w:val="0"/>
                <w:bCs/>
                <w:kern w:val="0"/>
                <w:sz w:val="24"/>
                <w:lang w:val="zh-CN"/>
              </w:rPr>
            </w:pPr>
            <w:r>
              <w:rPr>
                <w:rFonts w:ascii="宋体" w:eastAsia="宋体" w:hAnsi="宋体" w:cs="宋体" w:hint="eastAsia"/>
                <w:b w:val="0"/>
                <w:bCs/>
                <w:kern w:val="0"/>
                <w:sz w:val="24"/>
                <w:szCs w:val="24"/>
                <w:lang w:val="zh-CN"/>
              </w:rPr>
              <w:t>晋城</w:t>
            </w:r>
          </w:p>
        </w:tc>
        <w:tc>
          <w:tcPr>
            <w:tcW w:w="2625" w:type="dxa"/>
          </w:tcPr>
          <w:p>
            <w:pPr>
              <w:rPr>
                <w:rFonts w:ascii="宋体" w:eastAsia="宋体" w:hAnsi="宋体" w:cs="宋体" w:hint="eastAsia"/>
                <w:b w:val="0"/>
                <w:bCs/>
                <w:sz w:val="24"/>
              </w:rPr>
            </w:pPr>
            <w:r>
              <w:rPr>
                <w:rFonts w:ascii="宋体" w:eastAsia="宋体" w:hAnsi="宋体" w:cs="宋体" w:hint="eastAsia"/>
                <w:b w:val="0"/>
                <w:bCs/>
                <w:kern w:val="0"/>
                <w:sz w:val="24"/>
                <w:szCs w:val="24"/>
                <w:lang w:val="zh-CN"/>
              </w:rPr>
              <w:t>20万吨/年甲醇〔150万吨/年甲醇工程一期工程〕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4.山西丰喜肥业〔集团〕</w:t>
            </w:r>
          </w:p>
        </w:tc>
        <w:tc>
          <w:tcPr>
            <w:tcW w:w="1155" w:type="dxa"/>
          </w:tcPr>
          <w:p>
            <w:pPr>
              <w:jc w:val="center"/>
              <w:rPr>
                <w:rFonts w:ascii="宋体" w:eastAsia="宋体" w:hAnsi="宋体" w:cs="宋体" w:hint="eastAsia"/>
                <w:b w:val="0"/>
                <w:bCs/>
                <w:kern w:val="0"/>
                <w:sz w:val="24"/>
              </w:rPr>
            </w:pPr>
            <w:r>
              <w:rPr>
                <w:rFonts w:ascii="宋体" w:eastAsia="宋体" w:hAnsi="宋体" w:cs="宋体" w:hint="eastAsia"/>
                <w:b w:val="0"/>
                <w:bCs/>
                <w:kern w:val="0"/>
                <w:sz w:val="24"/>
                <w:szCs w:val="24"/>
              </w:rPr>
              <w:t>运城</w:t>
            </w:r>
          </w:p>
        </w:tc>
        <w:tc>
          <w:tcPr>
            <w:tcW w:w="2625" w:type="dxa"/>
          </w:tcPr>
          <w:p>
            <w:pPr>
              <w:ind w:left="926" w:hanging="926" w:hangingChars="386"/>
              <w:rPr>
                <w:rFonts w:ascii="宋体" w:eastAsia="宋体" w:hAnsi="宋体" w:cs="宋体" w:hint="eastAsia"/>
                <w:b w:val="0"/>
                <w:bCs/>
                <w:kern w:val="0"/>
                <w:sz w:val="24"/>
                <w:lang w:val="zh-CN"/>
              </w:rPr>
            </w:pPr>
            <w:r>
              <w:rPr>
                <w:rFonts w:ascii="宋体" w:eastAsia="宋体" w:hAnsi="宋体" w:cs="宋体" w:hint="eastAsia"/>
                <w:b w:val="0"/>
                <w:bCs/>
                <w:kern w:val="0"/>
                <w:sz w:val="24"/>
                <w:szCs w:val="24"/>
                <w:lang w:val="zh-CN"/>
              </w:rPr>
              <w:t>20万吨/年甲醇技改工程</w:t>
            </w:r>
          </w:p>
          <w:p>
            <w:pPr>
              <w:ind w:left="926" w:hanging="926" w:hangingChars="386"/>
              <w:rPr>
                <w:rFonts w:ascii="宋体" w:eastAsia="宋体" w:hAnsi="宋体" w:cs="宋体" w:hint="eastAsia"/>
                <w:b w:val="0"/>
                <w:bCs/>
                <w:kern w:val="0"/>
                <w:sz w:val="24"/>
                <w:lang w:val="zh-CN"/>
              </w:rPr>
            </w:pPr>
            <w:r>
              <w:rPr>
                <w:rFonts w:ascii="宋体" w:eastAsia="宋体" w:hAnsi="宋体" w:cs="宋体" w:hint="eastAsia"/>
                <w:b w:val="0"/>
                <w:bCs/>
                <w:kern w:val="0"/>
                <w:sz w:val="24"/>
                <w:szCs w:val="24"/>
                <w:lang w:val="zh-CN"/>
              </w:rPr>
              <w:t>〔总规划160万吨/年〕</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5.哈尔滨气化厂</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哈尔滨</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25万吨/年甲醇</w:t>
            </w:r>
          </w:p>
        </w:tc>
        <w:tc>
          <w:tcPr>
            <w:tcW w:w="1320" w:type="dxa"/>
          </w:tcPr>
          <w:p>
            <w:pPr>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振兴东北国债工程</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6.大连大化集团有限责任公司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大连</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30万吨/年甲醇工程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独资工程</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7.亿达信煤焦化能源公司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黑龙江</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8万吨/年甲醇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8.宝泰隆焦化</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黑龙江</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20万吨/年甲醇</w:t>
            </w:r>
          </w:p>
        </w:tc>
        <w:tc>
          <w:tcPr>
            <w:tcW w:w="1320" w:type="dxa"/>
          </w:tcPr>
          <w:p>
            <w:pPr>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spacing w:after="0"/>
              <w:rPr>
                <w:rFonts w:ascii="宋体" w:eastAsia="宋体" w:hAnsi="宋体" w:cs="宋体" w:hint="eastAsia"/>
                <w:b w:val="0"/>
                <w:bCs/>
                <w:sz w:val="24"/>
              </w:rPr>
            </w:pP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濮阳</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40万吨/年甲醇工程</w:t>
            </w:r>
          </w:p>
        </w:tc>
        <w:tc>
          <w:tcPr>
            <w:tcW w:w="1320" w:type="dxa"/>
          </w:tcPr>
          <w:p>
            <w:pPr>
              <w:spacing w:after="0"/>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bl>
    <w:p>
      <w:pPr>
        <w:sectPr>
          <w:type w:val="nextPage"/>
          <w:pgSz w:w="11906" w:h="16838"/>
          <w:pgMar w:top="1985" w:right="1418" w:bottom="1247" w:left="1531" w:header="851" w:footer="992" w:gutter="0"/>
          <w:pgNumType w:fmt="decimal" w:start="2"/>
          <w:cols w:space="708"/>
          <w:titlePg w:val="0"/>
          <w:docGrid w:type="lines" w:linePitch="312"/>
        </w:sectPr>
      </w:pPr>
    </w:p>
    <w:tbl>
      <w:tblPr>
        <w:tblStyle w:val="TableNormal"/>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65"/>
        <w:gridCol w:w="1155"/>
        <w:gridCol w:w="2625"/>
        <w:gridCol w:w="1320"/>
        <w:gridCol w:w="1494"/>
      </w:tblGrid>
      <w:tr>
        <w:tblPrEx>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465" w:type="dxa"/>
          </w:tcPr>
          <w:p>
            <w:pPr>
              <w:spacing w:before="0"/>
              <w:rPr>
                <w:rFonts w:ascii="宋体" w:eastAsia="宋体" w:hAnsi="宋体" w:cs="宋体" w:hint="eastAsia"/>
                <w:b w:val="0"/>
                <w:bCs/>
                <w:sz w:val="24"/>
              </w:rPr>
            </w:pPr>
            <w:r>
              <w:rPr>
                <w:rFonts w:ascii="宋体" w:eastAsia="宋体" w:hAnsi="宋体" w:cs="宋体" w:hint="eastAsia"/>
                <w:b w:val="0"/>
                <w:bCs/>
                <w:sz w:val="24"/>
                <w:szCs w:val="24"/>
              </w:rPr>
              <w:t>9.河南中原大化集团有限责任公司气化厂</w:t>
            </w:r>
          </w:p>
        </w:tc>
        <w:tc>
          <w:tcPr>
            <w:tcW w:w="1155" w:type="dxa"/>
          </w:tcPr>
          <w:p/>
        </w:tc>
        <w:tc>
          <w:tcPr>
            <w:tcW w:w="2625" w:type="dxa"/>
          </w:tcPr>
          <w:p/>
        </w:tc>
        <w:tc>
          <w:tcPr>
            <w:tcW w:w="1320" w:type="dxa"/>
          </w:tcPr>
          <w:p>
            <w:pPr>
              <w:spacing w:before="0"/>
              <w:rPr>
                <w:rFonts w:ascii="宋体" w:eastAsia="宋体" w:hAnsi="宋体" w:cs="宋体" w:hint="eastAsia"/>
                <w:b w:val="0"/>
                <w:bCs/>
                <w:sz w:val="24"/>
              </w:rPr>
            </w:pPr>
            <w:r>
              <w:rPr>
                <w:rFonts w:ascii="宋体" w:eastAsia="宋体" w:hAnsi="宋体" w:cs="宋体" w:hint="eastAsia"/>
                <w:b w:val="0"/>
                <w:bCs/>
                <w:sz w:val="24"/>
                <w:szCs w:val="24"/>
              </w:rPr>
              <w:t>07年12月</w:t>
            </w:r>
          </w:p>
        </w:tc>
        <w:tc>
          <w:tcPr>
            <w:tcW w:w="1494" w:type="dxa"/>
          </w:tc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10.河南省安阳化工集团公司化肥厂</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安阳</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2023年之前</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11.河南蓝天集团〔中原甲醇厂〕</w:t>
            </w:r>
          </w:p>
        </w:tc>
        <w:tc>
          <w:tcPr>
            <w:tcW w:w="1155" w:type="dxa"/>
          </w:tcPr>
          <w:p>
            <w:pPr>
              <w:jc w:val="center"/>
              <w:rPr>
                <w:rFonts w:ascii="宋体" w:eastAsia="宋体" w:hAnsi="宋体" w:cs="宋体" w:hint="eastAsia"/>
                <w:b w:val="0"/>
                <w:bCs/>
                <w:sz w:val="24"/>
              </w:rPr>
            </w:pP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10万吨/年甲醇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2023年初</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12.河南濮阳甲醇厂〔上属永城煤电集团〕</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濮阳</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8万吨/年甲醇工程〔由12万吨/年扩产至20万吨/年〕</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08年初投产</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天然气和煤</w:t>
            </w:r>
          </w:p>
        </w:tc>
      </w:tr>
      <w:tr>
        <w:tblPrEx>
          <w:jc w:val="center"/>
          <w:tblInd w:w="31" w:type="dxa"/>
          <w:tblLayout w:type="fixed"/>
          <w:tblCellMar>
            <w:top w:w="0" w:type="dxa"/>
            <w:left w:w="108" w:type="dxa"/>
            <w:bottom w:w="0" w:type="dxa"/>
            <w:right w:w="108" w:type="dxa"/>
          </w:tblCellMar>
          <w:tblLook w:val="0000"/>
        </w:tblPrEx>
        <w:trPr>
          <w:trHeight w:val="284"/>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13.河南开祥化工</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河南义马</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一期25万吨/年〔总共50万吨/年〕</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kern w:val="0"/>
                <w:sz w:val="24"/>
                <w:lang w:val="zh-CN"/>
              </w:rPr>
            </w:pPr>
            <w:r>
              <w:rPr>
                <w:rFonts w:ascii="宋体" w:eastAsia="宋体" w:hAnsi="宋体" w:cs="宋体" w:hint="eastAsia"/>
                <w:b w:val="0"/>
                <w:bCs/>
                <w:sz w:val="24"/>
                <w:szCs w:val="24"/>
                <w:lang w:val="zh-CN"/>
              </w:rPr>
              <w:t>14.河南</w:t>
            </w:r>
            <w:r>
              <w:rPr>
                <w:rFonts w:ascii="宋体" w:eastAsia="宋体" w:hAnsi="宋体" w:cs="宋体" w:hint="eastAsia"/>
                <w:b w:val="0"/>
                <w:bCs/>
                <w:sz w:val="24"/>
                <w:szCs w:val="24"/>
              </w:rPr>
              <w:t>永城煤电集团龙宇煤化工</w:t>
            </w:r>
          </w:p>
        </w:tc>
        <w:tc>
          <w:tcPr>
            <w:tcW w:w="1155" w:type="dxa"/>
          </w:tcPr>
          <w:p>
            <w:pPr>
              <w:jc w:val="center"/>
              <w:rPr>
                <w:rFonts w:ascii="宋体" w:eastAsia="宋体" w:hAnsi="宋体" w:cs="宋体" w:hint="eastAsia"/>
                <w:b w:val="0"/>
                <w:bCs/>
                <w:kern w:val="0"/>
                <w:sz w:val="24"/>
                <w:lang w:val="zh-CN"/>
              </w:rPr>
            </w:pPr>
            <w:r>
              <w:rPr>
                <w:rFonts w:ascii="宋体" w:eastAsia="宋体" w:hAnsi="宋体" w:cs="宋体" w:hint="eastAsia"/>
                <w:b w:val="0"/>
                <w:bCs/>
                <w:sz w:val="24"/>
                <w:szCs w:val="24"/>
              </w:rPr>
              <w:t>河南永城</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一期50万吨/年甲醇工程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07年12月</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以粉煤为原料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15.安徽淮北矿业集团公司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淮北</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一期20万吨/年甲醇工程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07～09年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16.青海中浩天然气化工</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格尔木</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60万吨/年甲醇工程</w:t>
            </w:r>
          </w:p>
          <w:p>
            <w:pPr>
              <w:rPr>
                <w:rFonts w:ascii="宋体" w:eastAsia="宋体" w:hAnsi="宋体" w:cs="宋体" w:hint="eastAsia"/>
                <w:b w:val="0"/>
                <w:bCs/>
                <w:sz w:val="24"/>
              </w:rPr>
            </w:pPr>
            <w:r>
              <w:rPr>
                <w:rFonts w:ascii="宋体" w:eastAsia="宋体" w:hAnsi="宋体" w:cs="宋体" w:hint="eastAsia"/>
                <w:b w:val="0"/>
                <w:bCs/>
                <w:sz w:val="24"/>
                <w:szCs w:val="24"/>
              </w:rPr>
              <w:t>2006年3月开工</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17.陕西神木化学工业公司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榆林神木</w:t>
            </w:r>
          </w:p>
        </w:tc>
        <w:tc>
          <w:tcPr>
            <w:tcW w:w="2625" w:type="dxa"/>
          </w:tcPr>
          <w:p>
            <w:pPr>
              <w:ind w:left="840" w:hanging="840" w:hangingChars="350"/>
              <w:rPr>
                <w:rFonts w:ascii="宋体" w:eastAsia="宋体" w:hAnsi="宋体" w:cs="宋体" w:hint="eastAsia"/>
                <w:b w:val="0"/>
                <w:bCs/>
                <w:sz w:val="24"/>
              </w:rPr>
            </w:pPr>
            <w:r>
              <w:rPr>
                <w:rFonts w:ascii="宋体" w:eastAsia="宋体" w:hAnsi="宋体" w:cs="宋体" w:hint="eastAsia"/>
                <w:b w:val="0"/>
                <w:bCs/>
                <w:sz w:val="24"/>
                <w:szCs w:val="24"/>
              </w:rPr>
              <w:t>40万吨/年甲醇工程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18.陕西黄河矿业有限责任公司</w:t>
            </w:r>
          </w:p>
          <w:p>
            <w:pPr>
              <w:rPr>
                <w:rFonts w:ascii="宋体" w:eastAsia="宋体" w:hAnsi="宋体" w:cs="宋体" w:hint="eastAsia"/>
                <w:b w:val="0"/>
                <w:bCs/>
                <w:sz w:val="24"/>
              </w:rPr>
            </w:pPr>
            <w:r>
              <w:rPr>
                <w:rFonts w:ascii="宋体" w:eastAsia="宋体" w:hAnsi="宋体" w:cs="宋体" w:hint="eastAsia"/>
                <w:b w:val="0"/>
                <w:bCs/>
                <w:sz w:val="24"/>
                <w:szCs w:val="24"/>
              </w:rPr>
              <w:t>—</w:t>
            </w:r>
            <w:r>
              <w:rPr>
                <w:rFonts w:ascii="宋体" w:eastAsia="宋体" w:hAnsi="宋体" w:cs="宋体" w:hint="eastAsia"/>
                <w:b w:val="0"/>
                <w:bCs/>
                <w:sz w:val="24"/>
                <w:szCs w:val="24"/>
              </w:rPr>
              <w:t>韩城黑猫焦化有限责任公司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韩城</w:t>
            </w:r>
          </w:p>
        </w:tc>
        <w:tc>
          <w:tcPr>
            <w:tcW w:w="2625" w:type="dxa"/>
          </w:tcPr>
          <w:p>
            <w:pPr>
              <w:ind w:left="840" w:hanging="840" w:hangingChars="350"/>
              <w:rPr>
                <w:rFonts w:ascii="宋体" w:eastAsia="宋体" w:hAnsi="宋体" w:cs="宋体" w:hint="eastAsia"/>
                <w:b w:val="0"/>
                <w:bCs/>
                <w:sz w:val="24"/>
              </w:rPr>
            </w:pPr>
            <w:r>
              <w:rPr>
                <w:rFonts w:ascii="宋体" w:eastAsia="宋体" w:hAnsi="宋体" w:cs="宋体" w:hint="eastAsia"/>
                <w:b w:val="0"/>
                <w:bCs/>
                <w:sz w:val="24"/>
                <w:szCs w:val="24"/>
              </w:rPr>
              <w:t>10万吨/年，焦炉气原料</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07.2.10投产</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19.陕西省投资集团公司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咸阳彬长</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60万吨/年</w:t>
            </w:r>
          </w:p>
        </w:tc>
        <w:tc>
          <w:tcPr>
            <w:tcW w:w="1320" w:type="dxa"/>
          </w:tcPr>
          <w:p>
            <w:pPr>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20.山东兖矿国际焦化</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兖州市</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2023年之前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焦炉气原料</w:t>
            </w:r>
          </w:p>
        </w:tc>
      </w:tr>
      <w:tr>
        <w:tblPrEx>
          <w:jc w:val="center"/>
          <w:tblInd w:w="31" w:type="dxa"/>
          <w:tblLayout w:type="fixed"/>
          <w:tblCellMar>
            <w:top w:w="0" w:type="dxa"/>
            <w:left w:w="108" w:type="dxa"/>
            <w:bottom w:w="0" w:type="dxa"/>
            <w:right w:w="108" w:type="dxa"/>
          </w:tblCellMar>
          <w:tblLook w:val="0000"/>
        </w:tblPrEx>
        <w:trPr>
          <w:trHeight w:val="177"/>
          <w:jc w:val="center"/>
        </w:trPr>
        <w:tc>
          <w:tcPr>
            <w:tcW w:w="3465"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21.兖矿集团榆林能源重化工基地</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陕西榆林</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60万吨/年甲醇工程一期</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22.山东德齐龙化工集团</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平原</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30万吨/年甲醇工程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2007年3月</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trHeight w:val="271"/>
          <w:jc w:val="center"/>
        </w:trPr>
        <w:tc>
          <w:tcPr>
            <w:tcW w:w="3465" w:type="dxa"/>
          </w:tcPr>
          <w:p>
            <w:pPr>
              <w:rPr>
                <w:rFonts w:ascii="宋体" w:eastAsia="宋体" w:hAnsi="宋体" w:cs="宋体" w:hint="eastAsia"/>
                <w:b w:val="0"/>
                <w:bCs/>
                <w:sz w:val="24"/>
              </w:rPr>
            </w:pPr>
            <w:r>
              <w:rPr>
                <w:rFonts w:ascii="宋体" w:eastAsia="宋体" w:hAnsi="宋体" w:cs="宋体" w:hint="eastAsia"/>
                <w:b w:val="0"/>
                <w:bCs/>
                <w:kern w:val="0"/>
                <w:sz w:val="24"/>
                <w:szCs w:val="24"/>
                <w:lang w:val="zh-CN"/>
              </w:rPr>
              <w:t>23.新疆克拉玛依煤化工</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kern w:val="0"/>
                <w:sz w:val="24"/>
                <w:szCs w:val="24"/>
                <w:lang w:val="zh-CN"/>
              </w:rPr>
              <w:t>新疆</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20万吨/年甲醇工程〔一期〕</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Style w:val="px14"/>
                <w:rFonts w:ascii="宋体" w:eastAsia="宋体" w:hAnsi="宋体" w:cs="宋体" w:hint="eastAsia"/>
                <w:b w:val="0"/>
                <w:bCs/>
                <w:sz w:val="24"/>
                <w:szCs w:val="24"/>
              </w:rPr>
              <w:t>24.内蒙古西洋煤化工</w:t>
            </w:r>
          </w:p>
        </w:tc>
        <w:tc>
          <w:tcPr>
            <w:tcW w:w="1155" w:type="dxa"/>
          </w:tcPr>
          <w:p>
            <w:pPr>
              <w:jc w:val="center"/>
              <w:rPr>
                <w:rFonts w:ascii="宋体" w:eastAsia="宋体" w:hAnsi="宋体" w:cs="宋体" w:hint="eastAsia"/>
                <w:b w:val="0"/>
                <w:bCs/>
                <w:sz w:val="24"/>
              </w:rPr>
            </w:pPr>
            <w:r>
              <w:rPr>
                <w:rStyle w:val="px14"/>
                <w:rFonts w:ascii="宋体" w:eastAsia="宋体" w:hAnsi="宋体" w:cs="宋体" w:hint="eastAsia"/>
                <w:b w:val="0"/>
                <w:bCs/>
                <w:sz w:val="24"/>
                <w:szCs w:val="24"/>
              </w:rPr>
              <w:t>呼伦贝尔</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25万吨/年甲醇〔40万吨扣二甲醚耗15万吨余25万吨〕</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25.内蒙古博源联合化工公司〔2个甲醇生产厂〕</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鄂尔多斯</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100万吨/年甲醇工程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2007年5.15投产</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26.内蒙古庆华集团</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阿拉善</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100万吨/年甲醇工程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煤气为原料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27.泽楷实业集团</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赤峰</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100万吨/年甲醇工程</w:t>
            </w:r>
          </w:p>
        </w:tc>
        <w:tc>
          <w:tcPr>
            <w:tcW w:w="1320" w:type="dxa"/>
          </w:tcPr>
          <w:p>
            <w:pPr>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28.河北开滦煤化工公司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开滦</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10万吨焦炉气制甲醇〔一期〕</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3.35亿元</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29.云南得鑫公司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云南</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15万吨焦炉气制甲醇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由发改委审批</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30.云南解化集团公司</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云南</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31.江苏恒盛化肥</w:t>
            </w:r>
          </w:p>
        </w:tc>
        <w:tc>
          <w:tcPr>
            <w:tcW w:w="1155" w:type="dxa"/>
          </w:tcPr>
          <w:p>
            <w:pPr>
              <w:jc w:val="center"/>
              <w:rPr>
                <w:rFonts w:ascii="宋体" w:eastAsia="宋体" w:hAnsi="宋体" w:cs="宋体" w:hint="eastAsia"/>
                <w:b w:val="0"/>
                <w:bCs/>
                <w:sz w:val="24"/>
              </w:rPr>
            </w:pP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08年投产</w:t>
            </w:r>
          </w:p>
        </w:tc>
        <w:tc>
          <w:tcPr>
            <w:tcW w:w="1494" w:type="dxa"/>
          </w:tcPr>
          <w:p>
            <w:pPr>
              <w:rPr>
                <w:rFonts w:ascii="宋体" w:eastAsia="宋体" w:hAnsi="宋体" w:cs="宋体" w:hint="eastAsia"/>
                <w:b w:val="0"/>
                <w:bCs/>
                <w:sz w:val="24"/>
              </w:rPr>
            </w:pPr>
          </w:p>
        </w:tc>
      </w:tr>
    </w:tbl>
    <w:p>
      <w:pPr>
        <w:sectPr>
          <w:type w:val="nextPage"/>
          <w:pgSz w:w="11906" w:h="16838"/>
          <w:pgMar w:top="1985" w:right="1418" w:bottom="1247" w:left="1531" w:header="851" w:footer="992" w:gutter="0"/>
          <w:pgNumType w:fmt="decimal" w:start="3"/>
          <w:cols w:space="708"/>
          <w:titlePg w:val="0"/>
          <w:docGrid w:type="lines" w:linePitch="312"/>
        </w:sectPr>
      </w:pPr>
    </w:p>
    <w:tbl>
      <w:tblPr>
        <w:tblStyle w:val="TableNormal"/>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465"/>
        <w:gridCol w:w="1155"/>
        <w:gridCol w:w="2625"/>
        <w:gridCol w:w="1320"/>
        <w:gridCol w:w="1494"/>
      </w:tblGrid>
      <w:tr>
        <w:tblPrEx>
          <w:jc w:val="center"/>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465"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32.重庆医药控股集团/三菱化工</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重庆</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85万吨/年，投资2亿美元</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r>
              <w:rPr>
                <w:rFonts w:ascii="宋体" w:eastAsia="宋体" w:hAnsi="宋体" w:cs="宋体" w:hint="eastAsia"/>
                <w:b w:val="0"/>
                <w:bCs/>
                <w:sz w:val="24"/>
                <w:szCs w:val="24"/>
              </w:rPr>
              <w:t>天然气原料</w:t>
            </w: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33.重庆万盛区/贵州桐梓县</w:t>
            </w:r>
          </w:p>
        </w:tc>
        <w:tc>
          <w:tcPr>
            <w:tcW w:w="1155" w:type="dxa"/>
          </w:tcPr>
          <w:p>
            <w:pPr>
              <w:rPr>
                <w:rFonts w:ascii="宋体" w:eastAsia="宋体" w:hAnsi="宋体" w:cs="宋体" w:hint="eastAsia"/>
                <w:b w:val="0"/>
                <w:bCs/>
                <w:sz w:val="24"/>
              </w:rPr>
            </w:pPr>
            <w:r>
              <w:rPr>
                <w:rFonts w:ascii="宋体" w:eastAsia="宋体" w:hAnsi="宋体" w:cs="宋体" w:hint="eastAsia"/>
                <w:b w:val="0"/>
                <w:bCs/>
                <w:sz w:val="24"/>
                <w:szCs w:val="24"/>
              </w:rPr>
              <w:t>重庆万盛</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30万吨/年甲醇</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2023年之前</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rPr>
                <w:rFonts w:ascii="宋体" w:eastAsia="宋体" w:hAnsi="宋体" w:cs="宋体" w:hint="eastAsia"/>
                <w:b w:val="0"/>
                <w:bCs/>
                <w:sz w:val="24"/>
              </w:rPr>
            </w:pPr>
            <w:r>
              <w:rPr>
                <w:rFonts w:ascii="宋体" w:eastAsia="宋体" w:hAnsi="宋体" w:cs="宋体" w:hint="eastAsia"/>
                <w:b w:val="0"/>
                <w:bCs/>
                <w:sz w:val="24"/>
                <w:szCs w:val="24"/>
              </w:rPr>
              <w:t>34.蓝星集团公司兰州煤气厂</w:t>
            </w:r>
          </w:p>
        </w:tc>
        <w:tc>
          <w:tcPr>
            <w:tcW w:w="115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兰州</w:t>
            </w:r>
          </w:p>
        </w:tc>
        <w:tc>
          <w:tcPr>
            <w:tcW w:w="2625" w:type="dxa"/>
          </w:tcPr>
          <w:p>
            <w:pPr>
              <w:rPr>
                <w:rFonts w:ascii="宋体" w:eastAsia="宋体" w:hAnsi="宋体" w:cs="宋体" w:hint="eastAsia"/>
                <w:b w:val="0"/>
                <w:bCs/>
                <w:sz w:val="24"/>
              </w:rPr>
            </w:pPr>
            <w:r>
              <w:rPr>
                <w:rFonts w:ascii="宋体" w:eastAsia="宋体" w:hAnsi="宋体" w:cs="宋体" w:hint="eastAsia"/>
                <w:b w:val="0"/>
                <w:bCs/>
                <w:sz w:val="24"/>
                <w:szCs w:val="24"/>
              </w:rPr>
              <w:t>20万吨/年技改工程</w:t>
            </w:r>
          </w:p>
        </w:tc>
        <w:tc>
          <w:tcPr>
            <w:tcW w:w="1320"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494" w:type="dxa"/>
          </w:tcPr>
          <w:p>
            <w:pPr>
              <w:rPr>
                <w:rFonts w:ascii="宋体" w:eastAsia="宋体" w:hAnsi="宋体" w:cs="宋体" w:hint="eastAsia"/>
                <w:b w:val="0"/>
                <w:bCs/>
                <w:sz w:val="24"/>
              </w:rPr>
            </w:pPr>
          </w:p>
        </w:tc>
      </w:tr>
      <w:tr>
        <w:tblPrEx>
          <w:jc w:val="center"/>
          <w:tblInd w:w="31" w:type="dxa"/>
          <w:tblLayout w:type="fixed"/>
          <w:tblCellMar>
            <w:top w:w="0" w:type="dxa"/>
            <w:left w:w="108" w:type="dxa"/>
            <w:bottom w:w="0" w:type="dxa"/>
            <w:right w:w="108" w:type="dxa"/>
          </w:tblCellMar>
          <w:tblLook w:val="0000"/>
        </w:tblPrEx>
        <w:trPr>
          <w:jc w:val="center"/>
        </w:trPr>
        <w:tc>
          <w:tcPr>
            <w:tcW w:w="346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总计</w:t>
            </w:r>
          </w:p>
        </w:tc>
        <w:tc>
          <w:tcPr>
            <w:tcW w:w="1155" w:type="dxa"/>
          </w:tcPr>
          <w:p>
            <w:pPr>
              <w:jc w:val="center"/>
              <w:rPr>
                <w:rFonts w:ascii="宋体" w:eastAsia="宋体" w:hAnsi="宋体" w:cs="宋体" w:hint="eastAsia"/>
                <w:b w:val="0"/>
                <w:bCs/>
                <w:sz w:val="24"/>
              </w:rPr>
            </w:pPr>
          </w:p>
        </w:tc>
        <w:tc>
          <w:tcPr>
            <w:tcW w:w="262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1178万吨/年</w:t>
            </w:r>
          </w:p>
        </w:tc>
        <w:tc>
          <w:tcPr>
            <w:tcW w:w="1320" w:type="dxa"/>
          </w:tcPr>
          <w:p>
            <w:pPr>
              <w:rPr>
                <w:rFonts w:ascii="宋体" w:eastAsia="宋体" w:hAnsi="宋体" w:cs="宋体" w:hint="eastAsia"/>
                <w:b w:val="0"/>
                <w:bCs/>
                <w:sz w:val="24"/>
              </w:rPr>
            </w:pPr>
          </w:p>
        </w:tc>
        <w:tc>
          <w:tcPr>
            <w:tcW w:w="1494" w:type="dxa"/>
          </w:tcPr>
          <w:p>
            <w:pPr>
              <w:rPr>
                <w:rFonts w:ascii="宋体" w:eastAsia="宋体" w:hAnsi="宋体" w:cs="宋体" w:hint="eastAsia"/>
                <w:b w:val="0"/>
                <w:bCs/>
                <w:sz w:val="24"/>
              </w:rPr>
            </w:pPr>
          </w:p>
        </w:tc>
      </w:tr>
    </w:tbl>
    <w:p>
      <w:pPr>
        <w:jc w:val="center"/>
        <w:rPr>
          <w:rFonts w:ascii="宋体" w:eastAsia="宋体" w:hAnsi="宋体" w:cs="宋体" w:hint="eastAsia"/>
          <w:b w:val="0"/>
          <w:bCs/>
          <w:sz w:val="24"/>
        </w:rPr>
      </w:pPr>
      <w:r>
        <w:rPr>
          <w:rFonts w:ascii="宋体" w:eastAsia="宋体" w:hAnsi="宋体" w:cs="宋体" w:hint="eastAsia"/>
          <w:b w:val="0"/>
          <w:bCs/>
          <w:sz w:val="24"/>
          <w:szCs w:val="24"/>
        </w:rPr>
        <w:t>表</w:t>
      </w:r>
      <w:r>
        <w:rPr>
          <w:rFonts w:ascii="宋体" w:eastAsia="宋体" w:hAnsi="宋体" w:cs="宋体" w:hint="eastAsia"/>
          <w:b w:val="0"/>
          <w:bCs/>
          <w:sz w:val="24"/>
          <w:szCs w:val="24"/>
          <w:lang w:val="en-US" w:eastAsia="zh-CN"/>
        </w:rPr>
        <w:t>3</w:t>
      </w:r>
      <w:r>
        <w:rPr>
          <w:rFonts w:ascii="宋体" w:eastAsia="宋体" w:hAnsi="宋体" w:cs="宋体" w:hint="eastAsia"/>
          <w:b w:val="0"/>
          <w:bCs/>
          <w:sz w:val="24"/>
          <w:szCs w:val="24"/>
        </w:rPr>
        <w:t xml:space="preserve"> 其它甲醇拟在建工程</w:t>
      </w:r>
    </w:p>
    <w:tbl>
      <w:tblPr>
        <w:tblStyle w:val="TableNormal"/>
        <w:jc w:val="center"/>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214"/>
        <w:gridCol w:w="1094"/>
        <w:gridCol w:w="2835"/>
        <w:gridCol w:w="1341"/>
        <w:gridCol w:w="1702"/>
      </w:tblGrid>
      <w:tr>
        <w:tblPrEx>
          <w:jc w:val="center"/>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5"/>
          <w:jc w:val="center"/>
        </w:trPr>
        <w:tc>
          <w:tcPr>
            <w:tcW w:w="321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建设单位</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地点</w:t>
            </w:r>
          </w:p>
        </w:tc>
        <w:tc>
          <w:tcPr>
            <w:tcW w:w="283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产能及工程情况</w:t>
            </w:r>
          </w:p>
        </w:tc>
        <w:tc>
          <w:tcPr>
            <w:tcW w:w="1341"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投产日期</w:t>
            </w:r>
          </w:p>
        </w:tc>
        <w:tc>
          <w:tcPr>
            <w:tcW w:w="1702"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备注</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rPr>
                <w:rFonts w:ascii="宋体" w:eastAsia="宋体" w:hAnsi="宋体" w:cs="宋体" w:hint="eastAsia"/>
                <w:b w:val="0"/>
                <w:bCs/>
                <w:sz w:val="24"/>
              </w:rPr>
            </w:pPr>
            <w:r>
              <w:rPr>
                <w:rFonts w:ascii="宋体" w:eastAsia="宋体" w:hAnsi="宋体" w:cs="宋体" w:hint="eastAsia"/>
                <w:b w:val="0"/>
                <w:bCs/>
                <w:sz w:val="24"/>
                <w:szCs w:val="24"/>
              </w:rPr>
              <w:t>1.山西大同煤矿集团</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kern w:val="0"/>
                <w:sz w:val="24"/>
                <w:szCs w:val="24"/>
                <w:lang w:val="zh-CN"/>
              </w:rPr>
              <w:t>大同</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60万吨/年</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702"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ind w:left="240" w:hanging="240" w:hangingChars="100"/>
              <w:rPr>
                <w:rFonts w:ascii="宋体" w:eastAsia="宋体" w:hAnsi="宋体" w:cs="宋体" w:hint="eastAsia"/>
                <w:b w:val="0"/>
                <w:bCs/>
                <w:sz w:val="24"/>
              </w:rPr>
            </w:pPr>
            <w:r>
              <w:rPr>
                <w:rFonts w:ascii="宋体" w:eastAsia="宋体" w:hAnsi="宋体" w:cs="宋体" w:hint="eastAsia"/>
                <w:b w:val="0"/>
                <w:bCs/>
                <w:sz w:val="24"/>
                <w:szCs w:val="24"/>
              </w:rPr>
              <w:t>2.河南平煤集团煤盐联合化工产业〔天安煤业、园区〕</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平顶山</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50万吨/年甲醇工程一期</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702"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rPr>
                <w:rFonts w:ascii="宋体" w:eastAsia="宋体" w:hAnsi="宋体" w:cs="宋体" w:hint="eastAsia"/>
                <w:b w:val="0"/>
                <w:bCs/>
                <w:sz w:val="24"/>
              </w:rPr>
            </w:pPr>
            <w:r>
              <w:rPr>
                <w:rFonts w:ascii="宋体" w:eastAsia="宋体" w:hAnsi="宋体" w:cs="宋体" w:hint="eastAsia"/>
                <w:b w:val="0"/>
                <w:bCs/>
                <w:sz w:val="24"/>
                <w:szCs w:val="24"/>
              </w:rPr>
              <w:t>3.鹤岗矿业集团/大连华丰</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大连</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60万吨/年甲醇工程</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08年</w:t>
            </w:r>
          </w:p>
        </w:tc>
        <w:tc>
          <w:tcPr>
            <w:tcW w:w="1702"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rPr>
                <w:rFonts w:ascii="宋体" w:eastAsia="宋体" w:hAnsi="宋体" w:cs="宋体" w:hint="eastAsia"/>
                <w:b w:val="0"/>
                <w:bCs/>
                <w:sz w:val="24"/>
              </w:rPr>
            </w:pPr>
            <w:r>
              <w:rPr>
                <w:rFonts w:ascii="宋体" w:eastAsia="宋体" w:hAnsi="宋体" w:cs="宋体" w:hint="eastAsia"/>
                <w:b w:val="0"/>
                <w:bCs/>
                <w:sz w:val="24"/>
                <w:szCs w:val="24"/>
              </w:rPr>
              <w:t>4.内蒙荣程能源化工公司</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鄂尔多斯</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年产500万吨兰炭、100万甲醇，总投资10亿元</w:t>
            </w:r>
          </w:p>
        </w:tc>
        <w:tc>
          <w:tcPr>
            <w:tcW w:w="1341" w:type="dxa"/>
          </w:tcPr>
          <w:p>
            <w:pPr>
              <w:rPr>
                <w:rFonts w:ascii="宋体" w:eastAsia="宋体" w:hAnsi="宋体" w:cs="宋体" w:hint="eastAsia"/>
                <w:b w:val="0"/>
                <w:bCs/>
                <w:sz w:val="24"/>
              </w:rPr>
            </w:pPr>
          </w:p>
        </w:tc>
        <w:tc>
          <w:tcPr>
            <w:tcW w:w="1702" w:type="dxa"/>
          </w:tcPr>
          <w:p>
            <w:pPr>
              <w:rPr>
                <w:rFonts w:ascii="宋体" w:eastAsia="宋体" w:hAnsi="宋体" w:cs="宋体" w:hint="eastAsia"/>
                <w:b w:val="0"/>
                <w:bCs/>
                <w:sz w:val="24"/>
              </w:rPr>
            </w:pP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rPr>
                <w:rFonts w:ascii="宋体" w:eastAsia="宋体" w:hAnsi="宋体" w:cs="宋体" w:hint="eastAsia"/>
                <w:b w:val="0"/>
                <w:bCs/>
                <w:sz w:val="24"/>
              </w:rPr>
            </w:pPr>
            <w:r>
              <w:rPr>
                <w:rFonts w:ascii="宋体" w:eastAsia="宋体" w:hAnsi="宋体" w:cs="宋体" w:hint="eastAsia"/>
                <w:b w:val="0"/>
                <w:bCs/>
                <w:sz w:val="24"/>
                <w:szCs w:val="24"/>
              </w:rPr>
              <w:t>5.内蒙华研能源化工</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鄂尔多斯</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100万吨甲醇，投资45亿元</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2023年</w:t>
            </w:r>
          </w:p>
        </w:tc>
        <w:tc>
          <w:tcPr>
            <w:tcW w:w="1702"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rPr>
                <w:rFonts w:ascii="宋体" w:eastAsia="宋体" w:hAnsi="宋体" w:cs="宋体" w:hint="eastAsia"/>
                <w:b w:val="0"/>
                <w:bCs/>
                <w:sz w:val="24"/>
              </w:rPr>
            </w:pPr>
            <w:r>
              <w:rPr>
                <w:rFonts w:ascii="宋体" w:eastAsia="宋体" w:hAnsi="宋体" w:cs="宋体" w:hint="eastAsia"/>
                <w:b w:val="0"/>
                <w:bCs/>
                <w:sz w:val="24"/>
                <w:szCs w:val="24"/>
              </w:rPr>
              <w:t>6.内蒙包头华资工业</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包头</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100万吨/年甲醇工程</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2023年前</w:t>
            </w:r>
          </w:p>
        </w:tc>
        <w:tc>
          <w:tcPr>
            <w:tcW w:w="1702" w:type="dxa"/>
          </w:tcPr>
          <w:p>
            <w:pPr>
              <w:rPr>
                <w:rFonts w:ascii="宋体" w:eastAsia="宋体" w:hAnsi="宋体" w:cs="宋体" w:hint="eastAsia"/>
                <w:b w:val="0"/>
                <w:bCs/>
                <w:sz w:val="24"/>
              </w:rPr>
            </w:pPr>
            <w:r>
              <w:rPr>
                <w:rFonts w:ascii="宋体" w:eastAsia="宋体" w:hAnsi="宋体" w:cs="宋体" w:hint="eastAsia"/>
                <w:b w:val="0"/>
                <w:bCs/>
                <w:sz w:val="24"/>
                <w:szCs w:val="24"/>
              </w:rPr>
              <w:t>以煤为原料</w:t>
            </w: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ind w:left="360" w:hanging="360" w:hangingChars="150"/>
              <w:rPr>
                <w:rFonts w:ascii="宋体" w:eastAsia="宋体" w:hAnsi="宋体" w:cs="宋体" w:hint="eastAsia"/>
                <w:b w:val="0"/>
                <w:bCs/>
                <w:sz w:val="24"/>
              </w:rPr>
            </w:pPr>
            <w:r>
              <w:rPr>
                <w:rFonts w:ascii="宋体" w:eastAsia="宋体" w:hAnsi="宋体" w:cs="宋体" w:hint="eastAsia"/>
                <w:b w:val="0"/>
                <w:bCs/>
                <w:sz w:val="24"/>
                <w:szCs w:val="24"/>
              </w:rPr>
              <w:t>7.内蒙古苏里格天然气化工6司</w:t>
            </w:r>
          </w:p>
        </w:tc>
        <w:tc>
          <w:tcPr>
            <w:tcW w:w="109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苏里格</w:t>
            </w:r>
          </w:p>
        </w:tc>
        <w:tc>
          <w:tcPr>
            <w:tcW w:w="2835" w:type="dxa"/>
          </w:tcPr>
          <w:p>
            <w:pPr>
              <w:rPr>
                <w:rFonts w:ascii="宋体" w:eastAsia="宋体" w:hAnsi="宋体" w:cs="宋体" w:hint="eastAsia"/>
                <w:b w:val="0"/>
                <w:bCs/>
                <w:sz w:val="24"/>
              </w:rPr>
            </w:pPr>
            <w:r>
              <w:rPr>
                <w:rFonts w:ascii="宋体" w:eastAsia="宋体" w:hAnsi="宋体" w:cs="宋体" w:hint="eastAsia"/>
                <w:b w:val="0"/>
                <w:bCs/>
                <w:sz w:val="24"/>
                <w:szCs w:val="24"/>
              </w:rPr>
              <w:t>200万吨/年甲醇</w:t>
            </w:r>
          </w:p>
        </w:tc>
        <w:tc>
          <w:tcPr>
            <w:tcW w:w="1341" w:type="dxa"/>
          </w:tcPr>
          <w:p>
            <w:pPr>
              <w:rPr>
                <w:rFonts w:ascii="宋体" w:eastAsia="宋体" w:hAnsi="宋体" w:cs="宋体" w:hint="eastAsia"/>
                <w:b w:val="0"/>
                <w:bCs/>
                <w:sz w:val="24"/>
              </w:rPr>
            </w:pPr>
            <w:r>
              <w:rPr>
                <w:rFonts w:ascii="宋体" w:eastAsia="宋体" w:hAnsi="宋体" w:cs="宋体" w:hint="eastAsia"/>
                <w:b w:val="0"/>
                <w:bCs/>
                <w:sz w:val="24"/>
                <w:szCs w:val="24"/>
              </w:rPr>
              <w:t>2007年</w:t>
            </w:r>
          </w:p>
        </w:tc>
        <w:tc>
          <w:tcPr>
            <w:tcW w:w="1702" w:type="dxa"/>
          </w:tcPr>
          <w:p>
            <w:pPr>
              <w:rPr>
                <w:rFonts w:ascii="宋体" w:eastAsia="宋体" w:hAnsi="宋体" w:cs="宋体" w:hint="eastAsia"/>
                <w:b w:val="0"/>
                <w:bCs/>
                <w:sz w:val="24"/>
              </w:rPr>
            </w:pPr>
          </w:p>
        </w:tc>
      </w:tr>
      <w:tr>
        <w:tblPrEx>
          <w:jc w:val="center"/>
          <w:tblInd w:w="-184" w:type="dxa"/>
          <w:tblLayout w:type="fixed"/>
          <w:tblCellMar>
            <w:top w:w="0" w:type="dxa"/>
            <w:left w:w="108" w:type="dxa"/>
            <w:bottom w:w="0" w:type="dxa"/>
            <w:right w:w="108" w:type="dxa"/>
          </w:tblCellMar>
          <w:tblLook w:val="0000"/>
        </w:tblPrEx>
        <w:trPr>
          <w:jc w:val="center"/>
        </w:trPr>
        <w:tc>
          <w:tcPr>
            <w:tcW w:w="3214"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总计</w:t>
            </w:r>
          </w:p>
        </w:tc>
        <w:tc>
          <w:tcPr>
            <w:tcW w:w="1094" w:type="dxa"/>
          </w:tcPr>
          <w:p>
            <w:pPr>
              <w:jc w:val="center"/>
              <w:rPr>
                <w:rFonts w:ascii="宋体" w:eastAsia="宋体" w:hAnsi="宋体" w:cs="宋体" w:hint="eastAsia"/>
                <w:b w:val="0"/>
                <w:bCs/>
                <w:sz w:val="24"/>
              </w:rPr>
            </w:pPr>
          </w:p>
        </w:tc>
        <w:tc>
          <w:tcPr>
            <w:tcW w:w="2835" w:type="dxa"/>
          </w:tcPr>
          <w:p>
            <w:pPr>
              <w:jc w:val="center"/>
              <w:rPr>
                <w:rFonts w:ascii="宋体" w:eastAsia="宋体" w:hAnsi="宋体" w:cs="宋体" w:hint="eastAsia"/>
                <w:b w:val="0"/>
                <w:bCs/>
                <w:sz w:val="24"/>
              </w:rPr>
            </w:pPr>
            <w:r>
              <w:rPr>
                <w:rFonts w:ascii="宋体" w:eastAsia="宋体" w:hAnsi="宋体" w:cs="宋体" w:hint="eastAsia"/>
                <w:b w:val="0"/>
                <w:bCs/>
                <w:sz w:val="24"/>
                <w:szCs w:val="24"/>
              </w:rPr>
              <w:t>670万吨/年</w:t>
            </w:r>
          </w:p>
        </w:tc>
        <w:tc>
          <w:tcPr>
            <w:tcW w:w="1341" w:type="dxa"/>
          </w:tcPr>
          <w:p>
            <w:pPr>
              <w:jc w:val="center"/>
              <w:rPr>
                <w:rFonts w:ascii="宋体" w:eastAsia="宋体" w:hAnsi="宋体" w:cs="宋体" w:hint="eastAsia"/>
                <w:b w:val="0"/>
                <w:bCs/>
                <w:sz w:val="24"/>
              </w:rPr>
            </w:pPr>
          </w:p>
        </w:tc>
        <w:tc>
          <w:tcPr>
            <w:tcW w:w="1702" w:type="dxa"/>
          </w:tcPr>
          <w:p>
            <w:pPr>
              <w:jc w:val="center"/>
              <w:rPr>
                <w:rFonts w:ascii="宋体" w:eastAsia="宋体" w:hAnsi="宋体" w:cs="宋体" w:hint="eastAsia"/>
                <w:b w:val="0"/>
                <w:bCs/>
                <w:sz w:val="24"/>
              </w:rPr>
            </w:pPr>
          </w:p>
        </w:tc>
      </w:tr>
    </w:tbl>
    <w:p>
      <w:pPr>
        <w:shd w:val="solid" w:color="FFFFFF" w:fill="auto"/>
        <w:kinsoku/>
        <w:autoSpaceDE/>
        <w:autoSpaceDN w:val="0"/>
        <w:spacing w:beforeAutospacing="1" w:afterAutospacing="1" w:line="345" w:lineRule="atLeast"/>
        <w:ind w:firstLine="420"/>
        <w:jc w:val="left"/>
        <w:rPr>
          <w:rStyle w:val="2CharChar"/>
          <w:rFonts w:ascii="黑体" w:eastAsia="黑体" w:hAnsi="黑体" w:cs="黑体" w:hint="eastAsia"/>
          <w:b w:val="0"/>
          <w:bCs/>
          <w:sz w:val="28"/>
          <w:szCs w:val="28"/>
        </w:rPr>
      </w:pPr>
      <w:r>
        <w:rPr>
          <w:rStyle w:val="2CharChar"/>
          <w:rFonts w:ascii="黑体" w:eastAsia="黑体" w:hAnsi="黑体" w:cs="黑体" w:hint="eastAsia"/>
          <w:b w:val="0"/>
          <w:bCs/>
          <w:sz w:val="28"/>
          <w:szCs w:val="28"/>
          <w:lang w:val="en-US" w:eastAsia="zh-CN"/>
        </w:rPr>
        <w:t>1.3甲醇进出口</w:t>
      </w:r>
    </w:p>
    <w:p>
      <w:pPr>
        <w:shd w:val="solid" w:color="FFFFFF" w:fill="auto"/>
        <w:kinsoku/>
        <w:autoSpaceDE/>
        <w:autoSpaceDN w:val="0"/>
        <w:spacing w:beforeAutospacing="1" w:afterAutospacing="1" w:line="345" w:lineRule="atLeast"/>
        <w:ind w:firstLine="42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我国是甲醇的消费大国，2001-2007年，随着国内甲醇产能与产量的快速增长，甲醇进口量逐渐减少，出口量逐渐增加，进口依存度明显降低，2007年我国甲醇进口量和进口依存度均到达阶段性低位，出口量明显增加。但2023年以来，甲醇进口量开始迅速增长，尤其是2023年和2023年，我国甲醇年进口量维持在500万吨以上，而出口量缺乏2万吨，进口依存度升至20%以上。</w:t>
      </w:r>
    </w:p>
    <w:p>
      <w:pPr>
        <w:shd w:val="solid" w:color="FFFFFF" w:fill="auto"/>
        <w:kinsoku/>
        <w:autoSpaceDE/>
        <w:autoSpaceDN w:val="0"/>
        <w:spacing w:beforeAutospacing="1" w:afterAutospacing="1" w:line="345" w:lineRule="atLeast"/>
        <w:ind w:firstLine="420"/>
        <w:jc w:val="center"/>
        <w:rPr>
          <w:rFonts w:ascii="宋体" w:eastAsia="宋体" w:hAnsi="宋体" w:hint="default"/>
          <w:b w:val="0"/>
          <w:i w:val="0"/>
          <w:snapToGrid/>
          <w:color w:val="2B2B2B"/>
          <w:sz w:val="24"/>
          <w:shd w:val="clear" w:color="auto" w:fill="FFFFFF"/>
        </w:rPr>
      </w:pPr>
      <w:r>
        <w:rPr>
          <w:rFonts w:ascii="宋体" w:eastAsia="宋体" w:hAnsi="宋体" w:hint="eastAsia"/>
          <w:b w:val="0"/>
          <w:i w:val="0"/>
          <w:snapToGrid/>
          <w:color w:val="2B2B2B"/>
          <w:sz w:val="24"/>
          <w:szCs w:val="24"/>
          <w:shd w:val="clear" w:color="auto" w:fill="FFFFFF"/>
          <w:lang w:eastAsia="zh-CN"/>
        </w:rPr>
        <w:t>表</w:t>
      </w:r>
      <w:r>
        <w:rPr>
          <w:rFonts w:ascii="宋体" w:eastAsia="宋体" w:hAnsi="宋体" w:hint="eastAsia"/>
          <w:b w:val="0"/>
          <w:i w:val="0"/>
          <w:snapToGrid/>
          <w:color w:val="2B2B2B"/>
          <w:sz w:val="24"/>
          <w:szCs w:val="24"/>
          <w:shd w:val="clear" w:color="auto" w:fill="FFFFFF"/>
          <w:lang w:val="en-US" w:eastAsia="zh-CN"/>
        </w:rPr>
        <w:t xml:space="preserve">4 </w:t>
      </w:r>
      <w:r>
        <w:rPr>
          <w:rFonts w:ascii="宋体" w:eastAsia="宋体" w:hAnsi="宋体" w:hint="default"/>
          <w:b w:val="0"/>
          <w:i w:val="0"/>
          <w:snapToGrid/>
          <w:color w:val="2B2B2B"/>
          <w:sz w:val="24"/>
          <w:szCs w:val="24"/>
          <w:shd w:val="clear" w:color="auto" w:fill="FFFFFF"/>
          <w:lang w:eastAsia="zh-CN"/>
        </w:rPr>
        <w:t>近年甲醇进出口量及进口依存度</w:t>
      </w:r>
    </w:p>
    <w:tbl>
      <w:tblPr>
        <w:tblStyle w:val="TableNormal"/>
        <w:tblBorders>
          <w:top w:val="single" w:sz="6" w:space="0" w:color="CCCCCC"/>
          <w:left w:val="single" w:sz="6" w:space="0" w:color="CCCCCC"/>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932"/>
        <w:gridCol w:w="2200"/>
        <w:gridCol w:w="2157"/>
        <w:gridCol w:w="2383"/>
      </w:tblGrid>
      <w:tr>
        <w:tblPrEx>
          <w:tblBorders>
            <w:top w:val="single" w:sz="6" w:space="0" w:color="CCCCCC"/>
            <w:left w:val="single" w:sz="6" w:space="0" w:color="CCCCCC"/>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1932" w:type="dxa"/>
            <w:tcBorders>
              <w:top w:val="single" w:sz="4" w:space="0" w:color="000000"/>
              <w:left w:val="single" w:sz="4" w:space="0" w:color="000000"/>
              <w:bottom w:val="single" w:sz="4" w:space="0" w:color="000000"/>
              <w:right w:val="single" w:sz="4" w:space="0" w:color="000000"/>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年份</w:t>
            </w:r>
          </w:p>
        </w:tc>
        <w:tc>
          <w:tcPr>
            <w:tcW w:w="2200" w:type="dxa"/>
            <w:tcBorders>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进口量〔万吨〕</w:t>
            </w:r>
          </w:p>
        </w:tc>
        <w:tc>
          <w:tcPr>
            <w:tcW w:w="2157" w:type="dxa"/>
            <w:tcBorders>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出口量〔万吨〕</w:t>
            </w:r>
          </w:p>
        </w:tc>
        <w:tc>
          <w:tcPr>
            <w:tcW w:w="2383" w:type="dxa"/>
            <w:tcBorders>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进口依存度〔%〕</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2001</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152.1</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0.96</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42.26</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2002</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179.9</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0.09</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46.02</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2003</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140.2</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5.08</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31.13</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2004</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135.9</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3.3</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23.13</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2005</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136</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5.4</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19.60</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2006</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112.7</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19</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11.16</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2007</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84.5</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56.3</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2.71</w:t>
            </w:r>
          </w:p>
        </w:tc>
      </w:tr>
    </w:tbl>
    <w:p>
      <w:pPr>
        <w:sectPr>
          <w:type w:val="nextPage"/>
          <w:pgSz w:w="11906" w:h="16838"/>
          <w:pgMar w:top="1985" w:right="1418" w:bottom="1247" w:left="1531" w:header="851" w:footer="992" w:gutter="0"/>
          <w:pgNumType w:fmt="decimal" w:start="4"/>
          <w:cols w:space="708"/>
          <w:titlePg w:val="0"/>
          <w:docGrid w:type="lines" w:linePitch="312"/>
        </w:sectPr>
      </w:pPr>
    </w:p>
    <w:tbl>
      <w:tblPr>
        <w:tblStyle w:val="TableNormal"/>
        <w:tblBorders>
          <w:top w:val="single" w:sz="6" w:space="0" w:color="CCCCCC"/>
          <w:left w:val="single" w:sz="6" w:space="0" w:color="CCCCCC"/>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932"/>
        <w:gridCol w:w="2200"/>
        <w:gridCol w:w="2157"/>
        <w:gridCol w:w="2383"/>
      </w:tblGrid>
      <w:tr>
        <w:tblPrEx>
          <w:tblBorders>
            <w:top w:val="single" w:sz="6" w:space="0" w:color="CCCCCC"/>
            <w:left w:val="single" w:sz="6" w:space="0" w:color="CCCCCC"/>
            <w:bottom w:val="none" w:sz="0" w:space="0" w:color="auto"/>
            <w:right w:val="none" w:sz="0" w:space="0" w:color="auto"/>
            <w:insideH w:val="none" w:sz="0" w:space="0" w:color="auto"/>
            <w:insideV w:val="none" w:sz="0" w:space="0" w:color="auto"/>
          </w:tblBorders>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2023</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143.4</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36.76</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8.76</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2023</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528.79</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1.38</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31.96</w:t>
            </w:r>
          </w:p>
        </w:tc>
      </w:tr>
      <w:tr>
        <w:tblPrEx>
          <w:tblLayout w:type="fixed"/>
          <w:tblCellMar>
            <w:top w:w="0" w:type="dxa"/>
            <w:left w:w="108" w:type="dxa"/>
            <w:bottom w:w="0" w:type="dxa"/>
            <w:right w:w="108" w:type="dxa"/>
          </w:tblCellMar>
          <w:tblLook w:val="0000"/>
        </w:tblPrEx>
        <w:tc>
          <w:tcPr>
            <w:tcW w:w="1932" w:type="dxa"/>
            <w:tcBorders>
              <w:top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2023</w:t>
            </w:r>
          </w:p>
        </w:tc>
        <w:tc>
          <w:tcPr>
            <w:tcW w:w="2200"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518.9</w:t>
            </w:r>
          </w:p>
        </w:tc>
        <w:tc>
          <w:tcPr>
            <w:tcW w:w="2157"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1.24</w:t>
            </w:r>
          </w:p>
        </w:tc>
        <w:tc>
          <w:tcPr>
            <w:tcW w:w="2383" w:type="dxa"/>
            <w:tcBorders>
              <w:top w:val="single" w:sz="6" w:space="0" w:color="CCCCCC"/>
              <w:left w:val="single" w:sz="6" w:space="0" w:color="CCCCCC"/>
            </w:tcBorders>
            <w:shd w:val="solid" w:color="FFFFFF" w:fill="auto"/>
            <w:tcMar>
              <w:top w:w="0" w:type="dxa"/>
              <w:left w:w="108" w:type="dxa"/>
              <w:bottom w:w="0" w:type="dxa"/>
              <w:right w:w="108" w:type="dxa"/>
            </w:tcMar>
          </w:tcPr>
          <w:p>
            <w:pPr>
              <w:shd w:val="solid" w:color="FFFFFF" w:fill="auto"/>
              <w:kinsoku/>
              <w:autoSpaceDE/>
              <w:autoSpaceDN w:val="0"/>
              <w:spacing w:line="345" w:lineRule="atLeast"/>
              <w:ind w:firstLine="0"/>
              <w:jc w:val="left"/>
              <w:rPr>
                <w:rFonts w:ascii="宋体" w:eastAsia="宋体" w:hAnsi="宋体" w:hint="default"/>
                <w:b w:val="0"/>
                <w:i w:val="0"/>
                <w:snapToGrid/>
                <w:color w:val="2B2B2B"/>
                <w:sz w:val="24"/>
                <w:shd w:val="clear" w:color="auto" w:fill="FFFFFF"/>
              </w:rPr>
            </w:pPr>
            <w:r>
              <w:rPr>
                <w:rFonts w:ascii="宋体" w:eastAsia="宋体" w:hAnsi="宋体" w:hint="default"/>
                <w:b w:val="0"/>
                <w:i w:val="0"/>
                <w:snapToGrid/>
                <w:color w:val="2B2B2B"/>
                <w:sz w:val="24"/>
                <w:szCs w:val="24"/>
                <w:shd w:val="clear" w:color="auto" w:fill="FFFFFF"/>
                <w:lang w:eastAsia="zh-CN"/>
              </w:rPr>
              <w:t>24.73</w:t>
            </w:r>
          </w:p>
        </w:tc>
      </w:tr>
    </w:tbl>
    <w:p>
      <w:pPr>
        <w:pStyle w:val="Heading2"/>
        <w:rPr>
          <w:rFonts w:ascii="宋体" w:eastAsia="宋体" w:hAnsi="宋体" w:cs="宋体" w:hint="eastAsia"/>
          <w:b w:val="0"/>
          <w:bCs/>
          <w:sz w:val="24"/>
          <w:szCs w:val="24"/>
          <w:lang w:val="en-US" w:eastAsia="zh-CN"/>
        </w:rPr>
      </w:pPr>
      <w:bookmarkStart w:id="16" w:name="_Toc16024"/>
      <w:bookmarkStart w:id="17" w:name="_Toc27117"/>
      <w:bookmarkStart w:id="18" w:name="_Toc18172"/>
      <w:bookmarkStart w:id="19" w:name="_Toc7378"/>
      <w:bookmarkStart w:id="20" w:name="_Toc21533"/>
      <w:r>
        <w:rPr>
          <w:rFonts w:ascii="宋体" w:eastAsia="宋体" w:hAnsi="宋体" w:cs="宋体" w:hint="eastAsia"/>
          <w:b w:val="0"/>
          <w:bCs/>
          <w:color w:val="000000"/>
          <w:sz w:val="24"/>
          <w:szCs w:val="24"/>
        </w:rPr>
        <w:t>甲醇消费量持续增长，甲醇价格持续高位，甲醇利润可观，导致甲醇产能迅速扩大。由于甲醇生产需要消耗大量能源和资源，世界甲醇生产格局和消费格局将发生重大变化，</w:t>
      </w:r>
      <w:r>
        <w:rPr>
          <w:rFonts w:ascii="宋体" w:eastAsia="宋体" w:hAnsi="宋体" w:cs="宋体" w:hint="eastAsia"/>
          <w:b w:val="0"/>
          <w:bCs/>
          <w:color w:val="414141"/>
          <w:kern w:val="0"/>
          <w:sz w:val="24"/>
          <w:szCs w:val="24"/>
        </w:rPr>
        <w:t>欧美、日本等工业兴旺国家已由甲醇自产自给国家转变为主要进口国，</w:t>
      </w:r>
      <w:r>
        <w:rPr>
          <w:rFonts w:ascii="宋体" w:eastAsia="宋体" w:hAnsi="宋体" w:cs="宋体" w:hint="eastAsia"/>
          <w:b w:val="0"/>
          <w:bCs/>
          <w:color w:val="000000"/>
          <w:sz w:val="24"/>
          <w:szCs w:val="24"/>
        </w:rPr>
        <w:t>因中国有丰富廉价的煤炭资源，中东和拉丁美洲有丰富廉价的天然气资源，未来甲醇产能将集中在中国、中东和拉丁美洲，随着甲醇产能和需求的不断扩大，中国将成为世界上最大的甲醇生产和消费国家。</w:t>
      </w:r>
      <w:bookmarkEnd w:id="16"/>
      <w:bookmarkEnd w:id="17"/>
      <w:bookmarkEnd w:id="18"/>
      <w:bookmarkEnd w:id="19"/>
      <w:bookmarkEnd w:id="20"/>
    </w:p>
    <w:p>
      <w:pPr>
        <w:pStyle w:val="Heading1"/>
        <w:jc w:val="center"/>
        <w:rPr>
          <w:rFonts w:hint="eastAsia"/>
          <w:b w:val="0"/>
          <w:bCs w:val="0"/>
        </w:rPr>
      </w:pPr>
      <w:bookmarkStart w:id="21" w:name="_Toc17866"/>
      <w:r>
        <w:rPr>
          <w:rFonts w:hint="eastAsia"/>
          <w:b w:val="0"/>
          <w:bCs w:val="0"/>
        </w:rPr>
        <w:t>第二章 工艺流程设计</w:t>
      </w:r>
      <w:bookmarkEnd w:id="21"/>
    </w:p>
    <w:p>
      <w:pPr>
        <w:pStyle w:val="Heading1"/>
        <w:rPr>
          <w:rFonts w:hint="eastAsia"/>
          <w:b w:val="0"/>
          <w:bCs w:val="0"/>
          <w:sz w:val="28"/>
          <w:szCs w:val="28"/>
        </w:rPr>
      </w:pPr>
      <w:bookmarkStart w:id="22" w:name="_Toc30318"/>
      <w:bookmarkStart w:id="23" w:name="_Toc20691"/>
      <w:bookmarkStart w:id="24" w:name="_Toc7113"/>
      <w:r>
        <w:rPr>
          <w:rFonts w:hint="eastAsia"/>
          <w:b w:val="0"/>
          <w:bCs w:val="0"/>
          <w:sz w:val="28"/>
          <w:szCs w:val="28"/>
        </w:rPr>
        <w:t>2.1</w:t>
      </w:r>
      <w:bookmarkEnd w:id="22"/>
      <w:bookmarkEnd w:id="23"/>
      <w:r>
        <w:rPr>
          <w:rFonts w:hint="eastAsia"/>
          <w:b w:val="0"/>
          <w:bCs w:val="0"/>
          <w:sz w:val="28"/>
          <w:szCs w:val="28"/>
          <w:lang w:eastAsia="zh-CN"/>
        </w:rPr>
        <w:t>生产方法</w:t>
      </w:r>
      <w:bookmarkEnd w:id="24"/>
    </w:p>
    <w:p>
      <w:pPr>
        <w:spacing w:line="360" w:lineRule="auto"/>
        <w:ind w:firstLine="435"/>
        <w:rPr>
          <w:rFonts w:hint="eastAsia"/>
          <w:sz w:val="24"/>
        </w:rPr>
      </w:pPr>
      <w:r>
        <w:rPr>
          <w:rFonts w:hint="eastAsia"/>
          <w:sz w:val="24"/>
        </w:rPr>
        <w:t>煤气化技术按气化反响器的形式，气化工艺可分为移动床〔固定床〕、流化床、气流床三种。</w:t>
      </w:r>
    </w:p>
    <w:p>
      <w:pPr>
        <w:rPr>
          <w:rFonts w:ascii="宋体" w:eastAsia="宋体" w:hAnsi="宋体" w:cs="宋体" w:hint="eastAsia"/>
          <w:sz w:val="28"/>
          <w:szCs w:val="28"/>
        </w:rPr>
      </w:pPr>
      <w:bookmarkStart w:id="25" w:name="_Toc20557"/>
      <w:bookmarkStart w:id="26" w:name="_Toc16912"/>
      <w:r>
        <w:rPr>
          <w:rFonts w:ascii="宋体" w:eastAsia="宋体" w:hAnsi="宋体" w:cs="宋体" w:hint="eastAsia"/>
          <w:sz w:val="28"/>
          <w:szCs w:val="28"/>
          <w:lang w:val="en-US" w:eastAsia="zh-CN"/>
        </w:rPr>
        <w:t>1.</w:t>
      </w:r>
      <w:r>
        <w:rPr>
          <w:rFonts w:ascii="宋体" w:eastAsia="宋体" w:hAnsi="宋体" w:cs="宋体" w:hint="eastAsia"/>
          <w:sz w:val="28"/>
          <w:szCs w:val="28"/>
        </w:rPr>
        <w:t>移动床气化</w:t>
      </w:r>
      <w:bookmarkEnd w:id="25"/>
      <w:bookmarkEnd w:id="26"/>
    </w:p>
    <w:p>
      <w:pPr>
        <w:pStyle w:val="Heading2"/>
        <w:numPr>
          <w:ilvl w:val="0"/>
          <w:numId w:val="0"/>
        </w:numPr>
        <w:rPr>
          <w:rFonts w:ascii="宋体" w:eastAsia="宋体" w:hAnsi="宋体" w:cs="宋体" w:hint="eastAsia"/>
          <w:b w:val="0"/>
          <w:bCs/>
          <w:sz w:val="24"/>
          <w:szCs w:val="24"/>
        </w:rPr>
      </w:pPr>
      <w:bookmarkStart w:id="27" w:name="_Toc25870"/>
      <w:bookmarkStart w:id="28" w:name="_Toc12041"/>
      <w:bookmarkStart w:id="29" w:name="_Toc11824"/>
      <w:bookmarkStart w:id="30" w:name="_Toc29818"/>
      <w:bookmarkStart w:id="31" w:name="_Toc12515"/>
      <w:r>
        <w:rPr>
          <w:rFonts w:ascii="宋体" w:eastAsia="宋体" w:hAnsi="宋体" w:cs="宋体" w:hint="eastAsia"/>
          <w:b w:val="0"/>
          <w:bCs/>
          <w:sz w:val="24"/>
          <w:szCs w:val="24"/>
        </w:rPr>
        <w:t>采用一定粒度范围的碎煤〔5mm～50mm〕为原料，与气化剂逆流接触，炉内温度分布曲线出现最高点，反响残渣从炉底排出，生成气中含有可观量的挥发气。典型的气化炉为鲁奇〔Lurgi〕炉。</w:t>
      </w:r>
      <w:bookmarkEnd w:id="27"/>
      <w:bookmarkEnd w:id="28"/>
      <w:bookmarkEnd w:id="29"/>
      <w:bookmarkEnd w:id="30"/>
      <w:bookmarkEnd w:id="31"/>
    </w:p>
    <w:p>
      <w:pPr>
        <w:spacing w:line="360" w:lineRule="auto"/>
        <w:ind w:firstLine="480" w:firstLineChars="200"/>
        <w:rPr>
          <w:rFonts w:hint="eastAsia"/>
          <w:sz w:val="24"/>
        </w:rPr>
      </w:pPr>
      <w:r>
        <w:rPr>
          <w:rFonts w:hint="eastAsia"/>
          <w:sz w:val="24"/>
        </w:rPr>
        <w:t>移动床气化，是目前世界上用于生产合成气的主要方法之一。在大型煤制甲醇的装置中，固定床的优点是投资低，可是它有很多缺乏：〔1〕对原料煤的黏结性有一定有一定要求：〔2〕气化强度低：〔3〕环境污染负荷大，治理较麻烦。</w:t>
      </w:r>
    </w:p>
    <w:p>
      <w:pPr>
        <w:rPr>
          <w:rFonts w:ascii="宋体" w:eastAsia="宋体" w:hAnsi="宋体" w:cs="宋体" w:hint="eastAsia"/>
          <w:sz w:val="28"/>
          <w:szCs w:val="28"/>
        </w:rPr>
      </w:pPr>
      <w:bookmarkStart w:id="32" w:name="_Toc4654"/>
      <w:bookmarkStart w:id="33" w:name="_Toc27937"/>
      <w:r>
        <w:rPr>
          <w:rFonts w:ascii="宋体" w:eastAsia="宋体" w:hAnsi="宋体" w:cs="宋体" w:hint="eastAsia"/>
          <w:sz w:val="28"/>
          <w:szCs w:val="28"/>
        </w:rPr>
        <w:t>2.流化床气化</w:t>
      </w:r>
      <w:bookmarkEnd w:id="32"/>
      <w:bookmarkEnd w:id="33"/>
    </w:p>
    <w:p>
      <w:pPr>
        <w:spacing w:line="360" w:lineRule="auto"/>
        <w:ind w:firstLine="480" w:firstLineChars="200"/>
        <w:rPr>
          <w:rFonts w:hint="eastAsia"/>
          <w:sz w:val="24"/>
        </w:rPr>
        <w:sectPr>
          <w:type w:val="nextPage"/>
          <w:pgSz w:w="11906" w:h="16838"/>
          <w:pgMar w:top="1985" w:right="1418" w:bottom="1247" w:left="1531" w:header="851" w:footer="992" w:gutter="0"/>
          <w:pgNumType w:fmt="decimal" w:start="5"/>
          <w:cols w:space="708"/>
          <w:titlePg w:val="0"/>
          <w:docGrid w:type="lines" w:linePitch="312"/>
        </w:sectPr>
      </w:pPr>
      <w:r>
        <w:rPr>
          <w:rFonts w:hint="eastAsia"/>
          <w:sz w:val="24"/>
        </w:rPr>
        <w:t>采用一定粒度分布的细粒煤〔</w:t>
      </w:r>
      <w:r>
        <w:rPr>
          <w:rFonts w:ascii="宋体" w:hAnsi="宋体" w:hint="eastAsia"/>
          <w:sz w:val="24"/>
        </w:rPr>
        <w:t>＜</w:t>
      </w:r>
    </w:p>
    <w:p>
      <w:pPr>
        <w:spacing w:line="360" w:lineRule="auto"/>
        <w:ind w:firstLine="480" w:firstLineChars="200"/>
        <w:rPr>
          <w:rFonts w:hint="eastAsia"/>
          <w:sz w:val="24"/>
        </w:rPr>
      </w:pPr>
      <w:r>
        <w:rPr>
          <w:rFonts w:hint="eastAsia"/>
          <w:sz w:val="24"/>
        </w:rPr>
        <w:t>10mm〕为原料，吹入炉内的气化剂使煤粒呈连续随机运动的流化状态，床层中的混合和传热都很快。所以气体组成和温度均匀，解决了固定床气化需用煤的限制。生成的煤气根本不含焦油，但飞灰量很大。开展较早且比拟成熟的是常压温克〔Winkler〕炉。</w:t>
      </w:r>
    </w:p>
    <w:p>
      <w:pPr>
        <w:spacing w:line="360" w:lineRule="auto"/>
        <w:ind w:firstLine="480" w:firstLineChars="200"/>
        <w:rPr>
          <w:rFonts w:hint="eastAsia"/>
          <w:sz w:val="24"/>
        </w:rPr>
      </w:pPr>
      <w:r>
        <w:rPr>
          <w:rFonts w:hint="eastAsia"/>
          <w:sz w:val="24"/>
        </w:rPr>
        <w:t>它的缺点是：〔1〕在常压或接近于常压下生产，生产强度低、能耗高、碳转化率只有88%</w:t>
      </w:r>
      <w:r>
        <w:rPr>
          <w:rFonts w:ascii="宋体" w:hAnsi="宋体" w:hint="eastAsia"/>
          <w:szCs w:val="21"/>
        </w:rPr>
        <w:t>～</w:t>
      </w:r>
      <w:r>
        <w:rPr>
          <w:rFonts w:hint="eastAsia"/>
          <w:sz w:val="24"/>
        </w:rPr>
        <w:t>90%。〔2〕对煤的气化活性要求高，仅适合于气化褐煤和高活性的烟煤。〔3〕缺少大型使用经验；要在大型甲醇装置中推广，受一定限制。</w:t>
      </w:r>
    </w:p>
    <w:p>
      <w:pPr>
        <w:spacing w:line="360" w:lineRule="auto"/>
        <w:rPr>
          <w:rFonts w:ascii="宋体" w:eastAsia="宋体" w:hAnsi="宋体" w:cs="宋体" w:hint="eastAsia"/>
          <w:b w:val="0"/>
          <w:bCs/>
          <w:sz w:val="24"/>
        </w:rPr>
      </w:pPr>
      <w:r>
        <w:rPr>
          <w:rFonts w:ascii="宋体" w:eastAsia="宋体" w:hAnsi="宋体" w:cs="宋体" w:hint="eastAsia"/>
          <w:b w:val="0"/>
          <w:bCs/>
          <w:sz w:val="24"/>
          <w:lang w:val="en-US" w:eastAsia="zh-CN"/>
        </w:rPr>
        <w:t>3.</w:t>
      </w:r>
      <w:r>
        <w:rPr>
          <w:rFonts w:ascii="宋体" w:eastAsia="宋体" w:hAnsi="宋体" w:cs="宋体" w:hint="eastAsia"/>
          <w:b w:val="0"/>
          <w:bCs/>
          <w:sz w:val="24"/>
        </w:rPr>
        <w:t>气流床气化</w:t>
      </w:r>
    </w:p>
    <w:p>
      <w:pPr>
        <w:spacing w:line="360" w:lineRule="auto"/>
        <w:ind w:firstLine="554" w:firstLineChars="231"/>
        <w:rPr>
          <w:rFonts w:hint="eastAsia"/>
          <w:sz w:val="24"/>
        </w:rPr>
      </w:pPr>
      <w:r>
        <w:rPr>
          <w:rFonts w:hint="eastAsia"/>
          <w:sz w:val="24"/>
        </w:rPr>
        <w:t>气流床采用粉煤为原料，反响温度高，灰分是熔融状态。典型代表为GSP,Shell,Texaco气流床气化工艺。</w:t>
      </w:r>
    </w:p>
    <w:p>
      <w:pPr>
        <w:spacing w:line="360" w:lineRule="auto"/>
        <w:ind w:firstLine="435"/>
        <w:rPr>
          <w:rFonts w:hint="eastAsia"/>
          <w:sz w:val="24"/>
        </w:rPr>
      </w:pPr>
      <w:r>
        <w:rPr>
          <w:rFonts w:hint="eastAsia"/>
          <w:sz w:val="24"/>
        </w:rPr>
        <w:t>气流床气化优点很多，它是针对流化床的缺乏开发的。气流床气化具有以下特点：</w:t>
      </w:r>
    </w:p>
    <w:p>
      <w:pPr>
        <w:spacing w:line="360" w:lineRule="auto"/>
        <w:rPr>
          <w:rFonts w:hint="eastAsia"/>
          <w:sz w:val="24"/>
        </w:rPr>
      </w:pPr>
      <w:r>
        <w:rPr>
          <w:rFonts w:hint="eastAsia"/>
          <w:sz w:val="24"/>
        </w:rPr>
        <w:t xml:space="preserve">    (1)采用&lt;0.2mm的粉煤。</w:t>
      </w:r>
    </w:p>
    <w:p>
      <w:pPr>
        <w:spacing w:line="360" w:lineRule="auto"/>
        <w:rPr>
          <w:rFonts w:hint="eastAsia"/>
          <w:sz w:val="24"/>
        </w:rPr>
      </w:pPr>
      <w:r>
        <w:rPr>
          <w:rFonts w:hint="eastAsia"/>
          <w:sz w:val="24"/>
        </w:rPr>
        <w:t xml:space="preserve">    (2)气化温度达1 400</w:t>
      </w:r>
      <w:r>
        <w:rPr>
          <w:rFonts w:ascii="宋体" w:hAnsi="宋体" w:hint="eastAsia"/>
          <w:szCs w:val="21"/>
        </w:rPr>
        <w:t>～</w:t>
      </w:r>
      <w:r>
        <w:rPr>
          <w:rFonts w:hint="eastAsia"/>
          <w:sz w:val="24"/>
        </w:rPr>
        <w:t>1 600</w:t>
      </w:r>
      <w:r>
        <w:rPr>
          <w:rFonts w:ascii="宋体" w:hAnsi="宋体" w:hint="eastAsia"/>
          <w:sz w:val="24"/>
        </w:rPr>
        <w:t>℃</w:t>
      </w:r>
      <w:r>
        <w:rPr>
          <w:rFonts w:hint="eastAsia"/>
          <w:sz w:val="24"/>
        </w:rPr>
        <w:t>，对环保很有利，没有酚、焦油，有机硫很少，且硫形态单一。</w:t>
      </w:r>
    </w:p>
    <w:p>
      <w:pPr>
        <w:spacing w:line="360" w:lineRule="auto"/>
        <w:rPr>
          <w:rFonts w:hint="eastAsia"/>
          <w:sz w:val="24"/>
        </w:rPr>
      </w:pPr>
      <w:r>
        <w:rPr>
          <w:rFonts w:hint="eastAsia"/>
          <w:sz w:val="24"/>
        </w:rPr>
        <w:t xml:space="preserve">    (3)气化压力可达3.5</w:t>
      </w:r>
      <w:r>
        <w:rPr>
          <w:rFonts w:ascii="宋体" w:hAnsi="宋体" w:hint="eastAsia"/>
          <w:szCs w:val="21"/>
        </w:rPr>
        <w:t>～</w:t>
      </w:r>
      <w:r>
        <w:rPr>
          <w:rFonts w:hint="eastAsia"/>
          <w:sz w:val="24"/>
        </w:rPr>
        <w:t>6.5MPa， 可大大节省合成气的压缩功。</w:t>
      </w:r>
    </w:p>
    <w:p>
      <w:pPr>
        <w:spacing w:line="360" w:lineRule="auto"/>
        <w:rPr>
          <w:rFonts w:hint="eastAsia"/>
          <w:sz w:val="24"/>
        </w:rPr>
      </w:pPr>
      <w:r>
        <w:rPr>
          <w:rFonts w:hint="eastAsia"/>
          <w:sz w:val="24"/>
        </w:rPr>
        <w:t xml:space="preserve">    (4)碳转化率高，均大于90%，能耗低。</w:t>
      </w:r>
    </w:p>
    <w:p>
      <w:pPr>
        <w:spacing w:line="360" w:lineRule="auto"/>
        <w:rPr>
          <w:rFonts w:hint="eastAsia"/>
          <w:sz w:val="24"/>
        </w:rPr>
      </w:pPr>
      <w:r>
        <w:rPr>
          <w:rFonts w:hint="eastAsia"/>
          <w:sz w:val="24"/>
        </w:rPr>
        <w:t xml:space="preserve">    (5)气化强度大。</w:t>
      </w:r>
    </w:p>
    <w:p>
      <w:pPr>
        <w:spacing w:line="360" w:lineRule="auto"/>
        <w:rPr>
          <w:rFonts w:hint="eastAsia"/>
          <w:sz w:val="24"/>
        </w:rPr>
      </w:pPr>
      <w:r>
        <w:rPr>
          <w:rFonts w:hint="eastAsia"/>
          <w:sz w:val="24"/>
        </w:rPr>
        <w:t xml:space="preserve">    (6)但投资相对较高，尤其是Shell粉煤气化。</w:t>
      </w:r>
    </w:p>
    <w:p>
      <w:pPr>
        <w:spacing w:line="360" w:lineRule="auto"/>
        <w:ind w:firstLine="480" w:firstLineChars="200"/>
        <w:rPr>
          <w:rFonts w:hint="eastAsia"/>
          <w:sz w:val="24"/>
        </w:rPr>
      </w:pPr>
      <w:r>
        <w:rPr>
          <w:rFonts w:hint="eastAsia"/>
          <w:sz w:val="24"/>
        </w:rPr>
        <w:t>从技术先进性、能耗、环保等方面考虑，对于大型甲醇煤气化应选用气流床气化为宜. 从流程分，可分为冷激式流程和废热锅炉流程。前者在煤气离开气化炉后用激冷水直接冷却，它适合于制造氨气或氢气。因为这种流程易于和变换反响器配套，激冷中产生的蒸汽可满足变换反响的需要。后者热煤气是经辐射锅炉，再送往对流锅炉，产生高压蒸汽可用于发电或作热源。</w:t>
      </w:r>
    </w:p>
    <w:p>
      <w:pPr>
        <w:spacing w:line="360" w:lineRule="auto"/>
        <w:ind w:firstLine="554" w:firstLineChars="231"/>
        <w:rPr>
          <w:rFonts w:hint="eastAsia"/>
          <w:sz w:val="24"/>
        </w:rPr>
      </w:pPr>
      <w:r>
        <w:rPr>
          <w:rFonts w:hint="eastAsia"/>
          <w:sz w:val="24"/>
        </w:rPr>
        <w:t>目前，常用的、技术较成熟的气流床主要有干粉和水煤浆两种。</w:t>
      </w:r>
    </w:p>
    <w:p>
      <w:pPr>
        <w:spacing w:line="360" w:lineRule="auto"/>
        <w:rPr>
          <w:rFonts w:hint="eastAsia"/>
          <w:b w:val="0"/>
          <w:bCs/>
          <w:sz w:val="24"/>
        </w:rPr>
      </w:pPr>
      <w:r>
        <w:rPr>
          <w:rFonts w:hint="eastAsia"/>
          <w:b w:val="0"/>
          <w:bCs/>
          <w:sz w:val="24"/>
        </w:rPr>
        <w:t>干粉气流床：</w:t>
      </w:r>
    </w:p>
    <w:p>
      <w:pPr>
        <w:spacing w:line="360" w:lineRule="auto"/>
        <w:ind w:firstLine="480" w:firstLineChars="200"/>
        <w:rPr>
          <w:rFonts w:hint="eastAsia"/>
          <w:b w:val="0"/>
          <w:bCs w:val="0"/>
          <w:sz w:val="24"/>
        </w:rPr>
      </w:pPr>
      <w:r>
        <w:rPr>
          <w:rFonts w:hint="eastAsia"/>
          <w:sz w:val="24"/>
        </w:rPr>
        <w:t>该技术的特点是碳的转化率高，气化反响中，所产煤气中CO含量高，H</w:t>
      </w:r>
      <w:r>
        <w:rPr>
          <w:rFonts w:hint="eastAsia"/>
          <w:sz w:val="24"/>
          <w:vertAlign w:val="subscript"/>
        </w:rPr>
        <w:t>2</w:t>
      </w:r>
      <w:r>
        <w:rPr>
          <w:rFonts w:hint="eastAsia"/>
          <w:sz w:val="24"/>
        </w:rPr>
        <w:t>含量较低，这种煤气的热值较高。另外，这种气化炉均采用水冷壁而不是耐火砖，炉衬的使用寿命长。</w:t>
      </w:r>
    </w:p>
    <w:p>
      <w:pPr>
        <w:spacing w:line="360" w:lineRule="auto"/>
        <w:rPr>
          <w:rFonts w:hint="eastAsia"/>
          <w:b w:val="0"/>
          <w:bCs w:val="0"/>
          <w:sz w:val="24"/>
        </w:rPr>
      </w:pPr>
      <w:r>
        <w:rPr>
          <w:rFonts w:hint="eastAsia"/>
          <w:b w:val="0"/>
          <w:bCs w:val="0"/>
          <w:sz w:val="24"/>
        </w:rPr>
        <w:t>水煤浆气流床：</w:t>
      </w:r>
    </w:p>
    <w:p>
      <w:pPr>
        <w:spacing w:line="360" w:lineRule="auto"/>
        <w:ind w:firstLine="480" w:firstLineChars="200"/>
        <w:rPr>
          <w:rFonts w:hint="eastAsia"/>
          <w:sz w:val="24"/>
        </w:rPr>
        <w:sectPr>
          <w:type w:val="nextPage"/>
          <w:pgSz w:w="11906" w:h="16838"/>
          <w:pgMar w:top="1985" w:right="1418" w:bottom="1247" w:left="1531" w:header="851" w:footer="992" w:gutter="0"/>
          <w:pgNumType w:fmt="decimal" w:start="6"/>
          <w:cols w:space="708"/>
          <w:titlePg w:val="0"/>
          <w:docGrid w:type="lines" w:linePitch="312"/>
        </w:sectPr>
      </w:pPr>
    </w:p>
    <w:p>
      <w:pPr>
        <w:spacing w:line="360" w:lineRule="auto"/>
        <w:ind w:firstLine="480" w:firstLineChars="200"/>
        <w:rPr>
          <w:rFonts w:hint="eastAsia"/>
          <w:sz w:val="24"/>
        </w:rPr>
      </w:pPr>
      <w:r>
        <w:rPr>
          <w:rFonts w:hint="eastAsia"/>
          <w:sz w:val="24"/>
        </w:rPr>
        <w:t>水煤浆气化技术的特点是煤浆带35%~40%水入炉，因此氧耗比干粉煤气化约高20%；炉衬是耐火砖，冲刷严重，每年要更换一次;生成CO</w:t>
      </w:r>
      <w:r>
        <w:rPr>
          <w:rFonts w:hint="eastAsia"/>
          <w:sz w:val="24"/>
          <w:vertAlign w:val="subscript"/>
        </w:rPr>
        <w:t>2</w:t>
      </w:r>
      <w:r>
        <w:rPr>
          <w:rFonts w:hint="eastAsia"/>
          <w:sz w:val="24"/>
        </w:rPr>
        <w:t>量大，碳的转化率低，有效气体成份(CO+H</w:t>
      </w:r>
      <w:r>
        <w:rPr>
          <w:rFonts w:hint="eastAsia"/>
          <w:sz w:val="24"/>
          <w:vertAlign w:val="subscript"/>
        </w:rPr>
        <w:t>2</w:t>
      </w:r>
      <w:r>
        <w:rPr>
          <w:rFonts w:hint="eastAsia"/>
          <w:sz w:val="24"/>
        </w:rPr>
        <w:t>)低；对煤有一定要求，如要求灰分&lt;13%，灰熔点&lt;1300</w:t>
      </w:r>
      <w:r>
        <w:rPr>
          <w:rFonts w:ascii="宋体" w:hAnsi="宋体" w:hint="eastAsia"/>
          <w:sz w:val="24"/>
        </w:rPr>
        <w:t>℃</w:t>
      </w:r>
      <w:r>
        <w:rPr>
          <w:rFonts w:hint="eastAsia"/>
          <w:sz w:val="24"/>
        </w:rPr>
        <w:t>，含水量&lt;8%等，虽然具有气流床煤气化的共同优点，仍是美中缺乏。</w:t>
      </w:r>
    </w:p>
    <w:p>
      <w:pPr>
        <w:spacing w:line="360" w:lineRule="auto"/>
        <w:ind w:firstLine="480" w:firstLineChars="200"/>
        <w:rPr>
          <w:rFonts w:hint="eastAsia"/>
          <w:sz w:val="24"/>
        </w:rPr>
      </w:pPr>
      <w:r>
        <w:rPr>
          <w:rFonts w:hint="eastAsia"/>
          <w:sz w:val="24"/>
        </w:rPr>
        <w:t>通过比拟可知道大型甲醇的煤气化的应该优先考虑干粉煤气化。设计采用的是GSP冷激气化工艺，其兼有shell和Texaco的技术优点。代表着未来气流床加压气化技术的开展方向。</w:t>
      </w:r>
    </w:p>
    <w:p>
      <w:pPr>
        <w:pStyle w:val="Heading2"/>
        <w:rPr>
          <w:rFonts w:ascii="宋体" w:eastAsia="宋体" w:hAnsi="宋体" w:cs="宋体" w:hint="eastAsia"/>
          <w:b w:val="0"/>
          <w:bCs/>
          <w:sz w:val="24"/>
          <w:szCs w:val="24"/>
        </w:rPr>
      </w:pPr>
      <w:bookmarkStart w:id="34" w:name="_Toc3327"/>
      <w:bookmarkStart w:id="35" w:name="_Toc4676"/>
      <w:bookmarkStart w:id="36" w:name="_Toc9588"/>
      <w:bookmarkStart w:id="37" w:name="_Toc29814"/>
      <w:bookmarkStart w:id="38" w:name="_Toc15123"/>
      <w:bookmarkStart w:id="39" w:name="_Toc9655"/>
      <w:bookmarkStart w:id="40" w:name="_Toc9153"/>
      <w:r>
        <w:rPr>
          <w:rFonts w:ascii="宋体" w:eastAsia="宋体" w:hAnsi="宋体" w:cs="宋体" w:hint="eastAsia"/>
          <w:b w:val="0"/>
          <w:bCs/>
          <w:sz w:val="24"/>
          <w:szCs w:val="24"/>
          <w:lang w:val="en-US" w:eastAsia="zh-CN"/>
        </w:rPr>
        <w:t>4.</w:t>
      </w:r>
      <w:r>
        <w:rPr>
          <w:rFonts w:ascii="宋体" w:eastAsia="宋体" w:hAnsi="宋体" w:cs="宋体" w:hint="eastAsia"/>
          <w:b w:val="0"/>
          <w:bCs/>
          <w:sz w:val="24"/>
          <w:szCs w:val="24"/>
        </w:rPr>
        <w:t>GSP工艺技术简介</w:t>
      </w:r>
      <w:bookmarkEnd w:id="34"/>
      <w:bookmarkEnd w:id="35"/>
      <w:bookmarkEnd w:id="36"/>
      <w:bookmarkEnd w:id="37"/>
      <w:bookmarkEnd w:id="38"/>
      <w:bookmarkEnd w:id="39"/>
      <w:bookmarkEnd w:id="40"/>
    </w:p>
    <w:p>
      <w:pPr>
        <w:spacing w:line="360" w:lineRule="auto"/>
        <w:ind w:firstLine="480" w:firstLineChars="200"/>
        <w:rPr>
          <w:rFonts w:hint="eastAsia"/>
          <w:sz w:val="24"/>
        </w:rPr>
      </w:pPr>
      <w:r>
        <w:rPr>
          <w:rFonts w:hint="eastAsia"/>
          <w:sz w:val="24"/>
        </w:rPr>
        <w:t>GSP工艺技术是20世纪70年代末由GDR(原民主德国)开发并投入商业化运行的大中型煤气化技术。与其他同类气化技术相比，该技术因采用了气化炉顶干粉加料与反响室周围水冷壁结构，因而在气化炉结构以及工艺流程上有其先进之处。GSP气化技术的主要特点如下</w:t>
      </w:r>
      <w:r>
        <w:rPr>
          <w:rFonts w:hint="eastAsia"/>
          <w:sz w:val="24"/>
          <w:vertAlign w:val="superscript"/>
        </w:rPr>
        <w:t>［</w:t>
      </w:r>
      <w:r>
        <w:rPr>
          <w:rFonts w:hint="eastAsia"/>
          <w:sz w:val="24"/>
          <w:vertAlign w:val="superscript"/>
          <w:lang w:val="en-US" w:eastAsia="zh-CN"/>
        </w:rPr>
        <w:t>3</w:t>
      </w:r>
      <w:r>
        <w:rPr>
          <w:rFonts w:hint="eastAsia"/>
          <w:sz w:val="24"/>
          <w:vertAlign w:val="superscript"/>
        </w:rPr>
        <w:t>］</w:t>
      </w:r>
      <w:r>
        <w:rPr>
          <w:rFonts w:hint="eastAsia"/>
          <w:sz w:val="24"/>
        </w:rPr>
        <w:t>：</w:t>
      </w:r>
    </w:p>
    <w:p>
      <w:pPr>
        <w:spacing w:line="360" w:lineRule="auto"/>
        <w:ind w:firstLine="360" w:firstLineChars="150"/>
        <w:rPr>
          <w:rFonts w:hint="eastAsia"/>
          <w:sz w:val="24"/>
        </w:rPr>
      </w:pPr>
      <w:r>
        <w:rPr>
          <w:rFonts w:hint="eastAsia"/>
          <w:sz w:val="24"/>
        </w:rPr>
        <w:t xml:space="preserve"> (1)采用干粉煤(水份含量&lt;2%)作为气化原料，根据后续化工产品的要求，煤粉可用氮气或一氧化碳输送，故操作十分平安。由于气化温度高，故对煤种的适应性更为广泛，从较差的褐煤、次烟煤、烟煤到石油焦均可使用，也可以两种煤掺混使用。对煤的灰熔点的适用范围比其他气化工艺更宽，即使是高水份、高灰分、高硫含量和高灰熔点的煤种也能使用。</w:t>
      </w:r>
    </w:p>
    <w:p>
      <w:pPr>
        <w:spacing w:line="360" w:lineRule="auto"/>
        <w:ind w:firstLine="480" w:firstLineChars="200"/>
        <w:rPr>
          <w:rFonts w:hint="eastAsia"/>
          <w:sz w:val="24"/>
        </w:rPr>
      </w:pPr>
      <w:r>
        <w:rPr>
          <w:rFonts w:hint="eastAsia"/>
          <w:sz w:val="24"/>
        </w:rPr>
        <w:t>(2)气化温度高，一般在1450</w:t>
      </w:r>
      <w:r>
        <w:rPr>
          <w:rFonts w:ascii="宋体" w:hAnsi="宋体" w:hint="eastAsia"/>
          <w:szCs w:val="21"/>
        </w:rPr>
        <w:t>～</w:t>
      </w:r>
      <w:r>
        <w:rPr>
          <w:rFonts w:hint="eastAsia"/>
          <w:sz w:val="24"/>
        </w:rPr>
        <w:t>1600</w:t>
      </w:r>
      <w:r>
        <w:rPr>
          <w:rFonts w:hint="eastAsia"/>
          <w:sz w:val="24"/>
        </w:rPr>
        <w:t>℃</w:t>
      </w:r>
      <w:r>
        <w:rPr>
          <w:rFonts w:hint="eastAsia"/>
          <w:sz w:val="24"/>
        </w:rPr>
        <w:t>，煤气中甲烷体积分数小于0.1%，(CO+H</w:t>
      </w:r>
      <w:r>
        <w:rPr>
          <w:rFonts w:hint="eastAsia"/>
          <w:sz w:val="24"/>
          <w:vertAlign w:val="subscript"/>
        </w:rPr>
        <w:t>2</w:t>
      </w:r>
      <w:r>
        <w:rPr>
          <w:rFonts w:hint="eastAsia"/>
          <w:sz w:val="24"/>
        </w:rPr>
        <w:t>)体积分数高达90%以上。</w:t>
      </w:r>
    </w:p>
    <w:p>
      <w:pPr>
        <w:spacing w:line="360" w:lineRule="auto"/>
        <w:ind w:firstLine="480" w:firstLineChars="200"/>
        <w:rPr>
          <w:rFonts w:hint="eastAsia"/>
          <w:sz w:val="24"/>
        </w:rPr>
      </w:pPr>
      <w:r>
        <w:rPr>
          <w:rFonts w:hint="eastAsia"/>
          <w:sz w:val="24"/>
        </w:rPr>
        <w:t>(3)氧耗较低，与水煤浆加压气化工艺相比，氧耗低约15%</w:t>
      </w:r>
      <w:r>
        <w:rPr>
          <w:rFonts w:ascii="宋体" w:hAnsi="宋体" w:hint="eastAsia"/>
          <w:szCs w:val="21"/>
        </w:rPr>
        <w:t>～</w:t>
      </w:r>
      <w:r>
        <w:rPr>
          <w:rFonts w:hint="eastAsia"/>
          <w:sz w:val="24"/>
        </w:rPr>
        <w:t>20%，可降低配套空分装置投资和运行费用。</w:t>
      </w:r>
    </w:p>
    <w:p>
      <w:pPr>
        <w:spacing w:line="360" w:lineRule="auto"/>
        <w:ind w:firstLine="480" w:firstLineChars="200"/>
        <w:rPr>
          <w:rFonts w:hint="eastAsia"/>
          <w:sz w:val="24"/>
        </w:rPr>
      </w:pPr>
      <w:r>
        <w:rPr>
          <w:rFonts w:hint="eastAsia"/>
          <w:sz w:val="24"/>
        </w:rPr>
        <w:t>(4)气化炉采用水冷壁结构，无耐火材料衬里。水冷壁设计寿命按25年考虑。正常使用时维护量很少，运行周期长。</w:t>
      </w:r>
    </w:p>
    <w:p>
      <w:pPr>
        <w:spacing w:line="360" w:lineRule="auto"/>
        <w:ind w:firstLine="480" w:firstLineChars="200"/>
        <w:rPr>
          <w:rFonts w:hint="eastAsia"/>
          <w:sz w:val="24"/>
        </w:rPr>
      </w:pPr>
      <w:r>
        <w:rPr>
          <w:rFonts w:hint="eastAsia"/>
          <w:sz w:val="24"/>
        </w:rPr>
        <w:t>(5)只有一个联合喷嘴(开工喷嘴与生产喷嘴合二为一)，喷嘴使用寿命长，为气化装置长周期运行提供了可靠保障。</w:t>
      </w:r>
    </w:p>
    <w:p>
      <w:pPr>
        <w:spacing w:line="360" w:lineRule="auto"/>
        <w:ind w:firstLine="480" w:firstLineChars="200"/>
        <w:rPr>
          <w:rFonts w:hint="eastAsia"/>
          <w:sz w:val="24"/>
        </w:rPr>
      </w:pPr>
      <w:r>
        <w:rPr>
          <w:rFonts w:hint="eastAsia"/>
          <w:sz w:val="24"/>
        </w:rPr>
        <w:t>(6)碳转化率高达99%以上，冷煤气效率高达80%以上。</w:t>
      </w:r>
    </w:p>
    <w:p>
      <w:pPr>
        <w:adjustRightInd w:val="0"/>
        <w:ind w:firstLine="480" w:firstLineChars="200"/>
        <w:rPr>
          <w:rFonts w:hint="eastAsia"/>
          <w:sz w:val="24"/>
        </w:rPr>
      </w:pPr>
      <w:r>
        <w:rPr>
          <w:rFonts w:hint="eastAsia"/>
          <w:sz w:val="24"/>
        </w:rPr>
        <w:t>(7)对环境影响小，气化过程无废气排放。</w:t>
      </w:r>
    </w:p>
    <w:p>
      <w:pPr>
        <w:adjustRightInd w:val="0"/>
        <w:ind w:firstLine="480" w:firstLineChars="200"/>
        <w:rPr>
          <w:rFonts w:hint="eastAsia"/>
          <w:sz w:val="24"/>
        </w:rPr>
        <w:sectPr>
          <w:type w:val="nextPage"/>
          <w:pgSz w:w="11906" w:h="16838"/>
          <w:pgMar w:top="1985" w:right="1418" w:bottom="1247" w:left="1531" w:header="851" w:footer="992" w:gutter="0"/>
          <w:pgNumType w:fmt="decimal" w:start="7"/>
          <w:cols w:space="708"/>
          <w:titlePg w:val="0"/>
          <w:docGrid w:type="lines" w:linePitch="312"/>
        </w:sectPr>
      </w:pPr>
      <w:r>
        <w:rPr>
          <w:rFonts w:hint="eastAsia"/>
          <w:sz w:val="24"/>
        </w:rPr>
        <w:t>(8)投资省，粗煤气本钱较低。</w:t>
      </w:r>
    </w:p>
    <w:p>
      <w:pPr>
        <w:pStyle w:val="Heading1"/>
        <w:rPr>
          <w:rFonts w:hint="eastAsia"/>
          <w:b w:val="0"/>
          <w:bCs w:val="0"/>
          <w:sz w:val="28"/>
          <w:szCs w:val="28"/>
        </w:rPr>
      </w:pPr>
      <w:bookmarkStart w:id="41" w:name="_Toc6255"/>
      <w:bookmarkStart w:id="42" w:name="_Toc31377"/>
      <w:bookmarkStart w:id="43" w:name="_Toc3669"/>
      <w:r>
        <w:rPr>
          <w:rFonts w:hint="eastAsia"/>
          <w:b w:val="0"/>
          <w:bCs w:val="0"/>
          <w:sz w:val="28"/>
          <w:szCs w:val="28"/>
        </w:rPr>
        <w:t>2.</w:t>
      </w:r>
      <w:r>
        <w:rPr>
          <w:rFonts w:hint="eastAsia"/>
          <w:b w:val="0"/>
          <w:bCs w:val="0"/>
          <w:sz w:val="28"/>
          <w:szCs w:val="28"/>
          <w:lang w:val="en-US" w:eastAsia="zh-CN"/>
        </w:rPr>
        <w:t>2</w:t>
      </w:r>
      <w:bookmarkEnd w:id="41"/>
      <w:bookmarkEnd w:id="42"/>
      <w:r>
        <w:rPr>
          <w:rFonts w:hint="eastAsia"/>
          <w:b w:val="0"/>
          <w:bCs w:val="0"/>
          <w:sz w:val="28"/>
          <w:szCs w:val="28"/>
          <w:lang w:eastAsia="zh-CN"/>
        </w:rPr>
        <w:t>工艺流程化</w:t>
      </w:r>
      <w:bookmarkEnd w:id="43"/>
    </w:p>
    <w:p>
      <w:pPr>
        <w:spacing w:line="360" w:lineRule="auto"/>
        <w:ind w:firstLine="470" w:firstLineChars="196"/>
        <w:rPr>
          <w:rFonts w:hint="eastAsia"/>
          <w:sz w:val="24"/>
        </w:rPr>
      </w:pPr>
      <w:r>
        <w:rPr>
          <w:rFonts w:hint="eastAsia"/>
          <w:sz w:val="24"/>
        </w:rPr>
        <w:t>甲醇合成的典型工艺主要是：低压工艺〔ICI低压工艺、Lurgi低压工艺〕、中压工艺、高压工艺。甲醇合成工艺中最重要的工序是甲醇的合成，其关键技术是合成甲醇催化剂的和反响器，设计采用用的是低压合成工艺。</w:t>
      </w:r>
    </w:p>
    <w:p>
      <w:pPr>
        <w:pStyle w:val="Heading2"/>
        <w:rPr>
          <w:rFonts w:ascii="宋体" w:eastAsia="宋体" w:hAnsi="宋体" w:cs="宋体" w:hint="eastAsia"/>
          <w:b w:val="0"/>
          <w:bCs/>
          <w:sz w:val="28"/>
          <w:szCs w:val="28"/>
          <w:lang w:eastAsia="zh-CN"/>
        </w:rPr>
      </w:pPr>
      <w:bookmarkStart w:id="44" w:name="_Toc24587"/>
      <w:bookmarkStart w:id="45" w:name="_Toc19917"/>
      <w:bookmarkStart w:id="46" w:name="_Toc14330"/>
      <w:r>
        <w:rPr>
          <w:rFonts w:ascii="宋体" w:eastAsia="宋体" w:hAnsi="宋体" w:cs="宋体" w:hint="eastAsia"/>
          <w:b w:val="0"/>
          <w:bCs/>
          <w:sz w:val="28"/>
          <w:szCs w:val="28"/>
        </w:rPr>
        <w:t>2.</w:t>
      </w:r>
      <w:r>
        <w:rPr>
          <w:rFonts w:ascii="宋体" w:eastAsia="宋体" w:hAnsi="宋体" w:cs="宋体" w:hint="eastAsia"/>
          <w:b w:val="0"/>
          <w:bCs/>
          <w:sz w:val="28"/>
          <w:szCs w:val="28"/>
          <w:lang w:val="en-US" w:eastAsia="zh-CN"/>
        </w:rPr>
        <w:t>2.1</w:t>
      </w:r>
      <w:bookmarkEnd w:id="44"/>
      <w:bookmarkEnd w:id="45"/>
      <w:r>
        <w:rPr>
          <w:rFonts w:ascii="宋体" w:eastAsia="宋体" w:hAnsi="宋体" w:cs="宋体" w:hint="eastAsia"/>
          <w:b w:val="0"/>
          <w:bCs/>
          <w:sz w:val="28"/>
          <w:szCs w:val="28"/>
          <w:lang w:eastAsia="zh-CN"/>
        </w:rPr>
        <w:t>反响工段</w:t>
      </w:r>
      <w:bookmarkEnd w:id="46"/>
    </w:p>
    <w:p>
      <w:pPr>
        <w:spacing w:line="360" w:lineRule="auto"/>
        <w:ind w:firstLine="480" w:firstLineChars="200"/>
        <w:rPr>
          <w:rFonts w:ascii="宋体" w:hAnsi="宋体" w:hint="eastAsia"/>
          <w:sz w:val="24"/>
        </w:rPr>
      </w:pPr>
      <w:r>
        <w:rPr>
          <w:rFonts w:ascii="宋体" w:hAnsi="宋体" w:hint="eastAsia"/>
          <w:sz w:val="24"/>
        </w:rPr>
        <w:t>甲醇合成反响器实际是甲醇合成系统中最重要的设备。从操作结构，材料及维修等方面考虑，甲醇合成反响器应具有以下要求：</w:t>
      </w:r>
    </w:p>
    <w:p>
      <w:pPr>
        <w:spacing w:line="360" w:lineRule="auto"/>
        <w:ind w:firstLine="360" w:firstLineChars="150"/>
        <w:rPr>
          <w:rFonts w:ascii="宋体" w:hAnsi="宋体" w:hint="eastAsia"/>
          <w:sz w:val="24"/>
        </w:rPr>
      </w:pPr>
      <w:r>
        <w:rPr>
          <w:rFonts w:ascii="宋体" w:hAnsi="宋体" w:hint="eastAsia"/>
          <w:sz w:val="24"/>
        </w:rPr>
        <w:t>〔1〕催化剂床层温度易于控制，调节灵活，能有效移走反响热，并能以较高位能回收反响热；</w:t>
      </w:r>
    </w:p>
    <w:p>
      <w:pPr>
        <w:spacing w:line="360" w:lineRule="auto"/>
        <w:ind w:firstLine="360" w:firstLineChars="150"/>
        <w:rPr>
          <w:rFonts w:ascii="宋体" w:hAnsi="宋体" w:hint="eastAsia"/>
          <w:sz w:val="24"/>
        </w:rPr>
      </w:pPr>
      <w:r>
        <w:rPr>
          <w:rFonts w:ascii="宋体" w:hAnsi="宋体" w:hint="eastAsia"/>
          <w:sz w:val="24"/>
        </w:rPr>
        <w:t>〔2〕反响器内部结构合理，能保证气体均匀通过催化剂床层，阻力小，气体处理量大，合成转化率高，催化剂生产强度大；</w:t>
      </w:r>
    </w:p>
    <w:p>
      <w:pPr>
        <w:spacing w:line="360" w:lineRule="auto"/>
        <w:ind w:firstLine="360" w:firstLineChars="150"/>
        <w:rPr>
          <w:rFonts w:ascii="宋体" w:hAnsi="宋体" w:hint="eastAsia"/>
          <w:sz w:val="24"/>
        </w:rPr>
      </w:pPr>
      <w:r>
        <w:rPr>
          <w:rFonts w:ascii="宋体" w:hAnsi="宋体" w:hint="eastAsia"/>
          <w:sz w:val="24"/>
        </w:rPr>
        <w:t>〔3〕结构紧凑，尽可能多填装催化剂，提高高压空间利用率；高压容器及内件间无渗漏；催化剂装御方便；制造安装及维修容易。</w:t>
      </w:r>
    </w:p>
    <w:p>
      <w:pPr>
        <w:spacing w:line="360" w:lineRule="auto"/>
        <w:ind w:firstLine="480" w:firstLineChars="200"/>
        <w:rPr>
          <w:rFonts w:hint="eastAsia"/>
          <w:sz w:val="24"/>
        </w:rPr>
      </w:pPr>
      <w:r>
        <w:rPr>
          <w:rFonts w:hint="eastAsia"/>
          <w:sz w:val="24"/>
        </w:rPr>
        <w:t>甲醇合成塔主要由外筒、内件和电加热器三局部组成。内件事由催化剂筐和换热器两局部组成。根据内件的催化剂筐和换热器的结构形式不同，甲醇内件份为假设干类型。</w:t>
      </w:r>
    </w:p>
    <w:p>
      <w:pPr>
        <w:spacing w:line="360" w:lineRule="auto"/>
        <w:ind w:firstLine="480" w:firstLineChars="200"/>
        <w:rPr>
          <w:rFonts w:hint="eastAsia"/>
          <w:sz w:val="24"/>
        </w:rPr>
      </w:pPr>
      <w:r>
        <w:rPr>
          <w:rFonts w:hint="eastAsia"/>
          <w:sz w:val="24"/>
        </w:rPr>
        <w:t>按气体在催化剂床的流向可分为：轴向式、径向式和轴径复合型。</w:t>
      </w:r>
    </w:p>
    <w:p>
      <w:pPr>
        <w:spacing w:line="360" w:lineRule="auto"/>
        <w:rPr>
          <w:rFonts w:hint="eastAsia"/>
          <w:sz w:val="24"/>
        </w:rPr>
      </w:pPr>
      <w:r>
        <w:rPr>
          <w:rFonts w:hint="eastAsia"/>
          <w:sz w:val="24"/>
        </w:rPr>
        <w:t>按催化剂筐内反响惹得移出方式可分为冷管型连续换热式和冷激型多段换热式两大类。</w:t>
      </w:r>
    </w:p>
    <w:p>
      <w:pPr>
        <w:spacing w:line="360" w:lineRule="auto"/>
        <w:ind w:firstLine="480" w:firstLineChars="200"/>
        <w:rPr>
          <w:rFonts w:hint="eastAsia"/>
          <w:sz w:val="24"/>
        </w:rPr>
      </w:pPr>
      <w:r>
        <w:rPr>
          <w:rFonts w:hint="eastAsia"/>
          <w:sz w:val="24"/>
        </w:rPr>
        <w:t>按换热器的形式分为列管式、螺旋板式、波纹板式等多种形式。</w:t>
      </w:r>
    </w:p>
    <w:p>
      <w:pPr>
        <w:spacing w:line="360" w:lineRule="auto"/>
        <w:ind w:firstLine="480" w:firstLineChars="200"/>
        <w:rPr>
          <w:rFonts w:hint="eastAsia"/>
          <w:sz w:val="24"/>
        </w:rPr>
      </w:pPr>
      <w:r>
        <w:rPr>
          <w:rFonts w:hint="eastAsia"/>
          <w:sz w:val="24"/>
        </w:rPr>
        <w:t xml:space="preserve">目前，国内外的大型甲醇合成塔塔型较多，归纳起来可分为五种： </w:t>
      </w:r>
    </w:p>
    <w:p>
      <w:pPr>
        <w:spacing w:line="360" w:lineRule="auto"/>
        <w:ind w:firstLine="360" w:firstLineChars="150"/>
        <w:rPr>
          <w:rFonts w:hint="eastAsia"/>
          <w:sz w:val="24"/>
        </w:rPr>
      </w:pPr>
      <w:r>
        <w:rPr>
          <w:rFonts w:hint="eastAsia"/>
          <w:sz w:val="24"/>
        </w:rPr>
        <w:t>〔1〕冷激式合成塔</w:t>
      </w:r>
    </w:p>
    <w:p>
      <w:pPr>
        <w:spacing w:line="360" w:lineRule="auto"/>
        <w:ind w:firstLine="480" w:firstLineChars="200"/>
        <w:rPr>
          <w:rFonts w:hint="eastAsia"/>
          <w:sz w:val="24"/>
        </w:rPr>
      </w:pPr>
      <w:r>
        <w:rPr>
          <w:rFonts w:hint="eastAsia"/>
          <w:sz w:val="24"/>
        </w:rPr>
        <w:t>这是最早的低压甲醇合成塔，是用进塔冷气冷激来带走反响热。该塔结构简单，也适于大型化。但碳的转化率低，出塔的甲醇浓度低，循环量大，能耗高，又不能副产蒸汽，现已经根本被淘汰。</w:t>
      </w:r>
    </w:p>
    <w:p>
      <w:pPr>
        <w:spacing w:line="360" w:lineRule="auto"/>
        <w:ind w:firstLine="360" w:firstLineChars="150"/>
        <w:rPr>
          <w:rFonts w:hint="eastAsia"/>
          <w:sz w:val="24"/>
        </w:rPr>
      </w:pPr>
      <w:r>
        <w:rPr>
          <w:rFonts w:hint="eastAsia"/>
          <w:sz w:val="24"/>
        </w:rPr>
        <w:t>〔2〕冷管式合成塔</w:t>
      </w:r>
    </w:p>
    <w:p>
      <w:pPr>
        <w:spacing w:line="360" w:lineRule="auto"/>
        <w:ind w:firstLine="480" w:firstLineChars="200"/>
        <w:rPr>
          <w:rFonts w:hint="eastAsia"/>
          <w:sz w:val="24"/>
        </w:rPr>
        <w:sectPr>
          <w:type w:val="nextPage"/>
          <w:pgSz w:w="11906" w:h="16838"/>
          <w:pgMar w:top="1985" w:right="1418" w:bottom="1247" w:left="1531" w:header="851" w:footer="992" w:gutter="0"/>
          <w:pgNumType w:fmt="decimal" w:start="8"/>
          <w:cols w:space="708"/>
          <w:titlePg w:val="0"/>
          <w:docGrid w:type="lines" w:linePitch="312"/>
        </w:sectPr>
      </w:pPr>
    </w:p>
    <w:p>
      <w:pPr>
        <w:spacing w:line="360" w:lineRule="auto"/>
        <w:ind w:firstLine="480" w:firstLineChars="200"/>
        <w:rPr>
          <w:rFonts w:hint="eastAsia"/>
          <w:sz w:val="24"/>
        </w:rPr>
      </w:pPr>
      <w:r>
        <w:rPr>
          <w:rFonts w:hint="eastAsia"/>
          <w:sz w:val="24"/>
        </w:rPr>
        <w:t>这种合成塔源于氨合成塔，在催化剂内设置足够换热面积的冷气管，用进塔冷管来移走反响热。冷管的结构有逆流式、并流式和U型管式。由于逆流式与合成反响的放热不相适应，即床层出口处温差最大，但这时反响放热最小，而在床层上部反响最快、放热最多，但温差却又最小，为克服这种缺乏，冷管改为并流或U形冷管。如1984年ICI公司提出的逆流式冷管型及1993年提出的并流冷管TCC型合成塔和国内林达公司的U形冷管型。这种塔型碳转化率较高但仅能在出塔气中副产0.</w:t>
      </w:r>
      <w:r>
        <w:rPr>
          <w:rFonts w:hint="eastAsia"/>
          <w:sz w:val="24"/>
        </w:rPr>
        <w:t xml:space="preserve"> 4MPa的低压蒸汽。日前大型装置很少使用。</w:t>
      </w:r>
    </w:p>
    <w:p>
      <w:pPr>
        <w:spacing w:line="360" w:lineRule="auto"/>
        <w:ind w:firstLine="360" w:firstLineChars="150"/>
        <w:rPr>
          <w:rFonts w:hint="eastAsia"/>
          <w:sz w:val="24"/>
        </w:rPr>
      </w:pPr>
      <w:r>
        <w:rPr>
          <w:rFonts w:hint="eastAsia"/>
          <w:sz w:val="24"/>
        </w:rPr>
        <w:t>〔3〕水管式合成塔</w:t>
      </w:r>
    </w:p>
    <w:p>
      <w:pPr>
        <w:spacing w:line="360" w:lineRule="auto"/>
        <w:ind w:firstLine="360" w:firstLineChars="150"/>
        <w:rPr>
          <w:rFonts w:hint="eastAsia"/>
          <w:sz w:val="24"/>
        </w:rPr>
      </w:pPr>
      <w:r>
        <w:rPr>
          <w:rFonts w:hint="eastAsia"/>
          <w:sz w:val="24"/>
        </w:rPr>
        <w:t xml:space="preserve"> 将床层内的传热管由管内走冷气改为走沸腾水。这样可较大地提高传热系数，更好地移走反响热，缩小传热面积，多装催化剂，同时可副产2.5M</w:t>
      </w:r>
      <w:r>
        <w:rPr>
          <w:sz w:val="24"/>
        </w:rPr>
        <w:t>p</w:t>
      </w:r>
      <w:r>
        <w:rPr>
          <w:rFonts w:hint="eastAsia"/>
          <w:sz w:val="24"/>
        </w:rPr>
        <w:t>a</w:t>
      </w:r>
      <w:r>
        <w:rPr>
          <w:rFonts w:hint="eastAsia"/>
          <w:sz w:val="24"/>
        </w:rPr>
        <w:t>—</w:t>
      </w:r>
      <w:r>
        <w:rPr>
          <w:rFonts w:hint="eastAsia"/>
          <w:sz w:val="24"/>
        </w:rPr>
        <w:t>4.0MPa的中压蒸汽，是大型化较理想的塔型。</w:t>
      </w:r>
    </w:p>
    <w:p>
      <w:pPr>
        <w:spacing w:line="360" w:lineRule="auto"/>
        <w:ind w:firstLine="360" w:firstLineChars="150"/>
        <w:rPr>
          <w:rFonts w:hint="eastAsia"/>
          <w:sz w:val="24"/>
        </w:rPr>
      </w:pPr>
      <w:r>
        <w:rPr>
          <w:rFonts w:hint="eastAsia"/>
          <w:sz w:val="24"/>
        </w:rPr>
        <w:t>〔4〕固定管板列管合成塔</w:t>
      </w:r>
    </w:p>
    <w:p>
      <w:pPr>
        <w:spacing w:line="360" w:lineRule="auto"/>
        <w:ind w:firstLine="360" w:firstLineChars="150"/>
        <w:rPr>
          <w:rFonts w:hint="eastAsia"/>
          <w:sz w:val="24"/>
        </w:rPr>
      </w:pPr>
      <w:r>
        <w:rPr>
          <w:rFonts w:hint="eastAsia"/>
          <w:sz w:val="24"/>
        </w:rPr>
        <w:t xml:space="preserve"> 这种合成塔就是一台列管换热器，催化剂在管内，管间〔壳程)是沸腾水，将反响热用于副产3.0MPa</w:t>
      </w:r>
      <w:r>
        <w:rPr>
          <w:rFonts w:ascii="宋体" w:hAnsi="宋体" w:hint="eastAsia"/>
          <w:szCs w:val="21"/>
        </w:rPr>
        <w:t>～</w:t>
      </w:r>
      <w:r>
        <w:rPr>
          <w:rFonts w:hint="eastAsia"/>
          <w:sz w:val="24"/>
        </w:rPr>
        <w:t>4.0MPa的中压蒸汽。代表塔型有Lurgi公司的合成塔和三菱公司套管超级合成塔，该塔是在列管内再增加一小管，小管内走进塔的冷气。进一步强化传热，即反响热通过列管传给壳程沸腾水，而同时又通过列管中心的冷气管传给进塔的冷气。这样就大大提高转化率，降低循环量和能耗，然而使合成塔的结构更复杂。固定管板列管合成塔虽然可用于大型化，但受管长、设备直径、管板制造所限。在日产超过2000t时，往往需要并联两个。这种塔型是造价最高的一种，也是装卸催化剂较难的一种。随着合成压力增高，塔径加大，管板的厚度也增加。管板处的催化剂属于绝热段;管板下面还有一段逆传热段，也就是进塔气225</w:t>
      </w:r>
      <w:r>
        <w:rPr>
          <w:rFonts w:hint="eastAsia"/>
          <w:sz w:val="24"/>
        </w:rPr>
        <w:t>℃</w:t>
      </w:r>
      <w:r>
        <w:rPr>
          <w:rFonts w:hint="eastAsia"/>
          <w:sz w:val="24"/>
        </w:rPr>
        <w:t>，管外的沸腾水却是24</w:t>
      </w:r>
      <w:r>
        <w:rPr>
          <w:rFonts w:ascii="宋体" w:hAnsi="宋体" w:hint="eastAsia"/>
          <w:sz w:val="24"/>
        </w:rPr>
        <w:t>8</w:t>
      </w:r>
      <w:r>
        <w:rPr>
          <w:rFonts w:ascii="宋体" w:hAnsi="宋体" w:hint="eastAsia"/>
          <w:sz w:val="24"/>
        </w:rPr>
        <w:t>℃</w:t>
      </w:r>
      <w:r>
        <w:rPr>
          <w:rFonts w:hint="eastAsia"/>
          <w:sz w:val="24"/>
        </w:rPr>
        <w:t>，不是将反响热移走而是水给反响气加热。这种合成塔由于列管需用特种不锈钢，因而是造价非常高的一种。</w:t>
      </w:r>
    </w:p>
    <w:p>
      <w:pPr>
        <w:spacing w:line="360" w:lineRule="auto"/>
        <w:ind w:firstLine="360" w:firstLineChars="150"/>
        <w:rPr>
          <w:rFonts w:hint="eastAsia"/>
          <w:sz w:val="24"/>
        </w:rPr>
      </w:pPr>
      <w:r>
        <w:rPr>
          <w:rFonts w:hint="eastAsia"/>
          <w:sz w:val="24"/>
        </w:rPr>
        <w:t>〔5〕多床内换热式合成塔</w:t>
      </w:r>
    </w:p>
    <w:p>
      <w:pPr>
        <w:spacing w:line="360" w:lineRule="auto"/>
        <w:ind w:firstLine="360" w:firstLineChars="150"/>
        <w:rPr>
          <w:rFonts w:hint="eastAsia"/>
          <w:sz w:val="24"/>
        </w:rPr>
      </w:pPr>
      <w:r>
        <w:rPr>
          <w:rFonts w:hint="eastAsia"/>
          <w:sz w:val="24"/>
        </w:rPr>
        <w:t xml:space="preserve"> 这种合成塔由大型氨合成塔开展而来。日前各工程公司的氨合成塔均采用二床(四床)内换热式合成塔。针对甲醇合成的特点采用四床〔或五床)内换热式合成塔。各床层是绝热反响，在各床出口将热量移走。这种塔型结构简单，造价低，不需特种合金钢，转化率高，适合于大型或超大型装置，但反响热不能全部直接副产中压蒸汽。典型塔型有Casale的四床卧式内换热合成塔和中国成达公司的四床内换热式合成塔。</w:t>
      </w:r>
    </w:p>
    <w:p>
      <w:pPr>
        <w:spacing w:line="360" w:lineRule="auto"/>
        <w:ind w:firstLine="540" w:firstLineChars="225"/>
        <w:rPr>
          <w:rFonts w:hint="eastAsia"/>
          <w:sz w:val="24"/>
        </w:rPr>
        <w:sectPr>
          <w:type w:val="nextPage"/>
          <w:pgSz w:w="11906" w:h="16838"/>
          <w:pgMar w:top="1985" w:right="1418" w:bottom="1247" w:left="1531" w:header="851" w:footer="992" w:gutter="0"/>
          <w:pgNumType w:fmt="decimal" w:start="9"/>
          <w:cols w:space="708"/>
          <w:titlePg w:val="0"/>
          <w:docGrid w:type="lines" w:linePitch="312"/>
        </w:sectPr>
      </w:pPr>
    </w:p>
    <w:p>
      <w:pPr>
        <w:spacing w:line="360" w:lineRule="auto"/>
        <w:ind w:firstLine="540" w:firstLineChars="225"/>
        <w:rPr>
          <w:rFonts w:hint="eastAsia"/>
          <w:sz w:val="24"/>
        </w:rPr>
      </w:pPr>
      <w:r>
        <w:rPr>
          <w:rFonts w:hint="eastAsia"/>
          <w:sz w:val="24"/>
        </w:rPr>
        <w:t>合成塔的选用原那么一般为：反响能在接近最正确温度曲线条件下进行，床层阻力小，需要消耗的动力低，合成反响的反响热利用率高，操作控制方便，技术易得，装置投资要底等。</w:t>
      </w:r>
    </w:p>
    <w:p>
      <w:pPr>
        <w:spacing w:line="360" w:lineRule="auto"/>
        <w:ind w:firstLine="540" w:firstLineChars="225"/>
        <w:rPr>
          <w:rFonts w:hint="eastAsia"/>
          <w:sz w:val="24"/>
        </w:rPr>
      </w:pPr>
      <w:r>
        <w:rPr>
          <w:rFonts w:hint="eastAsia"/>
          <w:sz w:val="24"/>
        </w:rPr>
        <w:t>综上所述和借鉴大型甲醇合成企业的经验，〔大型装置不宜选用激冷式和冷管式〕，设计选用固定管板列管合成塔。这种塔内甲醇合成反响接近最正确温度操作线，反响热利用率高，虽然设备复杂、投资高，但是由于这种塔在国内外使用较多，具有丰富的管理和维修经验，技术也较容易得到；外加考虑到设计的是年产20万吨的甲醇合成塔〔日产量为650吨左右〕，塔的塔径和管板的厚度不会很大，费用也不会很高，所以本设计采用了固定管板列管合成塔。</w:t>
      </w:r>
    </w:p>
    <w:p>
      <w:pPr>
        <w:spacing w:line="360" w:lineRule="auto"/>
        <w:ind w:firstLine="480" w:firstLineChars="200"/>
        <w:rPr>
          <w:rFonts w:hint="eastAsia"/>
          <w:sz w:val="24"/>
        </w:rPr>
      </w:pPr>
      <w:r>
        <w:rPr>
          <w:rFonts w:hint="eastAsia"/>
          <w:sz w:val="24"/>
        </w:rPr>
        <w:t>国产催化剂的铜含量已提50%以上。制备工艺合理，使该催化剂的活性、选择性、使用寿命和机械强度均到达国外同类催化剂的先进水平，并且价格较低。</w:t>
      </w:r>
    </w:p>
    <w:tbl>
      <w:tblPr>
        <w:tblStyle w:val="TableNormal"/>
        <w:tblpPr w:leftFromText="180" w:rightFromText="180" w:vertAnchor="text" w:horzAnchor="page" w:tblpX="6284" w:tblpY="19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8"/>
        </w:trPr>
        <w:tc>
          <w:tcPr>
            <w:tcW w:w="1260" w:type="dxa"/>
          </w:tcPr>
          <w:p>
            <w:pPr>
              <w:spacing w:line="360" w:lineRule="auto"/>
              <w:jc w:val="center"/>
              <w:rPr>
                <w:rFonts w:hint="eastAsia"/>
                <w:sz w:val="24"/>
              </w:rPr>
            </w:pPr>
            <w:r>
              <w:rPr>
                <w:rFonts w:hint="eastAsia"/>
                <w:sz w:val="24"/>
              </w:rPr>
              <w:pict>
                <v:line id="_x0000_s1026" style="mso-wrap-style:square;position:absolute;z-index:251660288" from="59.4pt,14pt" to="104.4pt,14pt">
                  <v:stroke linestyle="single" endarrow="block"/>
                  <o:lock v:ext="edit" aspectratio="f"/>
                </v:line>
              </w:pict>
            </w:r>
            <w:r>
              <w:rPr>
                <w:rFonts w:hint="eastAsia"/>
                <w:sz w:val="24"/>
              </w:rPr>
              <w:t>甲醇合成</w:t>
            </w:r>
          </w:p>
        </w:tc>
      </w:tr>
    </w:tbl>
    <w:tbl>
      <w:tblPr>
        <w:tblStyle w:val="TableNormal"/>
        <w:tblpPr w:leftFromText="180" w:rightFromText="180" w:vertAnchor="text" w:horzAnchor="page" w:tblpX="3944" w:tblpY="19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08"/>
        </w:trPr>
        <w:tc>
          <w:tcPr>
            <w:tcW w:w="1260" w:type="dxa"/>
          </w:tcPr>
          <w:p>
            <w:pPr>
              <w:spacing w:line="360" w:lineRule="auto"/>
              <w:jc w:val="center"/>
              <w:rPr>
                <w:rFonts w:hint="eastAsia"/>
                <w:sz w:val="24"/>
              </w:rPr>
            </w:pPr>
            <w:r>
              <w:rPr>
                <w:rFonts w:hint="eastAsia"/>
                <w:spacing w:val="-20"/>
                <w:sz w:val="24"/>
              </w:rPr>
              <w:pict>
                <v:line id="_x0000_s1027" style="mso-wrap-style:square;position:absolute;z-index:251659264" from="59.4pt,14pt" to="104.4pt,14pt">
                  <v:stroke linestyle="single" endarrow="block"/>
                  <o:lock v:ext="edit" aspectratio="f"/>
                </v:line>
              </w:pict>
            </w:r>
            <w:r>
              <w:rPr>
                <w:rFonts w:hint="eastAsia"/>
                <w:spacing w:val="-20"/>
                <w:sz w:val="24"/>
              </w:rPr>
              <w:t>合成气净化</w:t>
            </w:r>
          </w:p>
        </w:tc>
      </w:tr>
    </w:tbl>
    <w:tbl>
      <w:tblPr>
        <w:tblStyle w:val="TableNormal"/>
        <w:tblpPr w:leftFromText="180" w:rightFromText="180" w:vertAnchor="text" w:horzAnchor="margin" w:tblpY="18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13"/>
        </w:trPr>
        <w:tc>
          <w:tcPr>
            <w:tcW w:w="1260" w:type="dxa"/>
          </w:tcPr>
          <w:p>
            <w:pPr>
              <w:spacing w:line="360" w:lineRule="auto"/>
              <w:rPr>
                <w:rFonts w:hint="eastAsia"/>
                <w:spacing w:val="-20"/>
                <w:sz w:val="24"/>
              </w:rPr>
            </w:pPr>
            <w:r>
              <w:rPr>
                <w:rFonts w:ascii="黑体" w:eastAsia="黑体" w:hAnsi="黑体" w:cs="黑体" w:hint="eastAsia"/>
                <w:b w:val="0"/>
                <w:bCs/>
                <w:spacing w:val="-20"/>
                <w:sz w:val="32"/>
                <w:szCs w:val="32"/>
              </w:rPr>
              <w:pict>
                <v:line id="_x0000_s1028" style="mso-wrap-style:square;position:absolute;z-index:251658240" from="63.75pt,15.55pt" to="108.75pt,15.6pt">
                  <v:stroke linestyle="single" endarrow="block"/>
                  <o:lock v:ext="edit" aspectratio="f"/>
                </v:line>
              </w:pict>
            </w:r>
            <w:r>
              <w:rPr>
                <w:rFonts w:hint="eastAsia"/>
                <w:spacing w:val="-20"/>
                <w:sz w:val="24"/>
              </w:rPr>
              <w:t>煤制合成气</w:t>
            </w:r>
          </w:p>
        </w:tc>
      </w:tr>
    </w:tbl>
    <w:tbl>
      <w:tblPr>
        <w:tblStyle w:val="TableNormal"/>
        <w:tblpPr w:leftFromText="180" w:rightFromText="180" w:vertAnchor="text" w:horzAnchor="page" w:tblpX="8624" w:tblpY="17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10"/>
        </w:trPr>
        <w:tc>
          <w:tcPr>
            <w:tcW w:w="1260" w:type="dxa"/>
          </w:tcPr>
          <w:p>
            <w:pPr>
              <w:spacing w:line="360" w:lineRule="auto"/>
              <w:jc w:val="center"/>
              <w:rPr>
                <w:rFonts w:hint="eastAsia"/>
                <w:sz w:val="24"/>
              </w:rPr>
            </w:pPr>
            <w:r>
              <w:rPr>
                <w:rFonts w:hint="eastAsia"/>
                <w:sz w:val="24"/>
              </w:rPr>
              <w:t>甲醇精馏</w:t>
            </w:r>
          </w:p>
        </w:tc>
      </w:tr>
    </w:tbl>
    <w:p>
      <w:pPr>
        <w:spacing w:line="360" w:lineRule="auto"/>
        <w:ind w:firstLine="2163" w:firstLineChars="1030"/>
        <w:rPr>
          <w:rFonts w:ascii="宋体" w:hAnsi="宋体" w:hint="eastAsia"/>
          <w:szCs w:val="21"/>
        </w:rPr>
      </w:pPr>
      <w:r>
        <w:rPr>
          <w:rFonts w:ascii="宋体" w:hAnsi="宋体" w:hint="eastAsia"/>
          <w:szCs w:val="21"/>
        </w:rPr>
        <w:t>图1  煤制甲醇的简单工艺流程</w:t>
      </w:r>
    </w:p>
    <w:p>
      <w:pPr>
        <w:spacing w:line="360" w:lineRule="auto"/>
        <w:jc w:val="center"/>
        <w:rPr>
          <w:rFonts w:ascii="宋体" w:hAnsi="宋体" w:hint="eastAsia"/>
          <w:szCs w:val="21"/>
        </w:rPr>
      </w:pPr>
      <w:r>
        <w:rPr>
          <w:rFonts w:ascii="宋体" w:hAnsi="宋体" w:hint="eastAsia"/>
          <w:szCs w:val="21"/>
        </w:rPr>
        <w:t>图</w:t>
      </w:r>
      <w:r>
        <w:rPr>
          <w:rFonts w:ascii="宋体" w:hAnsi="宋体" w:hint="eastAsia"/>
          <w:szCs w:val="21"/>
          <w:lang w:val="en-US" w:eastAsia="zh-CN"/>
        </w:rPr>
        <w:t>2</w:t>
      </w:r>
      <w:r>
        <w:rPr>
          <w:rFonts w:ascii="宋体" w:hAnsi="宋体" w:hint="eastAsia"/>
          <w:szCs w:val="21"/>
        </w:rPr>
        <w:t xml:space="preserve">   三塔工艺流程</w:t>
      </w:r>
    </w:p>
    <w:p>
      <w:pPr>
        <w:spacing w:line="360" w:lineRule="auto"/>
        <w:jc w:val="center"/>
        <w:rPr>
          <w:rFonts w:ascii="宋体" w:hAnsi="宋体" w:hint="eastAsia"/>
          <w:szCs w:val="21"/>
        </w:rPr>
      </w:pPr>
      <w:r>
        <w:rPr>
          <w:rFonts w:ascii="宋体" w:hAnsi="宋体" w:hint="eastAsia"/>
          <w:szCs w:val="21"/>
        </w:rPr>
        <w:t>1 预精馏塔   2加压精馏塔  3 常压精馏塔</w:t>
      </w:r>
    </w:p>
    <w:p>
      <w:pPr>
        <w:spacing w:line="360" w:lineRule="auto"/>
        <w:ind w:firstLine="554" w:firstLineChars="231"/>
        <w:rPr>
          <w:rFonts w:hint="eastAsia"/>
          <w:sz w:val="24"/>
        </w:rPr>
      </w:pPr>
      <w:r>
        <w:rPr>
          <w:rFonts w:hint="eastAsia"/>
          <w:sz w:val="24"/>
        </w:rPr>
        <w:t>精馏塔市粗甲醇精馏工序的关键设备，它直接制约着生产装置的产品质量、消耗、生产能力及对环境的影响。所以要根据企业的实际条件选择适宜的高效精馏塔。目前常用的精馏塔主要有四种塔型：泡罩塔，浮阀塔，填料塔和新型垂直筛板塔。其各自结构及特点如下：</w:t>
      </w:r>
    </w:p>
    <w:p>
      <w:pPr>
        <w:spacing w:line="360" w:lineRule="auto"/>
        <w:ind w:firstLine="360" w:firstLineChars="150"/>
        <w:rPr>
          <w:rFonts w:hint="eastAsia"/>
          <w:sz w:val="24"/>
        </w:rPr>
      </w:pPr>
      <w:r>
        <w:rPr>
          <w:rFonts w:hint="eastAsia"/>
          <w:sz w:val="24"/>
        </w:rPr>
        <w:t>〔1〕泡罩塔   泡罩塔十多层板式塔，每层塔板上装有一个活多个炮罩</w:t>
      </w:r>
      <w:r>
        <w:rPr>
          <w:rFonts w:hint="eastAsia"/>
          <w:color w:val="FF0000"/>
          <w:sz w:val="24"/>
        </w:rPr>
        <w:t>。</w:t>
      </w:r>
      <w:r>
        <w:rPr>
          <w:rFonts w:hint="eastAsia"/>
          <w:sz w:val="24"/>
        </w:rPr>
        <w:t>该类型塔塔板效率高，操作弹性大，塔阻力小，但单位面积的生产能力低，设备体积大，结构复杂，投资较大。该塔已经逐渐被其他塔代替。</w:t>
      </w:r>
    </w:p>
    <w:p>
      <w:pPr>
        <w:spacing w:line="360" w:lineRule="auto"/>
        <w:ind w:firstLine="360" w:firstLineChars="150"/>
        <w:rPr>
          <w:rFonts w:hint="eastAsia"/>
          <w:sz w:val="24"/>
        </w:rPr>
      </w:pPr>
      <w:r>
        <w:rPr>
          <w:rFonts w:hint="eastAsia"/>
          <w:sz w:val="24"/>
        </w:rPr>
        <w:t>〔2〕浮阀塔   浮阀塔的塔板结构与泡罩相似，致使浮阀代替了泡罩及其伸气管。该类型塔板效率高，操作弹性大，操作适应性强，单位面积生产能力大，造价较低。但浮阀易损坏，维修费用高，安装要求高。目前该塔仍被广泛使用，但有使用逐渐减少的趋势。</w:t>
      </w:r>
    </w:p>
    <w:p>
      <w:pPr>
        <w:spacing w:line="360" w:lineRule="auto"/>
        <w:ind w:firstLine="360" w:firstLineChars="150"/>
        <w:rPr>
          <w:rFonts w:hint="eastAsia"/>
          <w:sz w:val="24"/>
        </w:rPr>
      </w:pPr>
      <w:r>
        <w:rPr>
          <w:rFonts w:hint="eastAsia"/>
          <w:sz w:val="24"/>
        </w:rPr>
        <w:t>〔3〕填料塔  填料塔是在塔内装填新型高效填料，如不锈钢网波纹填料，每米填料相当5块以上的理论板。塔总高一般为浮阀塔的一半。该塔生产能力大，压降小，别离效果好，结果简单，维修量极小，相对投资较小，是目前使用较多的塔型之一。</w:t>
      </w:r>
      <w:r>
        <w:rPr>
          <w:rFonts w:hint="eastAsia"/>
          <w:sz w:val="24"/>
        </w:rPr>
        <w:br/>
      </w:r>
      <w:r>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https://d.book118.com/326220000020010041</w:t>
        </w:r>
      </w:hyperlink>
    </w:p>
    <w:p>
      <w:pPr>
        <w:spacing w:line="360" w:lineRule="auto"/>
        <w:ind w:firstLine="360" w:firstLineChars="150"/>
        <w:rPr>
          <w:rFonts w:hint="eastAsia"/>
          <w:sz w:val="24"/>
        </w:rPr>
      </w:pPr>
    </w:p>
    <w:sectPr>
      <w:type w:val="nextPage"/>
      <w:pgSz w:w="11906" w:h="16838"/>
      <w:pgMar w:top="1985" w:right="1418" w:bottom="1247" w:left="1531" w:header="851" w:footer="992" w:gutter="0"/>
      <w:pgNumType w:fmt="decimal" w:start="1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楷体_GB2312">
    <w:altName w:val="楷体"/>
    <w:panose1 w:val="02010609030101010101"/>
    <w:charset w:val="86"/>
    <w:family w:val="modern"/>
    <w:pitch w:val="default"/>
    <w:sig w:usb0="00000001" w:usb1="080E0000" w:usb2="00000010" w:usb3="00000000" w:csb0="00040000"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宋体"/>
    <w:panose1 w:val="00000000000000000000"/>
    <w:charset w:val="86"/>
    <w:family w:val="auto"/>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PMingLiU">
    <w:panose1 w:val="02020500000000000000"/>
    <w:charset w:val="88"/>
    <w:family w:val="roman"/>
    <w:pitch w:val="default"/>
    <w:sig w:usb0="A00002FF" w:usb1="28CFFCFA" w:usb2="00000016" w:usb3="00000000" w:csb0="00100001" w:csb1="00000000"/>
  </w:font>
  <w:font w:name="Adobe 黑体 Std R">
    <w:panose1 w:val="020B0400000000000000"/>
    <w:charset w:val="86"/>
    <w:family w:val="swiss"/>
    <w:pitch w:val="default"/>
    <w:sig w:usb0="00000001" w:usb1="0A0F1810" w:usb2="00000016" w:usb3="00000000" w:csb0="00060007"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RomanS">
    <w:panose1 w:val="02000400000000000000"/>
    <w:charset w:val="00"/>
    <w:family w:val="auto"/>
    <w:pitch w:val="default"/>
    <w:sig w:usb0="00000207" w:usb1="00000000" w:usb2="00000000" w:usb3="00000000" w:csb0="000001FF" w:csb1="00000000"/>
  </w:font>
  <w:font w:name="MingLiU">
    <w:panose1 w:val="02020509000000000000"/>
    <w:charset w:val="88"/>
    <w:family w:val="modern"/>
    <w:pitch w:val="default"/>
    <w:sig w:usb0="A00002FF" w:usb1="28CFFCFA" w:usb2="00000016" w:usb3="00000000" w:csb0="00100001" w:csb1="00000000"/>
  </w:font>
  <w:font w:name="Batang">
    <w:panose1 w:val="02030600000101010101"/>
    <w:charset w:val="81"/>
    <w:family w:val="roman"/>
    <w:pitch w:val="default"/>
    <w:sig w:usb0="B00002AF" w:usb1="69D77CFB" w:usb2="00000030" w:usb3="00000000" w:csb0="4008009F" w:csb1="DFD70000"/>
  </w:font>
  <w:font w:name="Candara">
    <w:panose1 w:val="020E0502030303020204"/>
    <w:charset w:val="00"/>
    <w:family w:val="swiss"/>
    <w:pitch w:val="default"/>
    <w:sig w:usb0="A00002EF" w:usb1="4000A44B" w:usb2="00000000" w:usb3="00000000" w:csb0="2000019F" w:csb1="00000000"/>
  </w:font>
  <w:font w:name="Angsana New">
    <w:panose1 w:val="02020603050405020304"/>
    <w:charset w:val="00"/>
    <w:family w:val="roman"/>
    <w:pitch w:val="default"/>
    <w:sig w:usb0="81000003" w:usb1="00000000" w:usb2="00000000" w:usb3="00000000" w:csb0="00010001" w:csb1="00000000"/>
  </w:font>
  <w:font w:name="仿宋_GB2312">
    <w:altName w:val="仿宋"/>
    <w:panose1 w:val="02010609030101010101"/>
    <w:charset w:val="86"/>
    <w:family w:val="modern"/>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MingLiU_HKSCS">
    <w:panose1 w:val="02020500000000000000"/>
    <w:charset w:val="88"/>
    <w:family w:val="roman"/>
    <w:pitch w:val="default"/>
    <w:sig w:usb0="A00002FF" w:usb1="38CFFCFA" w:usb2="00000016" w:usb3="00000000" w:csb0="00100001" w:csb1="00000000"/>
  </w:font>
  <w:font w:name="Dotum">
    <w:panose1 w:val="020B0600000101010101"/>
    <w:charset w:val="81"/>
    <w:family w:val="auto"/>
    <w:pitch w:val="default"/>
    <w:sig w:usb0="B00002AF" w:usb1="69D77CFB" w:usb2="00000030" w:usb3="00000000" w:csb0="4008009F" w:csb1="DFD70000"/>
  </w:font>
  <w:font w:name="Adobe 宋体 Std L">
    <w:panose1 w:val="02020300000000000000"/>
    <w:charset w:val="86"/>
    <w:family w:val="auto"/>
    <w:pitch w:val="default"/>
    <w:sig w:usb0="00000001" w:usb1="0A0F1810" w:usb2="00000016" w:usb3="00000000" w:csb0="00060007" w:csb1="00000000"/>
  </w:font>
  <w:font w:name="Times New Roman Bold">
    <w:altName w:val="Times New Roman"/>
    <w:panose1 w:val="00000000000000000000"/>
    <w:charset w:val="00"/>
    <w:family w:val="auto"/>
    <w:pitch w:val="default"/>
    <w:sig w:usb0="00000000" w:usb1="00000000" w:usb2="00000000" w:usb3="00000000" w:csb0="00040001"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MS Shell Dlg">
    <w:altName w:val="Microsoft Sans Serif"/>
    <w:panose1 w:val="020B0604020202020204"/>
    <w:charset w:val="00"/>
    <w:family w:val="swiss"/>
    <w:pitch w:val="default"/>
    <w:sig w:usb0="61007BDF" w:usb1="80000000" w:usb2="00000008" w:usb3="00000000" w:csb0="000101FF" w:csb1="00000000"/>
  </w:font>
  <w:font w:name="Verdana">
    <w:panose1 w:val="020B0604030504040204"/>
    <w:charset w:val="00"/>
    <w:family w:val="swiss"/>
    <w:pitch w:val="default"/>
    <w:sig w:usb0="A10006FF" w:usb1="4000205B" w:usb2="00000010" w:usb3="00000000" w:csb0="2000019F" w:csb1="00000000"/>
  </w:font>
  <w:font w:name="Microsoft Sans Serif">
    <w:panose1 w:val="020B0604020202020204"/>
    <w:charset w:val="00"/>
    <w:family w:val="auto"/>
    <w:pitch w:val="default"/>
    <w:sig w:usb0="E1002AFF" w:usb1="C0000002" w:usb2="00000008" w:usb3="00000000" w:csb0="200101FF" w:csb1="2028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keepNext/>
      <w:keepLines/>
      <w:spacing w:before="340" w:beforeLines="0" w:after="330" w:afterLines="0" w:line="576" w:lineRule="auto"/>
      <w:outlineLvl w:val="0"/>
    </w:pPr>
    <w:rPr>
      <w:rFonts w:ascii="黑体" w:eastAsia="黑体"/>
      <w:b/>
      <w:bCs/>
      <w:kern w:val="44"/>
      <w:sz w:val="30"/>
      <w:szCs w:val="44"/>
    </w:rPr>
  </w:style>
  <w:style w:type="paragraph" w:styleId="Heading2">
    <w:name w:val="heading 2"/>
    <w:basedOn w:val="Normal"/>
    <w:next w:val="Normal"/>
    <w:link w:val="2CharChar"/>
    <w:uiPriority w:val="9"/>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uiPriority w:val="9"/>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link w:val="CharCharCharCha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px14">
    <w:name w:val="px14"/>
    <w:basedOn w:val="DefaultParagraphFont"/>
  </w:style>
  <w:style w:type="character" w:customStyle="1" w:styleId="px141">
    <w:name w:val="px141"/>
    <w:basedOn w:val="DefaultParagraphFont"/>
    <w:rPr>
      <w:rFonts w:ascii="ˎ̥" w:hAnsi="ˎ̥" w:hint="default"/>
      <w:sz w:val="21"/>
      <w:szCs w:val="21"/>
    </w:rPr>
  </w:style>
  <w:style w:type="character" w:customStyle="1" w:styleId="dl1">
    <w:name w:val="dl1"/>
    <w:basedOn w:val="DefaultParagraphFont"/>
    <w:rPr>
      <w:u w:val="none"/>
    </w:rPr>
  </w:style>
  <w:style w:type="character" w:customStyle="1" w:styleId="2CharChar">
    <w:name w:val="标题 2 Char Char"/>
    <w:link w:val="Heading2"/>
    <w:rPr>
      <w:rFonts w:ascii="Arial" w:eastAsia="黑体" w:hAnsi="Arial"/>
      <w:b/>
      <w:sz w:val="32"/>
    </w:rPr>
  </w:style>
  <w:style w:type="character" w:styleId="Hyperlink">
    <w:name w:val="Hyperlink"/>
    <w:basedOn w:val="DefaultParagraphFont"/>
    <w:rPr>
      <w:color w:val="0000CC"/>
      <w:u w:val="none"/>
    </w:rPr>
  </w:style>
  <w:style w:type="character" w:styleId="PageNumber">
    <w:name w:val="page number"/>
    <w:basedOn w:val="DefaultParagraphFont"/>
  </w:style>
  <w:style w:type="paragraph" w:styleId="TOC7">
    <w:name w:val="toc 7"/>
    <w:basedOn w:val="Normal"/>
    <w:next w:val="Normal"/>
    <w:uiPriority w:val="39"/>
    <w:pPr>
      <w:ind w:left="2520" w:leftChars="1200"/>
    </w:pPr>
  </w:style>
  <w:style w:type="paragraph" w:styleId="DocumentMap">
    <w:name w:val="Document Map"/>
    <w:basedOn w:val="Normal"/>
    <w:pPr>
      <w:shd w:val="clear" w:color="auto" w:fill="000080"/>
    </w:pPr>
  </w:style>
  <w:style w:type="paragraph" w:customStyle="1" w:styleId="2">
    <w:name w:val="标题2"/>
    <w:basedOn w:val="Normal"/>
    <w:next w:val="Normal"/>
    <w:pPr>
      <w:spacing w:before="156" w:beforeLines="50" w:after="156" w:afterLines="50" w:line="400" w:lineRule="exact"/>
      <w:jc w:val="left"/>
    </w:pPr>
    <w:rPr>
      <w:rFonts w:ascii="宋体" w:eastAsia="宋体" w:hAnsi="宋体"/>
      <w:b/>
      <w:kern w:val="2"/>
      <w:sz w:val="28"/>
      <w:szCs w:val="24"/>
      <w:lang w:val="en-US" w:eastAsia="zh-CN" w:bidi="ar-SA"/>
    </w:rPr>
  </w:style>
  <w:style w:type="paragraph" w:customStyle="1" w:styleId="3">
    <w:name w:val="样式3"/>
    <w:basedOn w:val="2"/>
    <w:rPr>
      <w:bCs/>
    </w:rPr>
  </w:style>
  <w:style w:type="paragraph" w:customStyle="1" w:styleId="a">
    <w:name w:val="表格内容"/>
    <w:basedOn w:val="Normal"/>
    <w:pPr>
      <w:overflowPunct w:val="0"/>
      <w:adjustRightInd w:val="0"/>
      <w:spacing w:before="40" w:beforeLines="0" w:after="60" w:afterLines="0" w:line="200" w:lineRule="atLeast"/>
      <w:textAlignment w:val="baseline"/>
    </w:pPr>
    <w:rPr>
      <w:rFonts w:ascii="Arial" w:eastAsia="仿宋_GB2312" w:hAnsi="Arial"/>
      <w:kern w:val="0"/>
      <w:sz w:val="24"/>
      <w:szCs w:val="20"/>
    </w:rPr>
  </w:style>
  <w:style w:type="paragraph" w:customStyle="1" w:styleId="CharCharCharChar">
    <w:name w:val=" Char Char Char Char"/>
    <w:basedOn w:val="Normal"/>
    <w:link w:val="DefaultParagraphFont"/>
  </w:style>
  <w:style w:type="paragraph" w:styleId="TOC9">
    <w:name w:val="toc 9"/>
    <w:basedOn w:val="Normal"/>
    <w:next w:val="Normal"/>
    <w:uiPriority w:val="39"/>
    <w:pPr>
      <w:ind w:left="3360" w:leftChars="1600"/>
    </w:pPr>
  </w:style>
  <w:style w:type="paragraph" w:styleId="TOC2">
    <w:name w:val="toc 2"/>
    <w:basedOn w:val="Normal"/>
    <w:next w:val="Normal"/>
    <w:uiPriority w:val="39"/>
    <w:pPr>
      <w:ind w:left="420" w:leftChars="200"/>
    </w:pPr>
  </w:style>
  <w:style w:type="paragraph" w:styleId="TOC6">
    <w:name w:val="toc 6"/>
    <w:basedOn w:val="Normal"/>
    <w:next w:val="Normal"/>
    <w:uiPriority w:val="39"/>
    <w:pPr>
      <w:ind w:left="2100" w:leftChars="1000"/>
    </w:pPr>
  </w:style>
  <w:style w:type="paragraph" w:styleId="TOC4">
    <w:name w:val="toc 4"/>
    <w:basedOn w:val="Normal"/>
    <w:next w:val="Normal"/>
    <w:uiPriority w:val="39"/>
    <w:pPr>
      <w:ind w:left="1260" w:leftChars="600"/>
    </w:pPr>
  </w:style>
  <w:style w:type="paragraph" w:styleId="TOC1">
    <w:name w:val="toc 1"/>
    <w:basedOn w:val="Normal"/>
    <w:next w:val="Normal"/>
    <w:uiPriority w:val="39"/>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BodyTextIndent2">
    <w:name w:val="Body Text Indent 2"/>
    <w:basedOn w:val="Normal"/>
    <w:pPr>
      <w:ind w:firstLine="540" w:firstLineChars="225"/>
    </w:pPr>
    <w:rPr>
      <w:sz w:val="24"/>
    </w:rPr>
  </w:style>
  <w:style w:type="paragraph" w:styleId="TOC8">
    <w:name w:val="toc 8"/>
    <w:basedOn w:val="Normal"/>
    <w:next w:val="Normal"/>
    <w:uiPriority w:val="39"/>
    <w:pPr>
      <w:ind w:left="2940" w:leftChars="1400"/>
    </w:pPr>
  </w:style>
  <w:style w:type="paragraph" w:styleId="TOC5">
    <w:name w:val="toc 5"/>
    <w:basedOn w:val="Normal"/>
    <w:next w:val="Normal"/>
    <w:uiPriority w:val="39"/>
    <w:pPr>
      <w:ind w:left="1680" w:leftChars="800"/>
    </w:pPr>
  </w:style>
  <w:style w:type="paragraph" w:styleId="TOC3">
    <w:name w:val="toc 3"/>
    <w:basedOn w:val="Normal"/>
    <w:next w:val="Normal"/>
    <w:uiPriority w:val="39"/>
    <w:pPr>
      <w:ind w:left="840" w:leftChars="400"/>
    </w:pPr>
  </w:style>
  <w:style w:type="paragraph" w:styleId="PlainText">
    <w:name w:val="Plain Text"/>
    <w:basedOn w:val="Normal"/>
    <w:rPr>
      <w:rFonts w:ascii="宋体" w:hAnsi="Courier New" w:cs="Courier New"/>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622000002001004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8291</Words>
  <Characters>47264</Characters>
  <Application>Microsoft Office Word</Application>
  <DocSecurity>0</DocSecurity>
  <Lines>393</Lines>
  <Paragraphs>110</Paragraphs>
  <ScaleCrop>false</ScaleCrop>
  <Company>微软中国</Company>
  <LinksUpToDate>false</LinksUpToDate>
  <CharactersWithSpaces>55445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总论</dc:title>
  <dc:creator>微软用户</dc:creator>
  <cp:lastModifiedBy>Administrator</cp:lastModifiedBy>
  <cp:revision>21</cp:revision>
  <cp:lastPrinted>1899-12-30T00:00:00Z</cp:lastPrinted>
  <dcterms:created xsi:type="dcterms:W3CDTF">2011-04-16T04:00:00Z</dcterms:created>
  <dcterms:modified xsi:type="dcterms:W3CDTF">2013-11-13T05:01:46Z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2052-9.1.0.4249</vt:lpwstr>
  </property>
</Properties>
</file>