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9"/>
        </w:rPr>
      </w:pPr>
    </w:p>
    <w:p>
      <w:pPr>
        <w:spacing w:before="6"/>
        <w:ind w:left="706" w:right="0" w:firstLine="0"/>
        <w:jc w:val="left"/>
        <w:rPr>
          <w:b/>
          <w:sz w:val="66"/>
        </w:rPr>
      </w:pPr>
      <w:r>
        <w:rPr>
          <w:b/>
          <w:sz w:val="66"/>
        </w:rPr>
        <w:t>德化县大铭乡 2011 年农村饮用水安全工程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2"/>
        </w:rPr>
      </w:pPr>
    </w:p>
    <w:p>
      <w:pPr>
        <w:pStyle w:val="Title"/>
        <w:spacing w:line="1333" w:lineRule="exact"/>
      </w:pPr>
      <w:r>
        <w:rPr>
          <w:w w:val="99"/>
        </w:rPr>
        <w:t>施</w:t>
      </w:r>
    </w:p>
    <w:p>
      <w:pPr>
        <w:pStyle w:val="Title"/>
        <w:spacing w:before="21" w:line="242" w:lineRule="auto"/>
        <w:ind w:left="6449" w:right="7209"/>
        <w:jc w:val="both"/>
      </w:pPr>
      <w:r>
        <w:rPr>
          <w:w w:val="95"/>
        </w:rPr>
        <w:t>工管理工作报告</w:t>
      </w:r>
    </w:p>
    <w:p>
      <w:pPr>
        <w:pStyle w:val="BodyText"/>
        <w:rPr>
          <w:b/>
          <w:sz w:val="108"/>
        </w:rPr>
      </w:pPr>
    </w:p>
    <w:p>
      <w:pPr>
        <w:pStyle w:val="BodyText"/>
        <w:spacing w:before="3"/>
        <w:rPr>
          <w:b/>
          <w:sz w:val="130"/>
        </w:rPr>
      </w:pPr>
    </w:p>
    <w:p>
      <w:pPr>
        <w:spacing w:before="0" w:line="364" w:lineRule="auto"/>
        <w:ind w:left="5722" w:right="4655" w:hanging="1865"/>
        <w:jc w:val="left"/>
        <w:rPr>
          <w:b/>
          <w:sz w:val="48"/>
        </w:rPr>
      </w:pPr>
      <w:r>
        <w:rPr>
          <w:b/>
          <w:spacing w:val="-2"/>
          <w:w w:val="95"/>
          <w:sz w:val="48"/>
        </w:rPr>
        <w:t>德化县万德建筑工程有限公司</w:t>
      </w:r>
      <w:r>
        <w:rPr>
          <w:b/>
          <w:spacing w:val="-60"/>
          <w:sz w:val="48"/>
        </w:rPr>
        <w:t xml:space="preserve">二 </w:t>
      </w:r>
      <w:r>
        <w:rPr>
          <w:b/>
          <w:sz w:val="48"/>
        </w:rPr>
        <w:t>O</w:t>
      </w:r>
      <w:r>
        <w:rPr>
          <w:b/>
          <w:spacing w:val="-19"/>
          <w:sz w:val="48"/>
        </w:rPr>
        <w:t xml:space="preserve"> 一一年十二月</w:t>
      </w:r>
    </w:p>
    <w:p>
      <w:pPr>
        <w:spacing w:after="0" w:line="364" w:lineRule="auto"/>
        <w:jc w:val="left"/>
        <w:rPr>
          <w:sz w:val="48"/>
        </w:rPr>
        <w:sectPr>
          <w:headerReference w:type="default" r:id="rId4"/>
          <w:footerReference w:type="default" r:id="rId5"/>
          <w:type w:val="continuous"/>
          <w:pgSz w:w="17860" w:h="25260"/>
          <w:pgMar w:top="1520" w:right="1180" w:bottom="2020" w:left="1940" w:header="1084" w:footer="1820"/>
          <w:cols w:space="708"/>
        </w:sectPr>
      </w:pPr>
    </w:p>
    <w:p>
      <w:pPr>
        <w:tabs>
          <w:tab w:val="left" w:pos="1655"/>
        </w:tabs>
        <w:spacing w:before="0" w:line="842" w:lineRule="exact"/>
        <w:ind w:left="0" w:right="733" w:firstLine="0"/>
        <w:jc w:val="center"/>
        <w:rPr>
          <w:b/>
          <w:sz w:val="66"/>
        </w:rPr>
      </w:pPr>
      <w:r>
        <w:rPr>
          <w:b/>
          <w:sz w:val="66"/>
        </w:rPr>
        <w:t>目</w:t>
        <w:tab/>
        <w:t>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4"/>
        </w:rPr>
      </w:pPr>
    </w:p>
    <w:p>
      <w:pPr>
        <w:spacing w:before="37"/>
        <w:ind w:left="1423" w:right="0" w:firstLine="0"/>
        <w:jc w:val="left"/>
        <w:rPr>
          <w:b/>
          <w:sz w:val="45"/>
        </w:rPr>
      </w:pPr>
      <w:r>
        <w:rPr>
          <w:b/>
          <w:sz w:val="45"/>
        </w:rPr>
        <w:t>一、 工程概况</w:t>
      </w:r>
    </w:p>
    <w:p>
      <w:pPr>
        <w:spacing w:before="360"/>
        <w:ind w:left="1423" w:right="0" w:firstLine="0"/>
        <w:jc w:val="left"/>
        <w:rPr>
          <w:b/>
          <w:sz w:val="45"/>
        </w:rPr>
      </w:pPr>
      <w:r>
        <w:rPr>
          <w:b/>
          <w:sz w:val="45"/>
        </w:rPr>
        <w:t>二、 合同数量与完成数量</w:t>
      </w:r>
    </w:p>
    <w:p>
      <w:pPr>
        <w:pStyle w:val="BodyText"/>
        <w:spacing w:before="2"/>
        <w:rPr>
          <w:b/>
          <w:sz w:val="25"/>
        </w:rPr>
      </w:pPr>
    </w:p>
    <w:p>
      <w:pPr>
        <w:spacing w:before="37"/>
        <w:ind w:left="1423" w:right="0" w:firstLine="0"/>
        <w:jc w:val="left"/>
        <w:rPr>
          <w:b/>
          <w:sz w:val="45"/>
        </w:rPr>
      </w:pPr>
      <w:r>
        <w:rPr>
          <w:b/>
          <w:sz w:val="45"/>
        </w:rPr>
        <w:t>三、 工期</w:t>
      </w:r>
    </w:p>
    <w:p>
      <w:pPr>
        <w:spacing w:before="360" w:line="388" w:lineRule="auto"/>
        <w:ind w:left="1423" w:right="9534" w:firstLine="0"/>
        <w:jc w:val="left"/>
        <w:rPr>
          <w:b/>
          <w:sz w:val="45"/>
        </w:rPr>
      </w:pPr>
      <w:r>
        <w:rPr>
          <w:b/>
          <w:spacing w:val="-10"/>
          <w:sz w:val="45"/>
        </w:rPr>
        <w:t>四、 主要施工方法</w:t>
      </w:r>
      <w:r>
        <w:rPr>
          <w:b/>
          <w:spacing w:val="-9"/>
          <w:sz w:val="45"/>
        </w:rPr>
        <w:t>五、 工程质量</w:t>
      </w:r>
    </w:p>
    <w:p>
      <w:pPr>
        <w:spacing w:before="4" w:line="388" w:lineRule="auto"/>
        <w:ind w:left="1423" w:right="8184" w:firstLine="0"/>
        <w:jc w:val="left"/>
        <w:rPr>
          <w:b/>
          <w:sz w:val="45"/>
        </w:rPr>
      </w:pPr>
      <w:r>
        <w:rPr>
          <w:b/>
          <w:spacing w:val="-10"/>
          <w:sz w:val="45"/>
        </w:rPr>
        <w:t>六、 安全生产与文明施工</w:t>
      </w:r>
      <w:r>
        <w:rPr>
          <w:b/>
          <w:spacing w:val="-8"/>
          <w:sz w:val="45"/>
        </w:rPr>
        <w:t>七、 价款结算</w:t>
      </w:r>
    </w:p>
    <w:p>
      <w:pPr>
        <w:spacing w:before="4"/>
        <w:ind w:left="1423" w:right="0" w:firstLine="0"/>
        <w:jc w:val="left"/>
        <w:rPr>
          <w:b/>
          <w:sz w:val="45"/>
        </w:rPr>
      </w:pPr>
      <w:r>
        <w:rPr>
          <w:b/>
          <w:sz w:val="45"/>
        </w:rPr>
        <w:t>八、 经验与建议</w:t>
      </w:r>
    </w:p>
    <w:p>
      <w:pPr>
        <w:spacing w:after="0"/>
        <w:jc w:val="left"/>
        <w:rPr>
          <w:sz w:val="45"/>
        </w:rPr>
        <w:sectPr>
          <w:headerReference w:type="default" r:id="rId6"/>
          <w:footerReference w:type="default" r:id="rId7"/>
          <w:pgSz w:w="17860" w:h="25260"/>
          <w:pgMar w:top="1520" w:right="1180" w:bottom="2020" w:left="1940" w:header="1084" w:footer="1820"/>
          <w:pgNumType w:start="2"/>
          <w:cols w:space="708"/>
        </w:sectPr>
      </w:pPr>
    </w:p>
    <w:p>
      <w:pPr>
        <w:pStyle w:val="BodyText"/>
        <w:rPr>
          <w:b/>
          <w:sz w:val="12"/>
        </w:rPr>
      </w:pPr>
    </w:p>
    <w:p>
      <w:pPr>
        <w:spacing w:before="25"/>
        <w:ind w:left="0" w:right="775" w:firstLine="0"/>
        <w:jc w:val="center"/>
        <w:rPr>
          <w:b/>
          <w:sz w:val="54"/>
        </w:rPr>
      </w:pPr>
      <w:r>
        <w:rPr>
          <w:b/>
          <w:sz w:val="54"/>
        </w:rPr>
        <w:t>德化县大铭乡 2011 年农村饮用水安全工程</w:t>
      </w:r>
    </w:p>
    <w:p>
      <w:pPr>
        <w:pStyle w:val="BodyText"/>
        <w:spacing w:before="12"/>
        <w:rPr>
          <w:b/>
          <w:sz w:val="53"/>
        </w:rPr>
      </w:pPr>
    </w:p>
    <w:p>
      <w:pPr>
        <w:pStyle w:val="Heading1"/>
      </w:pPr>
      <w:r>
        <w:t>一、工程概况</w:t>
      </w:r>
    </w:p>
    <w:p>
      <w:pPr>
        <w:pStyle w:val="BodyText"/>
        <w:spacing w:before="412" w:line="417" w:lineRule="auto"/>
        <w:ind w:left="757" w:right="1344" w:firstLine="1051"/>
      </w:pPr>
      <w:r>
        <w:rPr>
          <w:spacing w:val="2"/>
        </w:rPr>
        <w:t xml:space="preserve">德化县地处福建省中部，北回归线北侧，即东经 </w:t>
      </w:r>
      <w:r>
        <w:t>117°55′～ 118°32</w:t>
      </w:r>
      <w:r>
        <w:rPr>
          <w:spacing w:val="-8"/>
        </w:rPr>
        <w:t xml:space="preserve">′，北纬 </w:t>
      </w:r>
      <w:r>
        <w:t>25°23′～25°56</w:t>
      </w:r>
      <w:r>
        <w:rPr>
          <w:spacing w:val="-5"/>
        </w:rPr>
        <w:t xml:space="preserve">′，东距太平洋西海岸约 </w:t>
      </w:r>
      <w:r>
        <w:t>80</w:t>
      </w:r>
      <w:r>
        <w:rPr>
          <w:spacing w:val="-22"/>
        </w:rPr>
        <w:t xml:space="preserve"> 公里，受海洋季风影响，气候湿润、温和，属中亚热带山地气候区。全</w:t>
      </w:r>
      <w:r>
        <w:rPr>
          <w:spacing w:val="-1"/>
        </w:rPr>
        <w:t>境东与仙游，永泰毗邻，西连大田，南接永春，北和尤溪交界，是闽</w:t>
      </w:r>
      <w:r>
        <w:rPr>
          <w:spacing w:val="2"/>
        </w:rPr>
        <w:t xml:space="preserve">中地势最高的县份。全县极端最高气温 </w:t>
      </w:r>
      <w:r>
        <w:t>37.7℃，极端最低气温零下6.5</w:t>
      </w:r>
      <w:r>
        <w:rPr>
          <w:spacing w:val="-21"/>
        </w:rPr>
        <w:t xml:space="preserve">℃。多年平均年降水量在 </w:t>
      </w:r>
      <w:r>
        <w:t>960～2000</w:t>
      </w:r>
      <w:r>
        <w:rPr>
          <w:spacing w:val="-30"/>
        </w:rPr>
        <w:t xml:space="preserve"> 毫米之间，年降雨总量 </w:t>
      </w:r>
      <w:r>
        <w:t xml:space="preserve">40.13 </w:t>
      </w:r>
      <w:r>
        <w:rPr>
          <w:spacing w:val="-8"/>
        </w:rPr>
        <w:t xml:space="preserve">亿立方米，多年平均径流深 </w:t>
      </w:r>
      <w:r>
        <w:t>1122</w:t>
      </w:r>
      <w:r>
        <w:rPr>
          <w:spacing w:val="-17"/>
        </w:rPr>
        <w:t xml:space="preserve"> 毫米，多年平均径流量 </w:t>
      </w:r>
      <w:r>
        <w:t>24.92</w:t>
      </w:r>
      <w:r>
        <w:rPr>
          <w:spacing w:val="-28"/>
        </w:rPr>
        <w:t xml:space="preserve"> 亿立</w:t>
      </w:r>
      <w:r>
        <w:rPr>
          <w:spacing w:val="-33"/>
        </w:rPr>
        <w:t xml:space="preserve">方米；境内水资源比较丰富，人均年水资源量 </w:t>
      </w:r>
      <w:r>
        <w:t>8080</w:t>
      </w:r>
      <w:r>
        <w:rPr>
          <w:spacing w:val="-24"/>
        </w:rPr>
        <w:t xml:space="preserve"> 立方米。</w:t>
      </w:r>
    </w:p>
    <w:p>
      <w:pPr>
        <w:pStyle w:val="BodyText"/>
        <w:spacing w:line="417" w:lineRule="auto"/>
        <w:ind w:left="757" w:right="1501" w:firstLine="719"/>
      </w:pPr>
      <w:r>
        <w:t>大铭乡位于德化县西北部，距德化县城 40 公里，东接赤水镇和上涌镇，西连春美乡，北抵汤头乡，南邻美湖乡。全乡土地总面积</w:t>
      </w:r>
    </w:p>
    <w:p>
      <w:pPr>
        <w:pStyle w:val="BodyText"/>
        <w:spacing w:line="417" w:lineRule="auto"/>
        <w:ind w:left="757" w:right="1507"/>
      </w:pPr>
      <w:r>
        <w:t>76.4</w:t>
      </w:r>
      <w:r>
        <w:rPr>
          <w:spacing w:val="-8"/>
        </w:rPr>
        <w:t xml:space="preserve"> 平方公里，下辖联春、大铭、金黄、上徐、琼英、琼溪 </w:t>
      </w:r>
      <w:r>
        <w:t>7</w:t>
      </w:r>
      <w:r>
        <w:rPr>
          <w:spacing w:val="-17"/>
        </w:rPr>
        <w:t xml:space="preserve"> 个行</w:t>
      </w:r>
      <w:r>
        <w:t>政村，50</w:t>
      </w:r>
      <w:r>
        <w:rPr>
          <w:spacing w:val="-18"/>
        </w:rPr>
        <w:t xml:space="preserve"> 个自然飘落，</w:t>
      </w:r>
      <w:r>
        <w:t>53</w:t>
      </w:r>
      <w:r>
        <w:rPr>
          <w:spacing w:val="-19"/>
        </w:rPr>
        <w:t xml:space="preserve"> 个村民小组，农村总人口 </w:t>
      </w:r>
      <w:r>
        <w:t>6245</w:t>
      </w:r>
      <w:r>
        <w:rPr>
          <w:spacing w:val="-36"/>
        </w:rPr>
        <w:t xml:space="preserve"> 人。</w:t>
      </w:r>
    </w:p>
    <w:p>
      <w:pPr>
        <w:pStyle w:val="BodyText"/>
        <w:spacing w:line="417" w:lineRule="auto"/>
        <w:ind w:left="757" w:right="1300" w:firstLine="719"/>
      </w:pPr>
      <w:r>
        <w:t>2010</w:t>
      </w:r>
      <w:r>
        <w:rPr>
          <w:spacing w:val="-26"/>
        </w:rPr>
        <w:t xml:space="preserve"> 年全乡工农业总产值 </w:t>
      </w:r>
      <w:r>
        <w:t>7547</w:t>
      </w:r>
      <w:r>
        <w:rPr>
          <w:spacing w:val="-42"/>
        </w:rPr>
        <w:t xml:space="preserve"> 万元，其中工业总产值 </w:t>
      </w:r>
      <w:r>
        <w:t>4233</w:t>
      </w:r>
      <w:r>
        <w:rPr>
          <w:spacing w:val="-37"/>
        </w:rPr>
        <w:t xml:space="preserve"> 万元， </w:t>
      </w:r>
      <w:r>
        <w:rPr>
          <w:spacing w:val="-17"/>
        </w:rPr>
        <w:t xml:space="preserve">农业总产值 </w:t>
      </w:r>
      <w:r>
        <w:t>3207</w:t>
      </w:r>
      <w:r>
        <w:rPr>
          <w:spacing w:val="-32"/>
        </w:rPr>
        <w:t xml:space="preserve"> 万元，乡镇企业总产值 </w:t>
      </w:r>
      <w:r>
        <w:t>3135</w:t>
      </w:r>
      <w:r>
        <w:rPr>
          <w:spacing w:val="-12"/>
        </w:rPr>
        <w:t xml:space="preserve">.全乡财政总收入 </w:t>
      </w:r>
      <w:r>
        <w:t xml:space="preserve">146.5 </w:t>
      </w:r>
      <w:r>
        <w:rPr>
          <w:spacing w:val="-4"/>
        </w:rPr>
        <w:t xml:space="preserve">万，其中，一般预算收入完成 </w:t>
      </w:r>
      <w:r>
        <w:t>72.57</w:t>
      </w:r>
      <w:r>
        <w:rPr>
          <w:spacing w:val="-11"/>
        </w:rPr>
        <w:t xml:space="preserve"> 万元。农民人均纯收入达 </w:t>
      </w:r>
      <w:r>
        <w:t>6541 元。</w:t>
      </w:r>
    </w:p>
    <w:p>
      <w:pPr>
        <w:pStyle w:val="BodyText"/>
        <w:spacing w:line="538" w:lineRule="exact"/>
        <w:ind w:left="1563"/>
      </w:pPr>
      <w:r>
        <w:t>1、建设四方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ind w:left="1567"/>
      </w:pPr>
      <w:r>
        <w:t>建设单位：德化县大铭乡人民政府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563" w:right="5167" w:firstLine="3"/>
      </w:pPr>
      <w:r>
        <w:t>设计单位：德化县弘禹水利水电勘察设计院监理单位：泉州三众工程管理有限公司</w:t>
      </w:r>
    </w:p>
    <w:p>
      <w:pPr>
        <w:spacing w:after="0" w:line="417" w:lineRule="auto"/>
        <w:sectPr>
          <w:headerReference w:type="default" r:id="rId8"/>
          <w:footerReference w:type="default" r:id="rId9"/>
          <w:pgSz w:w="17860" w:h="25260"/>
          <w:pgMar w:top="1520" w:right="1180" w:bottom="2020" w:left="1940" w:header="1084" w:footer="1820"/>
          <w:pgNumType w:start="3"/>
          <w:cols w:space="708"/>
        </w:sectPr>
      </w:pPr>
    </w:p>
    <w:p>
      <w:pPr>
        <w:pStyle w:val="BodyText"/>
        <w:spacing w:before="7"/>
        <w:rPr>
          <w:sz w:val="24"/>
        </w:rPr>
      </w:pPr>
    </w:p>
    <w:p>
      <w:pPr>
        <w:pStyle w:val="BodyText"/>
        <w:spacing w:before="42"/>
        <w:ind w:left="1581"/>
      </w:pPr>
      <w:r>
        <w:t>施工单位：德化县万德建筑工程有限公司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581"/>
      </w:pPr>
      <w:r>
        <w:t>2、工程任务：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581"/>
      </w:pPr>
      <w:r>
        <w:rPr>
          <w:spacing w:val="-6"/>
        </w:rPr>
        <w:t xml:space="preserve">本次项目实施范围涉及大铭村 </w:t>
      </w:r>
      <w:r>
        <w:t>4</w:t>
      </w:r>
      <w:r>
        <w:rPr>
          <w:spacing w:val="-20"/>
        </w:rPr>
        <w:t xml:space="preserve"> 个行政村。至 </w:t>
      </w:r>
      <w:r>
        <w:t>2009</w:t>
      </w:r>
      <w:r>
        <w:rPr>
          <w:spacing w:val="-14"/>
        </w:rPr>
        <w:t xml:space="preserve"> 年底这三个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757"/>
      </w:pPr>
      <w:r>
        <w:rPr>
          <w:spacing w:val="-7"/>
        </w:rPr>
        <w:t xml:space="preserve">村农民饮水不安全人口 </w:t>
      </w:r>
      <w:r>
        <w:t>3189</w:t>
      </w:r>
      <w:r>
        <w:rPr>
          <w:spacing w:val="-15"/>
        </w:rPr>
        <w:t xml:space="preserve"> 人，其中：大铭村 </w:t>
      </w:r>
      <w:r>
        <w:t>903</w:t>
      </w:r>
      <w:r>
        <w:rPr>
          <w:spacing w:val="-18"/>
        </w:rPr>
        <w:t xml:space="preserve"> 人，联春村 </w:t>
      </w:r>
      <w:r>
        <w:t>708</w:t>
      </w:r>
    </w:p>
    <w:p>
      <w:pPr>
        <w:pStyle w:val="BodyText"/>
        <w:rPr>
          <w:sz w:val="31"/>
        </w:rPr>
      </w:pPr>
    </w:p>
    <w:p>
      <w:pPr>
        <w:pStyle w:val="BodyText"/>
        <w:ind w:left="757"/>
      </w:pPr>
      <w:r>
        <w:t>人，琼山村 429 人、琼溪村 644 人、大铭中学 505 人。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563"/>
      </w:pPr>
      <w:r>
        <w:t>项目建设后，出水水质应符合国家标准《生活饮用水卫生标准》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757" w:right="1353"/>
      </w:pPr>
      <w:r>
        <w:rPr>
          <w:spacing w:val="-1"/>
          <w:w w:val="100"/>
        </w:rPr>
        <w:t>（</w:t>
      </w:r>
      <w:r>
        <w:rPr>
          <w:w w:val="100"/>
        </w:rPr>
        <w:t>GB5749-200</w:t>
      </w:r>
      <w:r>
        <w:rPr>
          <w:spacing w:val="-9"/>
          <w:w w:val="100"/>
        </w:rPr>
        <w:t>6</w:t>
      </w:r>
      <w:r>
        <w:rPr>
          <w:spacing w:val="-209"/>
          <w:w w:val="100"/>
        </w:rPr>
        <w:t>）</w:t>
      </w:r>
      <w:r>
        <w:rPr>
          <w:spacing w:val="-1"/>
          <w:w w:val="100"/>
        </w:rPr>
        <w:t>，且在净水构筑物及配水管网布置合理到位情况下，</w:t>
      </w:r>
      <w:r>
        <w:rPr>
          <w:spacing w:val="-7"/>
        </w:rPr>
        <w:t xml:space="preserve">给水干管最不利点的自由水头不小于 </w:t>
      </w:r>
      <w:r>
        <w:t>15m</w:t>
      </w:r>
      <w:r>
        <w:rPr>
          <w:spacing w:val="-21"/>
        </w:rPr>
        <w:t xml:space="preserve">。供水保证率可达 </w:t>
      </w:r>
      <w:r>
        <w:rPr>
          <w:spacing w:val="-18"/>
        </w:rPr>
        <w:t>95％</w:t>
      </w:r>
      <w:r>
        <w:rPr>
          <w:spacing w:val="-9"/>
        </w:rPr>
        <w:t>，共</w:t>
      </w:r>
      <w:r>
        <w:rPr>
          <w:spacing w:val="-40"/>
        </w:rPr>
        <w:t xml:space="preserve">解决 </w:t>
      </w:r>
      <w:r>
        <w:t>4</w:t>
      </w:r>
      <w:r>
        <w:rPr>
          <w:spacing w:val="-42"/>
        </w:rPr>
        <w:t xml:space="preserve"> 个村的 </w:t>
      </w:r>
      <w:r>
        <w:t>11</w:t>
      </w:r>
      <w:r>
        <w:rPr>
          <w:spacing w:val="-31"/>
        </w:rPr>
        <w:t xml:space="preserve"> 个自然村落 </w:t>
      </w:r>
      <w:r>
        <w:t>2684</w:t>
      </w:r>
      <w:r>
        <w:rPr>
          <w:spacing w:val="-16"/>
        </w:rPr>
        <w:t xml:space="preserve"> 人以及大铭中学</w:t>
      </w:r>
      <w:r>
        <w:t>（小学</w:t>
      </w:r>
      <w:r>
        <w:rPr>
          <w:spacing w:val="-9"/>
        </w:rPr>
        <w:t>）505</w:t>
      </w:r>
      <w:r>
        <w:rPr>
          <w:spacing w:val="-35"/>
        </w:rPr>
        <w:t xml:space="preserve"> 人共12</w:t>
      </w:r>
      <w:r>
        <w:rPr>
          <w:spacing w:val="-44"/>
        </w:rPr>
        <w:t xml:space="preserve"> 处 </w:t>
      </w:r>
      <w:r>
        <w:t>3189</w:t>
      </w:r>
      <w:r>
        <w:rPr>
          <w:spacing w:val="-13"/>
        </w:rPr>
        <w:t xml:space="preserve"> 的饮水不安全人口的饮水安全问题。总受益人口 </w:t>
      </w:r>
      <w:r>
        <w:t>3334</w:t>
      </w:r>
      <w:r>
        <w:rPr>
          <w:spacing w:val="-34"/>
        </w:rPr>
        <w:t xml:space="preserve"> 人</w:t>
      </w:r>
    </w:p>
    <w:p>
      <w:pPr>
        <w:pStyle w:val="BodyText"/>
        <w:spacing w:line="537" w:lineRule="exact"/>
        <w:ind w:left="757"/>
      </w:pPr>
      <w:r>
        <w:t>（设计至 2020 年测算人口，工程各自独立设置，共有 12 处独立供水）</w:t>
      </w:r>
    </w:p>
    <w:p>
      <w:pPr>
        <w:pStyle w:val="Heading1"/>
        <w:spacing w:before="307"/>
      </w:pPr>
      <w:r>
        <w:t>二、工期</w:t>
      </w:r>
    </w:p>
    <w:p>
      <w:pPr>
        <w:pStyle w:val="BodyText"/>
        <w:spacing w:before="413" w:line="417" w:lineRule="auto"/>
        <w:ind w:left="724" w:right="1265" w:firstLine="705"/>
      </w:pPr>
      <w:r>
        <w:rPr>
          <w:spacing w:val="-1"/>
        </w:rPr>
        <w:t>工期：合同工期为：</w:t>
      </w:r>
      <w:r>
        <w:rPr>
          <w:spacing w:val="-8"/>
        </w:rPr>
        <w:t>2011</w:t>
      </w:r>
      <w:r>
        <w:rPr>
          <w:spacing w:val="-71"/>
        </w:rPr>
        <w:t xml:space="preserve"> 年 </w:t>
      </w:r>
      <w:r>
        <w:t>11</w:t>
      </w:r>
      <w:r>
        <w:rPr>
          <w:spacing w:val="-69"/>
        </w:rPr>
        <w:t xml:space="preserve"> 月 </w:t>
      </w:r>
      <w:r>
        <w:t>5</w:t>
      </w:r>
      <w:r>
        <w:rPr>
          <w:spacing w:val="-53"/>
        </w:rPr>
        <w:t xml:space="preserve"> 日到 </w:t>
      </w:r>
      <w:r>
        <w:t>2011</w:t>
      </w:r>
      <w:r>
        <w:rPr>
          <w:spacing w:val="-69"/>
        </w:rPr>
        <w:t xml:space="preserve"> 年 </w:t>
      </w:r>
      <w:r>
        <w:t>12</w:t>
      </w:r>
      <w:r>
        <w:rPr>
          <w:spacing w:val="-70"/>
        </w:rPr>
        <w:t xml:space="preserve"> 月 </w:t>
      </w:r>
      <w:r>
        <w:t>25</w:t>
      </w:r>
      <w:r>
        <w:rPr>
          <w:spacing w:val="-27"/>
        </w:rPr>
        <w:t xml:space="preserve"> 日。实</w:t>
      </w:r>
      <w:r>
        <w:rPr>
          <w:spacing w:val="-44"/>
        </w:rPr>
        <w:t xml:space="preserve">际工期 </w:t>
      </w:r>
      <w:r>
        <w:t>2011</w:t>
      </w:r>
      <w:r>
        <w:rPr>
          <w:spacing w:val="-64"/>
        </w:rPr>
        <w:t xml:space="preserve"> 年 </w:t>
      </w:r>
      <w:r>
        <w:t>11</w:t>
      </w:r>
      <w:r>
        <w:rPr>
          <w:spacing w:val="-61"/>
        </w:rPr>
        <w:t xml:space="preserve"> 月 </w:t>
      </w:r>
      <w:r>
        <w:t>5</w:t>
      </w:r>
      <w:r>
        <w:rPr>
          <w:spacing w:val="-47"/>
        </w:rPr>
        <w:t xml:space="preserve"> 日到 </w:t>
      </w:r>
      <w:r>
        <w:t>2011</w:t>
      </w:r>
      <w:r>
        <w:rPr>
          <w:spacing w:val="-64"/>
        </w:rPr>
        <w:t xml:space="preserve"> 年 </w:t>
      </w:r>
      <w:r>
        <w:t>12</w:t>
      </w:r>
      <w:r>
        <w:rPr>
          <w:spacing w:val="-62"/>
        </w:rPr>
        <w:t xml:space="preserve"> 月 </w:t>
      </w:r>
      <w:r>
        <w:t>25</w:t>
      </w:r>
      <w:r>
        <w:rPr>
          <w:spacing w:val="-11"/>
        </w:rPr>
        <w:t xml:space="preserve"> 日。在建设单位的正确</w:t>
      </w:r>
      <w:r>
        <w:rPr>
          <w:spacing w:val="-22"/>
        </w:rPr>
        <w:t xml:space="preserve">部署下，组织措施落实到位，以各行政村为单元，切实做好政策处理， </w:t>
      </w:r>
      <w:r>
        <w:t>组织平行流水施工，使得各项工作开展顺利，按时完成了本工程的施工任务。</w:t>
      </w:r>
    </w:p>
    <w:p>
      <w:pPr>
        <w:pStyle w:val="Heading1"/>
        <w:spacing w:line="522" w:lineRule="exact"/>
        <w:ind w:left="1387"/>
      </w:pPr>
      <w:r>
        <w:t>四、主要施工方法</w:t>
      </w:r>
    </w:p>
    <w:p>
      <w:pPr>
        <w:pStyle w:val="Heading2"/>
        <w:spacing w:before="413"/>
        <w:ind w:left="757"/>
      </w:pPr>
      <w:r>
        <w:t>一、PV—R管施工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tabs>
          <w:tab w:val="left" w:pos="2016"/>
        </w:tabs>
        <w:ind w:left="757"/>
      </w:pPr>
      <w:r>
        <w:t>1、</w:t>
        <w:tab/>
        <w:t>施工准备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3"/>
        </w:numPr>
        <w:tabs>
          <w:tab w:val="left" w:pos="2813"/>
        </w:tabs>
        <w:spacing w:before="0" w:after="0" w:line="417" w:lineRule="auto"/>
        <w:ind w:left="757" w:right="1292" w:firstLine="838"/>
        <w:jc w:val="left"/>
        <w:rPr>
          <w:sz w:val="42"/>
        </w:rPr>
      </w:pPr>
      <w:r>
        <w:rPr>
          <w:sz w:val="42"/>
        </w:rPr>
        <w:t>施工技术人员认真熟悉图纸，领会设计意图，对图纸中发</w:t>
      </w:r>
      <w:r>
        <w:rPr>
          <w:spacing w:val="-21"/>
          <w:sz w:val="42"/>
        </w:rPr>
        <w:t>现的问题及时与业主、监理及设计人员联系。熟悉</w:t>
      </w:r>
      <w:r>
        <w:rPr>
          <w:sz w:val="42"/>
        </w:rPr>
        <w:t>PP-R</w:t>
      </w:r>
      <w:r>
        <w:rPr>
          <w:spacing w:val="-3"/>
          <w:sz w:val="42"/>
        </w:rPr>
        <w:t>管的一般性能，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10"/>
          <w:footerReference w:type="default" r:id="rId11"/>
          <w:pgSz w:w="17860" w:h="25260"/>
          <w:pgMar w:top="1520" w:right="1180" w:bottom="2020" w:left="1940" w:header="1084" w:footer="1820"/>
          <w:pgNumType w:start="4"/>
          <w:cols w:space="708"/>
        </w:sectPr>
      </w:pPr>
    </w:p>
    <w:p>
      <w:pPr>
        <w:pStyle w:val="BodyText"/>
        <w:spacing w:before="7"/>
        <w:rPr>
          <w:sz w:val="24"/>
        </w:rPr>
      </w:pPr>
      <w:r>
        <w:pict>
          <v:group id="_x0000_s1025" style="width:391pt;height:52pt;margin-top:1185pt;margin-left:308pt;mso-position-horizontal-relative:page;mso-position-vertical-relative:page;position:absolute;z-index:251658240" coordorigin="6160,23700" coordsize="7820,10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900;height:820;left:6160;position:absolute;top:23700" stroked="f">
              <v:imagedata r:id="rId12" o:title=""/>
            </v:shape>
            <v:shape id="_x0000_s1027" type="#_x0000_t75" style="width:3860;height:1040;left:10120;position:absolute;top:23700" stroked="f">
              <v:imagedata r:id="rId13" o:title=""/>
            </v:shape>
          </v:group>
        </w:pict>
      </w:r>
    </w:p>
    <w:p>
      <w:pPr>
        <w:pStyle w:val="BodyText"/>
        <w:spacing w:before="42"/>
        <w:ind w:left="757"/>
      </w:pPr>
      <w:r>
        <w:t>掌握必须的操作要点。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4"/>
        </w:numPr>
        <w:tabs>
          <w:tab w:val="left" w:pos="2791"/>
        </w:tabs>
        <w:spacing w:before="0" w:after="0" w:line="417" w:lineRule="auto"/>
        <w:ind w:left="757" w:right="1495" w:firstLine="838"/>
        <w:jc w:val="both"/>
        <w:rPr>
          <w:sz w:val="42"/>
        </w:rPr>
      </w:pPr>
      <w:r>
        <w:rPr>
          <w:spacing w:val="-8"/>
          <w:sz w:val="42"/>
        </w:rPr>
        <w:t>在各项预制加工项目开始前，根据设计施工图编制材料计</w:t>
      </w:r>
      <w:r>
        <w:rPr>
          <w:sz w:val="42"/>
        </w:rPr>
        <w:t>划，将需要的材料、设备等按规格、型号准备好，运至现场。</w:t>
      </w:r>
    </w:p>
    <w:p>
      <w:pPr>
        <w:pStyle w:val="ListParagraph"/>
        <w:numPr>
          <w:ilvl w:val="0"/>
          <w:numId w:val="24"/>
        </w:numPr>
        <w:tabs>
          <w:tab w:val="left" w:pos="2745"/>
        </w:tabs>
        <w:spacing w:before="0" w:after="0" w:line="417" w:lineRule="auto"/>
        <w:ind w:left="757" w:right="1304" w:firstLine="838"/>
        <w:jc w:val="both"/>
        <w:rPr>
          <w:sz w:val="42"/>
        </w:rPr>
      </w:pPr>
      <w:r>
        <w:rPr>
          <w:spacing w:val="-18"/>
          <w:sz w:val="42"/>
        </w:rPr>
        <w:t>材料设备要求：管材和管件的内外壁应光滑平整，无气泡、</w:t>
      </w:r>
      <w:r>
        <w:rPr>
          <w:sz w:val="42"/>
        </w:rPr>
        <w:t>裂纹、脱皮和明显的痕纹、凹陷，色泽应基本一致。管材的端面应垂直于管材的轴线。管件应完整、无缺损、无变形。到现场的管材、管件等自检合格后并经监理、业主验明材质，核对质保书，规格、型号等，合格后方能入库，并分别作好标识。</w:t>
      </w:r>
    </w:p>
    <w:p>
      <w:pPr>
        <w:pStyle w:val="ListParagraph"/>
        <w:numPr>
          <w:ilvl w:val="0"/>
          <w:numId w:val="24"/>
        </w:numPr>
        <w:tabs>
          <w:tab w:val="left" w:pos="2648"/>
        </w:tabs>
        <w:spacing w:before="0" w:after="0" w:line="417" w:lineRule="auto"/>
        <w:ind w:left="757" w:right="1302" w:firstLine="838"/>
        <w:jc w:val="left"/>
        <w:rPr>
          <w:sz w:val="42"/>
        </w:rPr>
      </w:pPr>
      <w:r>
        <w:rPr>
          <w:sz w:val="42"/>
        </w:rPr>
        <w:t>材料的保存：管件和管材不应长期置于阳光下照射，为避</w:t>
      </w:r>
      <w:r>
        <w:rPr>
          <w:spacing w:val="-13"/>
          <w:sz w:val="42"/>
        </w:rPr>
        <w:t>免管子在储运时弯曲，堆放在平整的地方且堆置高度不得超过</w:t>
      </w:r>
      <w:r>
        <w:rPr>
          <w:sz w:val="42"/>
        </w:rPr>
        <w:t>1.5</w:t>
      </w:r>
      <w:r>
        <w:rPr>
          <w:spacing w:val="-9"/>
          <w:sz w:val="42"/>
        </w:rPr>
        <w:t xml:space="preserve">米， </w:t>
      </w:r>
      <w:r>
        <w:rPr>
          <w:sz w:val="42"/>
        </w:rPr>
        <w:t>管件逐层堆码。搬运管材和管件时，应小心轻放，避免油污，严禁剧烈撞击，与尖锐触碰和抛、摔、拖。施工现场与材料存放处温差较大</w:t>
      </w:r>
      <w:r>
        <w:rPr>
          <w:spacing w:val="-13"/>
          <w:sz w:val="42"/>
        </w:rPr>
        <w:t>时，于安装前将管件和管材在现场放置一定时间，使其温度接近施工现场环境温度。</w:t>
      </w:r>
    </w:p>
    <w:p>
      <w:pPr>
        <w:pStyle w:val="BodyText"/>
        <w:tabs>
          <w:tab w:val="left" w:pos="2016"/>
        </w:tabs>
        <w:spacing w:line="537" w:lineRule="exact"/>
        <w:ind w:left="757"/>
      </w:pPr>
      <w:r>
        <w:t>2、</w:t>
        <w:tab/>
        <w:t>施工条件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21"/>
        </w:numPr>
        <w:tabs>
          <w:tab w:val="left" w:pos="2646"/>
          <w:tab w:val="left" w:pos="2647"/>
        </w:tabs>
        <w:spacing w:before="0" w:after="0" w:line="417" w:lineRule="auto"/>
        <w:ind w:left="757" w:right="1579" w:firstLine="838"/>
        <w:jc w:val="left"/>
        <w:rPr>
          <w:sz w:val="42"/>
        </w:rPr>
      </w:pPr>
      <w:r>
        <w:rPr>
          <w:spacing w:val="-3"/>
          <w:sz w:val="42"/>
        </w:rPr>
        <w:t>施工图纸及其他技术文件齐全,进行图纸技术交底,满足施</w:t>
      </w:r>
      <w:r>
        <w:rPr>
          <w:sz w:val="42"/>
        </w:rPr>
        <w:t>工要求。</w:t>
      </w:r>
    </w:p>
    <w:p>
      <w:pPr>
        <w:pStyle w:val="ListParagraph"/>
        <w:numPr>
          <w:ilvl w:val="0"/>
          <w:numId w:val="21"/>
        </w:numPr>
        <w:tabs>
          <w:tab w:val="left" w:pos="2646"/>
          <w:tab w:val="left" w:pos="2647"/>
        </w:tabs>
        <w:spacing w:before="0" w:after="0" w:line="537" w:lineRule="exact"/>
        <w:ind w:left="2647" w:right="0" w:hanging="1052"/>
        <w:jc w:val="left"/>
        <w:rPr>
          <w:sz w:val="42"/>
        </w:rPr>
      </w:pPr>
      <w:r>
        <w:rPr>
          <w:sz w:val="42"/>
        </w:rPr>
        <w:t>施工方案、施工技术、材料机具供应等能保证正常施工。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0"/>
          <w:numId w:val="21"/>
        </w:numPr>
        <w:tabs>
          <w:tab w:val="left" w:pos="2229"/>
        </w:tabs>
        <w:spacing w:before="0" w:after="0" w:line="417" w:lineRule="auto"/>
        <w:ind w:left="757" w:right="6616" w:firstLine="838"/>
        <w:jc w:val="left"/>
        <w:rPr>
          <w:sz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2075260</wp:posOffset>
            </wp:positionH>
            <wp:positionV relativeFrom="paragraph">
              <wp:posOffset>-117648</wp:posOffset>
            </wp:positionV>
            <wp:extent cx="1330036" cy="1309209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0036" cy="1309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42"/>
        </w:rPr>
        <w:t>施工现场满足管道施工的条件。</w:t>
      </w:r>
      <w:r>
        <w:rPr>
          <w:sz w:val="42"/>
        </w:rPr>
        <w:t>一、 管道裁剪及连接</w:t>
      </w:r>
    </w:p>
    <w:p>
      <w:pPr>
        <w:pStyle w:val="BodyText"/>
        <w:spacing w:line="537" w:lineRule="exact"/>
        <w:ind w:left="757"/>
      </w:pPr>
      <w:r>
        <w:t>1、管道的裁剪</w:t>
      </w:r>
    </w:p>
    <w:p>
      <w:pPr>
        <w:pStyle w:val="BodyText"/>
        <w:rPr>
          <w:sz w:val="31"/>
        </w:rPr>
      </w:pPr>
    </w:p>
    <w:p>
      <w:pPr>
        <w:pStyle w:val="BodyText"/>
        <w:ind w:left="1595"/>
      </w:pPr>
      <w:r>
        <w:t>切割管材须端面垂直于管轴线，切割时使用管剪或管道切割机，</w:t>
      </w:r>
    </w:p>
    <w:p>
      <w:pPr>
        <w:spacing w:after="0"/>
        <w:sectPr>
          <w:headerReference w:type="default" r:id="rId15"/>
          <w:footerReference w:type="default" r:id="rId16"/>
          <w:pgSz w:w="17860" w:h="25260"/>
          <w:pgMar w:top="1520" w:right="1180" w:bottom="2020" w:left="1940" w:header="1084" w:footer="1820"/>
          <w:pgNumType w:start="5"/>
          <w:cols w:space="708"/>
        </w:sectPr>
      </w:pPr>
    </w:p>
    <w:p>
      <w:pPr>
        <w:pStyle w:val="BodyText"/>
        <w:spacing w:before="7"/>
        <w:rPr>
          <w:sz w:val="24"/>
        </w:rPr>
      </w:pPr>
    </w:p>
    <w:p>
      <w:pPr>
        <w:pStyle w:val="BodyText"/>
        <w:spacing w:before="42" w:line="417" w:lineRule="auto"/>
        <w:ind w:left="757" w:right="1276"/>
      </w:pPr>
      <w:r>
        <w:t>必要时用锋利的钢锯，对其断面去除毛边和毛刺。管径较小</w:t>
      </w:r>
      <w:r>
        <w:rPr>
          <w:spacing w:val="-28"/>
        </w:rPr>
        <w:t xml:space="preserve">（De20～ </w:t>
      </w:r>
      <w:r>
        <w:rPr>
          <w:w w:val="100"/>
        </w:rPr>
        <w:t>De4</w:t>
      </w:r>
      <w:r>
        <w:rPr>
          <w:spacing w:val="-1"/>
          <w:w w:val="100"/>
        </w:rPr>
        <w:t>0</w:t>
      </w:r>
      <w:r>
        <w:rPr>
          <w:spacing w:val="-173"/>
          <w:w w:val="100"/>
        </w:rPr>
        <w:t>）</w:t>
      </w:r>
      <w:r>
        <w:rPr>
          <w:spacing w:val="-15"/>
          <w:w w:val="100"/>
        </w:rPr>
        <w:t>时用管剪比较方便，管径较大时用管道切割机或钢锯裁剪管道，</w:t>
      </w:r>
      <w:r>
        <w:t>在裁剪前应在裁剪的位置画好印记，确保管材端面垂直于管轴线。</w:t>
      </w:r>
    </w:p>
    <w:p>
      <w:pPr>
        <w:pStyle w:val="BodyText"/>
        <w:spacing w:line="538" w:lineRule="exact"/>
        <w:ind w:left="757"/>
      </w:pPr>
      <w:r>
        <w:t>2、管道的连接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5"/>
        </w:numPr>
        <w:tabs>
          <w:tab w:val="left" w:pos="2647"/>
        </w:tabs>
        <w:spacing w:before="1" w:after="0" w:line="417" w:lineRule="auto"/>
        <w:ind w:left="757" w:right="1501" w:firstLine="629"/>
        <w:jc w:val="left"/>
        <w:rPr>
          <w:sz w:val="42"/>
        </w:rPr>
      </w:pPr>
      <w:r>
        <w:rPr>
          <w:sz w:val="42"/>
        </w:rPr>
        <w:t>同种材质的给水聚丙烯管及管配件之间安装可采用热熔连</w:t>
      </w:r>
      <w:r>
        <w:rPr>
          <w:spacing w:val="-14"/>
          <w:sz w:val="42"/>
        </w:rPr>
        <w:t>接或电熔连接，安装应使用专用热熔或热熔工具。暗敷在地坪面内的</w:t>
      </w:r>
      <w:r>
        <w:rPr>
          <w:spacing w:val="-9"/>
          <w:sz w:val="42"/>
        </w:rPr>
        <w:t>管道不得采用丝扣或法兰连接。给水聚丙烯管与金属管件连接，应采用带金属管件的聚丙烯管件作为过渡，该管件与塑料管采用热熔连接。</w:t>
      </w:r>
    </w:p>
    <w:p>
      <w:pPr>
        <w:pStyle w:val="ListParagraph"/>
        <w:numPr>
          <w:ilvl w:val="0"/>
          <w:numId w:val="25"/>
        </w:numPr>
        <w:tabs>
          <w:tab w:val="left" w:pos="2440"/>
        </w:tabs>
        <w:spacing w:before="0" w:after="0" w:line="537" w:lineRule="exact"/>
        <w:ind w:left="2439" w:right="0" w:hanging="1053"/>
        <w:jc w:val="left"/>
        <w:rPr>
          <w:sz w:val="42"/>
        </w:rPr>
      </w:pPr>
      <w:r>
        <w:rPr>
          <w:sz w:val="42"/>
        </w:rPr>
        <w:t>管道一般热熔连接，以下介绍热熔连接的步骤：</w:t>
      </w:r>
    </w:p>
    <w:p>
      <w:pPr>
        <w:pStyle w:val="BodyText"/>
        <w:rPr>
          <w:sz w:val="31"/>
        </w:rPr>
      </w:pPr>
    </w:p>
    <w:p>
      <w:pPr>
        <w:pStyle w:val="BodyText"/>
        <w:ind w:left="1595"/>
      </w:pPr>
      <w:r>
        <w:t>1）接通热熔以电源，到达工作温度指示灯亮后开始操作；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757" w:right="1348" w:firstLine="629"/>
      </w:pPr>
      <w:r>
        <w:t>2）为防止可能出现的细小裂纹和管道的损伤，在操作前，将管材两端各切下4-5厘米，以去掉受损的端口。再擦拭管材与管件的端面保证清洁、干燥、无油；</w:t>
      </w:r>
    </w:p>
    <w:p>
      <w:pPr>
        <w:pStyle w:val="BodyText"/>
        <w:spacing w:line="417" w:lineRule="auto"/>
        <w:ind w:left="757" w:right="1560" w:firstLine="838"/>
      </w:pPr>
      <w:r>
        <w:t>3）用卡尺和合适的笔在管端测量并标绘出热熔深度，热熔深度符合表1；</w:t>
      </w:r>
    </w:p>
    <w:p>
      <w:pPr>
        <w:pStyle w:val="BodyText"/>
        <w:tabs>
          <w:tab w:val="left" w:pos="6255"/>
        </w:tabs>
        <w:spacing w:before="233"/>
        <w:ind w:left="4995"/>
      </w:pPr>
      <w:r>
        <w:t>表1</w:t>
        <w:tab/>
        <w:t>热熔连接技术要求</w:t>
      </w:r>
    </w:p>
    <w:p>
      <w:pPr>
        <w:pStyle w:val="BodyText"/>
        <w:spacing w:before="7"/>
        <w:rPr>
          <w:sz w:val="16"/>
        </w:rPr>
      </w:pPr>
      <w:r>
        <w:pict>
          <v:group id="_x0000_s1028" style="width:687.75pt;height:263.25pt;margin-top:12.58pt;margin-left:103.25pt;mso-position-horizontal-relative:page;mso-wrap-distance-left:0;mso-wrap-distance-right:0;position:absolute;z-index:-251656192" coordorigin="2065,252" coordsize="13755,5265">
            <v:shape id="_x0000_s1029" type="#_x0000_t75" style="width:13755;height:4499;left:2065;position:absolute;top:251" stroked="f">
              <v:imagedata r:id="rId17" o:title=""/>
            </v:shape>
            <v:shape id="_x0000_s1030" type="#_x0000_t75" style="width:1320;height:1286;left:2734;position:absolute;top:4231" stroked="f">
              <v:imagedata r:id="rId1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width:1705;height:422;left:2736;position:absolute;top:4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公称外径</w:t>
                    </w:r>
                  </w:p>
                </w:txbxContent>
              </v:textbox>
            </v:shape>
            <v:shape id="_x0000_s1032" type="#_x0000_t202" style="width:1705;height:422;left:5494;position:absolute;top:4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热熔深度</w:t>
                    </w:r>
                  </w:p>
                </w:txbxContent>
              </v:textbox>
            </v:shape>
            <v:shape id="_x0000_s1033" type="#_x0000_t202" style="width:1705;height:422;left:8378;position:absolute;top:4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加热时间</w:t>
                    </w:r>
                  </w:p>
                </w:txbxContent>
              </v:textbox>
            </v:shape>
            <v:shape id="_x0000_s1034" type="#_x0000_t202" style="width:1705;height:422;left:11129;position:absolute;top:4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加工时间</w:t>
                    </w:r>
                  </w:p>
                </w:txbxContent>
              </v:textbox>
            </v:shape>
            <v:shape id="_x0000_s1035" type="#_x0000_t202" style="width:1705;height:422;left:13578;position:absolute;top:4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冷却时间</w:t>
                    </w:r>
                  </w:p>
                </w:txbxContent>
              </v:textbox>
            </v:shape>
            <v:shape id="_x0000_s1036" type="#_x0000_t202" style="width:1280;height:422;left:2106;position:absolute;top:14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（mm）</w:t>
                    </w:r>
                  </w:p>
                </w:txbxContent>
              </v:textbox>
            </v:shape>
            <v:shape id="_x0000_s1037" type="#_x0000_t202" style="width:1281;height:422;left:4864;position:absolute;top:14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（mm）</w:t>
                    </w:r>
                  </w:p>
                </w:txbxContent>
              </v:textbox>
            </v:shape>
            <v:shape id="_x0000_s1038" type="#_x0000_t202" style="width:1281;height:422;left:7748;position:absolute;top:14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（mm）</w:t>
                    </w:r>
                  </w:p>
                </w:txbxContent>
              </v:textbox>
            </v:shape>
            <v:shape id="_x0000_s1039" type="#_x0000_t202" style="width:1072;height:422;left:10499;position:absolute;top:14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（S）</w:t>
                    </w:r>
                  </w:p>
                </w:txbxContent>
              </v:textbox>
            </v:shape>
            <v:shape id="_x0000_s1040" type="#_x0000_t202" style="width:1281;height:422;left:12947;position:absolute;top:14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（mm）</w:t>
                    </w:r>
                  </w:p>
                </w:txbxContent>
              </v:textbox>
            </v:shape>
            <v:shape id="_x0000_s1041" type="#_x0000_t202" style="width:442;height:1923;left:3568;position:absolute;top:2689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</w:t>
                    </w:r>
                  </w:p>
                  <w:p>
                    <w:pPr>
                      <w:spacing w:before="21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25</w:t>
                    </w:r>
                  </w:p>
                  <w:p>
                    <w:pPr>
                      <w:spacing w:before="214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32</w:t>
                    </w:r>
                  </w:p>
                </w:txbxContent>
              </v:textbox>
            </v:shape>
            <v:shape id="_x0000_s1042" type="#_x0000_t202" style="width:442;height:1923;left:6387;position:absolute;top:2689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14</w:t>
                    </w:r>
                  </w:p>
                  <w:p>
                    <w:pPr>
                      <w:spacing w:before="21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16</w:t>
                    </w:r>
                  </w:p>
                  <w:p>
                    <w:pPr>
                      <w:spacing w:before="214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20</w:t>
                    </w:r>
                  </w:p>
                </w:txbxContent>
              </v:textbox>
            </v:shape>
            <v:shape id="_x0000_s1043" type="#_x0000_t202" style="width:231;height:1923;left:9311;position:absolute;top:2689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5</w:t>
                    </w:r>
                  </w:p>
                  <w:p>
                    <w:pPr>
                      <w:spacing w:before="21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7</w:t>
                    </w:r>
                  </w:p>
                  <w:p>
                    <w:pPr>
                      <w:spacing w:before="214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8</w:t>
                    </w:r>
                  </w:p>
                </w:txbxContent>
              </v:textbox>
            </v:shape>
            <v:shape id="_x0000_s1044" type="#_x0000_t202" style="width:231;height:1923;left:11910;position:absolute;top:2689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  <w:p>
                    <w:pPr>
                      <w:spacing w:before="21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  <w:p>
                    <w:pPr>
                      <w:spacing w:before="214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045" type="#_x0000_t202" style="width:231;height:1923;left:14561;position:absolute;top:2689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3</w:t>
                    </w:r>
                  </w:p>
                  <w:p>
                    <w:pPr>
                      <w:spacing w:before="21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3</w:t>
                    </w:r>
                  </w:p>
                  <w:p>
                    <w:pPr>
                      <w:spacing w:before="214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headerReference w:type="default" r:id="rId19"/>
          <w:footerReference w:type="default" r:id="rId20"/>
          <w:pgSz w:w="17860" w:h="25260"/>
          <w:pgMar w:top="1520" w:right="1180" w:bottom="2020" w:left="1940" w:header="1084" w:footer="1820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tbl>
      <w:tblPr>
        <w:tblStyle w:val="TableNormal0"/>
        <w:tblW w:w="0" w:type="auto"/>
        <w:jc w:val="left"/>
        <w:tblInd w:w="15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6"/>
        <w:gridCol w:w="3030"/>
        <w:gridCol w:w="2602"/>
        <w:gridCol w:w="2678"/>
        <w:gridCol w:w="1430"/>
      </w:tblGrid>
      <w:tr>
        <w:tblPrEx>
          <w:tblW w:w="0" w:type="auto"/>
          <w:jc w:val="left"/>
          <w:tblInd w:w="15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566" w:type="dxa"/>
          </w:tcPr>
          <w:p>
            <w:pPr>
              <w:pStyle w:val="TableParagraph"/>
              <w:spacing w:line="480" w:lineRule="exact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40</w:t>
            </w:r>
          </w:p>
        </w:tc>
        <w:tc>
          <w:tcPr>
            <w:tcW w:w="3030" w:type="dxa"/>
          </w:tcPr>
          <w:p>
            <w:pPr>
              <w:pStyle w:val="TableParagraph"/>
              <w:spacing w:line="480" w:lineRule="exact"/>
              <w:ind w:left="1073" w:right="1074"/>
              <w:rPr>
                <w:sz w:val="42"/>
              </w:rPr>
            </w:pPr>
            <w:r>
              <w:rPr>
                <w:sz w:val="42"/>
              </w:rPr>
              <w:t>21</w:t>
            </w:r>
          </w:p>
        </w:tc>
        <w:tc>
          <w:tcPr>
            <w:tcW w:w="2602" w:type="dxa"/>
          </w:tcPr>
          <w:p>
            <w:pPr>
              <w:pStyle w:val="TableParagraph"/>
              <w:spacing w:line="480" w:lineRule="exact"/>
              <w:ind w:left="1073" w:right="1069"/>
              <w:rPr>
                <w:sz w:val="42"/>
              </w:rPr>
            </w:pPr>
            <w:r>
              <w:rPr>
                <w:sz w:val="42"/>
              </w:rPr>
              <w:t>12</w:t>
            </w:r>
          </w:p>
        </w:tc>
        <w:tc>
          <w:tcPr>
            <w:tcW w:w="2678" w:type="dxa"/>
          </w:tcPr>
          <w:p>
            <w:pPr>
              <w:pStyle w:val="TableParagraph"/>
              <w:spacing w:line="480" w:lineRule="exact"/>
              <w:ind w:right="76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1430" w:type="dxa"/>
          </w:tcPr>
          <w:p>
            <w:pPr>
              <w:pStyle w:val="TableParagraph"/>
              <w:spacing w:line="480" w:lineRule="exact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</w:tr>
      <w:tr>
        <w:tblPrEx>
          <w:tblW w:w="0" w:type="auto"/>
          <w:jc w:val="left"/>
          <w:tblInd w:w="1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0"/>
          <w:jc w:val="left"/>
        </w:trPr>
        <w:tc>
          <w:tcPr>
            <w:tcW w:w="1566" w:type="dxa"/>
          </w:tcPr>
          <w:p>
            <w:pPr>
              <w:pStyle w:val="TableParagraph"/>
              <w:spacing w:before="105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50</w:t>
            </w:r>
          </w:p>
        </w:tc>
        <w:tc>
          <w:tcPr>
            <w:tcW w:w="3030" w:type="dxa"/>
          </w:tcPr>
          <w:p>
            <w:pPr>
              <w:pStyle w:val="TableParagraph"/>
              <w:spacing w:before="105"/>
              <w:ind w:left="1076" w:right="1074"/>
              <w:rPr>
                <w:sz w:val="42"/>
              </w:rPr>
            </w:pPr>
            <w:r>
              <w:rPr>
                <w:sz w:val="42"/>
              </w:rPr>
              <w:t>22.5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5"/>
              <w:ind w:left="1073" w:right="1069"/>
              <w:rPr>
                <w:sz w:val="42"/>
              </w:rPr>
            </w:pPr>
            <w:r>
              <w:rPr>
                <w:sz w:val="42"/>
              </w:rPr>
              <w:t>18</w:t>
            </w:r>
          </w:p>
        </w:tc>
        <w:tc>
          <w:tcPr>
            <w:tcW w:w="2678" w:type="dxa"/>
          </w:tcPr>
          <w:p>
            <w:pPr>
              <w:pStyle w:val="TableParagraph"/>
              <w:spacing w:before="105"/>
              <w:ind w:right="76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1430" w:type="dxa"/>
          </w:tcPr>
          <w:p>
            <w:pPr>
              <w:pStyle w:val="TableParagraph"/>
              <w:spacing w:before="105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</w:tr>
      <w:tr>
        <w:tblPrEx>
          <w:tblW w:w="0" w:type="auto"/>
          <w:jc w:val="left"/>
          <w:tblInd w:w="1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2"/>
          <w:jc w:val="left"/>
        </w:trPr>
        <w:tc>
          <w:tcPr>
            <w:tcW w:w="1566" w:type="dxa"/>
          </w:tcPr>
          <w:p>
            <w:pPr>
              <w:pStyle w:val="TableParagraph"/>
              <w:spacing w:before="107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63</w:t>
            </w:r>
          </w:p>
        </w:tc>
        <w:tc>
          <w:tcPr>
            <w:tcW w:w="3030" w:type="dxa"/>
          </w:tcPr>
          <w:p>
            <w:pPr>
              <w:pStyle w:val="TableParagraph"/>
              <w:spacing w:before="107"/>
              <w:ind w:left="1073" w:right="1074"/>
              <w:rPr>
                <w:sz w:val="42"/>
              </w:rPr>
            </w:pPr>
            <w:r>
              <w:rPr>
                <w:sz w:val="42"/>
              </w:rPr>
              <w:t>24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7"/>
              <w:ind w:left="1073" w:right="1069"/>
              <w:rPr>
                <w:sz w:val="42"/>
              </w:rPr>
            </w:pPr>
            <w:r>
              <w:rPr>
                <w:sz w:val="42"/>
              </w:rPr>
              <w:t>24</w:t>
            </w:r>
          </w:p>
        </w:tc>
        <w:tc>
          <w:tcPr>
            <w:tcW w:w="2678" w:type="dxa"/>
          </w:tcPr>
          <w:p>
            <w:pPr>
              <w:pStyle w:val="TableParagraph"/>
              <w:spacing w:before="107"/>
              <w:ind w:right="76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1430" w:type="dxa"/>
          </w:tcPr>
          <w:p>
            <w:pPr>
              <w:pStyle w:val="TableParagraph"/>
              <w:spacing w:before="107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</w:tr>
      <w:tr>
        <w:tblPrEx>
          <w:tblW w:w="0" w:type="auto"/>
          <w:jc w:val="left"/>
          <w:tblInd w:w="1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2"/>
          <w:jc w:val="left"/>
        </w:trPr>
        <w:tc>
          <w:tcPr>
            <w:tcW w:w="1566" w:type="dxa"/>
          </w:tcPr>
          <w:p>
            <w:pPr>
              <w:pStyle w:val="TableParagraph"/>
              <w:spacing w:before="107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75</w:t>
            </w:r>
          </w:p>
        </w:tc>
        <w:tc>
          <w:tcPr>
            <w:tcW w:w="3030" w:type="dxa"/>
          </w:tcPr>
          <w:p>
            <w:pPr>
              <w:pStyle w:val="TableParagraph"/>
              <w:spacing w:before="107"/>
              <w:ind w:left="1073" w:right="1074"/>
              <w:rPr>
                <w:sz w:val="42"/>
              </w:rPr>
            </w:pPr>
            <w:r>
              <w:rPr>
                <w:sz w:val="42"/>
              </w:rPr>
              <w:t>26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7"/>
              <w:ind w:left="1073" w:right="1069"/>
              <w:rPr>
                <w:sz w:val="42"/>
              </w:rPr>
            </w:pPr>
            <w:r>
              <w:rPr>
                <w:sz w:val="42"/>
              </w:rPr>
              <w:t>30</w:t>
            </w:r>
          </w:p>
        </w:tc>
        <w:tc>
          <w:tcPr>
            <w:tcW w:w="2678" w:type="dxa"/>
          </w:tcPr>
          <w:p>
            <w:pPr>
              <w:pStyle w:val="TableParagraph"/>
              <w:spacing w:before="107"/>
              <w:ind w:left="1068" w:right="1149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1430" w:type="dxa"/>
          </w:tcPr>
          <w:p>
            <w:pPr>
              <w:pStyle w:val="TableParagraph"/>
              <w:spacing w:before="107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</w:tr>
      <w:tr>
        <w:tblPrEx>
          <w:tblW w:w="0" w:type="auto"/>
          <w:jc w:val="left"/>
          <w:tblInd w:w="15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566" w:type="dxa"/>
          </w:tcPr>
          <w:p>
            <w:pPr>
              <w:pStyle w:val="TableParagraph"/>
              <w:spacing w:before="107" w:line="459" w:lineRule="exact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90</w:t>
            </w:r>
          </w:p>
        </w:tc>
        <w:tc>
          <w:tcPr>
            <w:tcW w:w="3030" w:type="dxa"/>
          </w:tcPr>
          <w:p>
            <w:pPr>
              <w:pStyle w:val="TableParagraph"/>
              <w:spacing w:before="107" w:line="459" w:lineRule="exact"/>
              <w:ind w:left="1073" w:right="1074"/>
              <w:rPr>
                <w:sz w:val="42"/>
              </w:rPr>
            </w:pPr>
            <w:r>
              <w:rPr>
                <w:sz w:val="42"/>
              </w:rPr>
              <w:t>32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7" w:line="459" w:lineRule="exact"/>
              <w:ind w:left="1073" w:right="1069"/>
              <w:rPr>
                <w:sz w:val="42"/>
              </w:rPr>
            </w:pPr>
            <w:r>
              <w:rPr>
                <w:sz w:val="42"/>
              </w:rPr>
              <w:t>40</w:t>
            </w:r>
          </w:p>
        </w:tc>
        <w:tc>
          <w:tcPr>
            <w:tcW w:w="2678" w:type="dxa"/>
          </w:tcPr>
          <w:p>
            <w:pPr>
              <w:pStyle w:val="TableParagraph"/>
              <w:spacing w:before="107" w:line="459" w:lineRule="exact"/>
              <w:ind w:left="1068" w:right="1149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1430" w:type="dxa"/>
          </w:tcPr>
          <w:p>
            <w:pPr>
              <w:pStyle w:val="TableParagraph"/>
              <w:spacing w:before="107" w:line="459" w:lineRule="exact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</w:tr>
    </w:tbl>
    <w:p>
      <w:pPr>
        <w:pStyle w:val="BodyText"/>
        <w:spacing w:before="8"/>
        <w:rPr>
          <w:sz w:val="16"/>
        </w:rPr>
      </w:pPr>
    </w:p>
    <w:p>
      <w:pPr>
        <w:pStyle w:val="BodyText"/>
        <w:spacing w:before="42"/>
        <w:ind w:left="1387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1311275</wp:posOffset>
            </wp:positionH>
            <wp:positionV relativeFrom="paragraph">
              <wp:posOffset>-2471547</wp:posOffset>
            </wp:positionV>
            <wp:extent cx="8715800" cy="2406967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5800" cy="2406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注：若环境温度小于5℃，加热时间应延长50％。</w:t>
      </w:r>
    </w:p>
    <w:p>
      <w:pPr>
        <w:pStyle w:val="BodyText"/>
        <w:spacing w:before="4"/>
        <w:rPr>
          <w:sz w:val="49"/>
        </w:rPr>
      </w:pPr>
    </w:p>
    <w:p>
      <w:pPr>
        <w:pStyle w:val="ListParagraph"/>
        <w:numPr>
          <w:ilvl w:val="0"/>
          <w:numId w:val="19"/>
        </w:numPr>
        <w:tabs>
          <w:tab w:val="left" w:pos="2018"/>
        </w:tabs>
        <w:spacing w:before="0" w:after="0" w:line="417" w:lineRule="auto"/>
        <w:ind w:left="757" w:right="1348" w:firstLine="629"/>
        <w:jc w:val="left"/>
        <w:rPr>
          <w:sz w:val="42"/>
        </w:rPr>
      </w:pPr>
      <w:r>
        <w:rPr>
          <w:spacing w:val="-1"/>
          <w:sz w:val="42"/>
        </w:rPr>
        <w:t>熔接弯头或三通时，按设计图纸要求，注意其方向，并在管件</w:t>
      </w:r>
      <w:r>
        <w:rPr>
          <w:sz w:val="42"/>
        </w:rPr>
        <w:t>和管材的直线方向上，用辅助标志标出其位置；</w:t>
      </w:r>
    </w:p>
    <w:p>
      <w:pPr>
        <w:pStyle w:val="ListParagraph"/>
        <w:numPr>
          <w:ilvl w:val="0"/>
          <w:numId w:val="19"/>
        </w:numPr>
        <w:tabs>
          <w:tab w:val="left" w:pos="2018"/>
        </w:tabs>
        <w:spacing w:before="0" w:after="0" w:line="417" w:lineRule="auto"/>
        <w:ind w:left="757" w:right="1293" w:firstLine="629"/>
        <w:jc w:val="left"/>
        <w:rPr>
          <w:sz w:val="42"/>
        </w:rPr>
      </w:pPr>
      <w:r>
        <w:rPr>
          <w:spacing w:val="-18"/>
          <w:sz w:val="42"/>
        </w:rPr>
        <w:t>连接时，无旋转地把管端导入加热套内，插入到所标志的深度</w:t>
      </w:r>
      <w:r>
        <w:rPr>
          <w:spacing w:val="-4"/>
          <w:sz w:val="42"/>
        </w:rPr>
        <w:t>，同时，无旋转地把管件推到加热头上，达到规定标志处。正常熔接</w:t>
      </w:r>
      <w:r>
        <w:rPr>
          <w:spacing w:val="-6"/>
          <w:sz w:val="42"/>
        </w:rPr>
        <w:t>在结合面应有一均匀的熔接圈。热熔连接施工必须使用专用热熔机具</w:t>
      </w:r>
      <w:r>
        <w:rPr>
          <w:sz w:val="42"/>
        </w:rPr>
        <w:t>,以保证熔接质量。安装时使用的专用热熔机具应由管材供应厂商提供。</w:t>
      </w:r>
    </w:p>
    <w:p>
      <w:pPr>
        <w:pStyle w:val="BodyText"/>
        <w:spacing w:line="417" w:lineRule="auto"/>
        <w:ind w:left="757" w:right="1570" w:firstLine="838"/>
      </w:pPr>
      <w:r>
        <w:t>加热时间，必须满足表1的规定；管径较大时，推入加热套时比较困难，可考虑采用法兰连接。</w:t>
      </w:r>
    </w:p>
    <w:p>
      <w:pPr>
        <w:pStyle w:val="ListParagraph"/>
        <w:numPr>
          <w:ilvl w:val="0"/>
          <w:numId w:val="19"/>
        </w:numPr>
        <w:tabs>
          <w:tab w:val="left" w:pos="2227"/>
        </w:tabs>
        <w:spacing w:before="0" w:after="0" w:line="417" w:lineRule="auto"/>
        <w:ind w:left="757" w:right="1504" w:firstLine="838"/>
        <w:jc w:val="both"/>
        <w:rPr>
          <w:sz w:val="42"/>
        </w:rPr>
      </w:pPr>
      <w:r>
        <w:rPr>
          <w:sz w:val="42"/>
        </w:rPr>
        <w:t>达到加热时间后，立即把管材与管件从加热套与加热头上同</w:t>
      </w:r>
      <w:r>
        <w:rPr>
          <w:spacing w:val="-14"/>
          <w:sz w:val="42"/>
        </w:rPr>
        <w:t>时取下，迅速无旋转地直线均匀插入到所标深度，使接头处形成均匀</w:t>
      </w:r>
      <w:r>
        <w:rPr>
          <w:sz w:val="42"/>
        </w:rPr>
        <w:t>凸缘；</w:t>
      </w:r>
    </w:p>
    <w:p>
      <w:pPr>
        <w:pStyle w:val="ListParagraph"/>
        <w:numPr>
          <w:ilvl w:val="0"/>
          <w:numId w:val="19"/>
        </w:numPr>
        <w:tabs>
          <w:tab w:val="left" w:pos="2227"/>
        </w:tabs>
        <w:spacing w:before="0" w:after="0" w:line="417" w:lineRule="auto"/>
        <w:ind w:left="757" w:right="1396" w:firstLine="838"/>
        <w:jc w:val="left"/>
        <w:rPr>
          <w:sz w:val="42"/>
        </w:rPr>
      </w:pPr>
      <w:r>
        <w:rPr>
          <w:spacing w:val="-22"/>
          <w:sz w:val="42"/>
        </w:rPr>
        <w:t>在表</w:t>
      </w:r>
      <w:r>
        <w:rPr>
          <w:sz w:val="42"/>
        </w:rPr>
        <w:t>1</w:t>
      </w:r>
      <w:r>
        <w:rPr>
          <w:spacing w:val="-1"/>
          <w:sz w:val="42"/>
        </w:rPr>
        <w:t>规定的加工时间内，刚熔接好的接头还可校正，但严禁</w:t>
      </w:r>
      <w:r>
        <w:rPr>
          <w:sz w:val="42"/>
        </w:rPr>
        <w:t>旋转。</w:t>
      </w:r>
    </w:p>
    <w:p>
      <w:pPr>
        <w:pStyle w:val="BodyText"/>
        <w:spacing w:line="417" w:lineRule="auto"/>
        <w:ind w:left="757" w:right="1485" w:firstLine="838"/>
        <w:jc w:val="both"/>
      </w:pPr>
      <w:r>
        <w:rPr>
          <w:spacing w:val="-13"/>
        </w:rPr>
        <w:t>在施工检查中，管材与管件连接处出现渗漏的主要原因就是施工</w:t>
      </w:r>
      <w:r>
        <w:rPr>
          <w:spacing w:val="-8"/>
        </w:rPr>
        <w:t>人员没有严格按照上述施工步骤施工所造成的，有的是没有达到加热</w:t>
      </w:r>
      <w:r>
        <w:rPr>
          <w:spacing w:val="-13"/>
        </w:rPr>
        <w:t>间，就将管材与管件从加热套和加热头上取下连接，有的是连接过程</w:t>
      </w:r>
    </w:p>
    <w:p>
      <w:pPr>
        <w:spacing w:after="0" w:line="417" w:lineRule="auto"/>
        <w:jc w:val="both"/>
        <w:sectPr>
          <w:headerReference w:type="default" r:id="rId22"/>
          <w:footerReference w:type="default" r:id="rId23"/>
          <w:pgSz w:w="17860" w:h="25260"/>
          <w:pgMar w:top="1520" w:right="1180" w:bottom="2020" w:left="1940" w:header="1084" w:footer="1820"/>
          <w:pgNumType w:start="7"/>
          <w:cols w:space="708"/>
        </w:sectPr>
      </w:pPr>
    </w:p>
    <w:p>
      <w:pPr>
        <w:pStyle w:val="BodyText"/>
        <w:spacing w:before="7"/>
        <w:rPr>
          <w:sz w:val="24"/>
        </w:rPr>
      </w:pPr>
    </w:p>
    <w:p>
      <w:pPr>
        <w:pStyle w:val="BodyText"/>
        <w:spacing w:before="42" w:line="417" w:lineRule="auto"/>
        <w:ind w:left="757" w:right="1512"/>
      </w:pPr>
      <w:r>
        <w:rPr>
          <w:spacing w:val="-13"/>
        </w:rPr>
        <w:t>中旋转管材和管件，使管材和管件的口径变小甚至会引起堵塞。因此</w:t>
      </w:r>
      <w:r>
        <w:t>在施工中必须按照上述步骤施工。</w:t>
      </w:r>
    </w:p>
    <w:p>
      <w:pPr>
        <w:pStyle w:val="ListParagraph"/>
        <w:numPr>
          <w:ilvl w:val="0"/>
          <w:numId w:val="26"/>
        </w:numPr>
        <w:tabs>
          <w:tab w:val="left" w:pos="2231"/>
        </w:tabs>
        <w:spacing w:before="0" w:after="0" w:line="240" w:lineRule="auto"/>
        <w:ind w:left="2230" w:right="0" w:hanging="1053"/>
        <w:jc w:val="left"/>
        <w:rPr>
          <w:sz w:val="42"/>
        </w:rPr>
      </w:pPr>
      <w:r>
        <w:rPr>
          <w:sz w:val="42"/>
        </w:rPr>
        <w:t>管道采用法兰连接的步骤如下：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8"/>
        </w:numPr>
        <w:tabs>
          <w:tab w:val="left" w:pos="2227"/>
        </w:tabs>
        <w:spacing w:before="1" w:after="0" w:line="240" w:lineRule="auto"/>
        <w:ind w:left="2226" w:right="0" w:hanging="632"/>
        <w:jc w:val="left"/>
        <w:rPr>
          <w:sz w:val="42"/>
        </w:rPr>
      </w:pPr>
      <w:r>
        <w:rPr>
          <w:sz w:val="42"/>
        </w:rPr>
        <w:t>法兰盘套在管道上。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8"/>
        </w:numPr>
        <w:tabs>
          <w:tab w:val="left" w:pos="2227"/>
        </w:tabs>
        <w:spacing w:before="0" w:after="0" w:line="417" w:lineRule="auto"/>
        <w:ind w:left="757" w:right="1283" w:firstLine="838"/>
        <w:jc w:val="left"/>
        <w:rPr>
          <w:sz w:val="42"/>
        </w:rPr>
      </w:pPr>
      <w:r>
        <w:rPr>
          <w:spacing w:val="-8"/>
          <w:sz w:val="42"/>
        </w:rPr>
        <w:t>校直两对应的连接件，使连接的两片法兰垂直于管道中心线</w:t>
      </w:r>
      <w:r>
        <w:rPr>
          <w:spacing w:val="-4"/>
          <w:sz w:val="42"/>
        </w:rPr>
        <w:t>，表面相互平行。</w:t>
      </w:r>
    </w:p>
    <w:p>
      <w:pPr>
        <w:pStyle w:val="ListParagraph"/>
        <w:numPr>
          <w:ilvl w:val="0"/>
          <w:numId w:val="18"/>
        </w:numPr>
        <w:tabs>
          <w:tab w:val="left" w:pos="2227"/>
        </w:tabs>
        <w:spacing w:before="0" w:after="0" w:line="240" w:lineRule="auto"/>
        <w:ind w:left="2226" w:right="0" w:hanging="632"/>
        <w:jc w:val="left"/>
        <w:rPr>
          <w:sz w:val="42"/>
        </w:rPr>
      </w:pPr>
      <w:r>
        <w:rPr>
          <w:sz w:val="42"/>
        </w:rPr>
        <w:t>法兰的衬垫，应采用耐热无毒橡胶圈。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8"/>
        </w:numPr>
        <w:tabs>
          <w:tab w:val="left" w:pos="2227"/>
        </w:tabs>
        <w:spacing w:before="0" w:after="0" w:line="417" w:lineRule="auto"/>
        <w:ind w:left="757" w:right="1560" w:firstLine="838"/>
        <w:jc w:val="left"/>
        <w:rPr>
          <w:sz w:val="42"/>
        </w:rPr>
      </w:pPr>
      <w:r>
        <w:rPr>
          <w:spacing w:val="-1"/>
          <w:sz w:val="42"/>
        </w:rPr>
        <w:t>应使用相同规格的螺栓，安装方向一致。螺栓应对称紧固。</w:t>
      </w:r>
      <w:r>
        <w:rPr>
          <w:sz w:val="42"/>
        </w:rPr>
        <w:t>紧固好的螺栓应露出螺母之外，宜齐平。螺栓螺帽宜采用镀锌件。</w:t>
      </w:r>
    </w:p>
    <w:p>
      <w:pPr>
        <w:pStyle w:val="ListParagraph"/>
        <w:numPr>
          <w:ilvl w:val="0"/>
          <w:numId w:val="18"/>
        </w:numPr>
        <w:tabs>
          <w:tab w:val="left" w:pos="2227"/>
        </w:tabs>
        <w:spacing w:before="0" w:after="0" w:line="417" w:lineRule="auto"/>
        <w:ind w:left="757" w:right="1560" w:firstLine="838"/>
        <w:jc w:val="left"/>
        <w:rPr>
          <w:sz w:val="4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1826744</wp:posOffset>
            </wp:positionH>
            <wp:positionV relativeFrom="paragraph">
              <wp:posOffset>953111</wp:posOffset>
            </wp:positionV>
            <wp:extent cx="1274618" cy="1254679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4618" cy="1254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42"/>
        </w:rPr>
        <w:t>连接管道的长度应精确，当紧固螺栓时，不应使管道产生轴</w:t>
      </w:r>
      <w:r>
        <w:rPr>
          <w:sz w:val="42"/>
        </w:rPr>
        <w:t>向拉力。</w:t>
      </w:r>
    </w:p>
    <w:p>
      <w:pPr>
        <w:pStyle w:val="ListParagraph"/>
        <w:numPr>
          <w:ilvl w:val="0"/>
          <w:numId w:val="18"/>
        </w:numPr>
        <w:tabs>
          <w:tab w:val="left" w:pos="2227"/>
        </w:tabs>
        <w:spacing w:before="0" w:after="0" w:line="417" w:lineRule="auto"/>
        <w:ind w:left="757" w:right="7036" w:firstLine="838"/>
        <w:jc w:val="left"/>
        <w:rPr>
          <w:sz w:val="42"/>
        </w:rPr>
      </w:pPr>
      <w:r>
        <w:rPr>
          <w:spacing w:val="-2"/>
          <w:sz w:val="42"/>
        </w:rPr>
        <w:t>法兰连接部位应设置支吊架。</w:t>
      </w:r>
      <w:r>
        <w:rPr>
          <w:spacing w:val="2"/>
          <w:sz w:val="42"/>
        </w:rPr>
        <w:t>二、 管道敷设</w:t>
      </w:r>
    </w:p>
    <w:p>
      <w:pPr>
        <w:pStyle w:val="BodyText"/>
        <w:spacing w:line="417" w:lineRule="auto"/>
        <w:ind w:left="757" w:right="1291" w:firstLine="838"/>
      </w:pPr>
      <w:r>
        <w:rPr>
          <w:spacing w:val="-7"/>
        </w:rPr>
        <w:t xml:space="preserve">所有的材料在受热时，体积和(或)长度都会变化。对于 </w:t>
      </w:r>
      <w:r>
        <w:t>PP-R</w:t>
      </w:r>
      <w:r>
        <w:rPr>
          <w:spacing w:val="1"/>
        </w:rPr>
        <w:t xml:space="preserve"> 管</w:t>
      </w:r>
      <w:r>
        <w:rPr>
          <w:spacing w:val="-21"/>
        </w:rPr>
        <w:t xml:space="preserve">道来说，其线性膨胀系数较大，相对而言，可以忽略它在径向的变化， </w:t>
      </w:r>
      <w:r>
        <w:t>只考虑它长度的变化。</w:t>
      </w:r>
    </w:p>
    <w:p>
      <w:pPr>
        <w:pStyle w:val="BodyText"/>
        <w:spacing w:line="537" w:lineRule="exact"/>
        <w:ind w:left="757"/>
      </w:pPr>
      <w:r>
        <w:pict>
          <v:group id="_x0000_s1046" style="width:379pt;height:51pt;margin-top:17.12pt;margin-left:230pt;mso-position-horizontal-relative:page;position:absolute;z-index:-251653120" coordorigin="4600,342" coordsize="7580,1020">
            <v:shape id="_x0000_s1047" type="#_x0000_t75" style="width:3780;height:820;left:4600;position:absolute;top:342" stroked="f">
              <v:imagedata r:id="rId24" o:title=""/>
            </v:shape>
            <v:shape id="_x0000_s1048" type="#_x0000_t75" style="width:3740;height:1020;left:8440;position:absolute;top:342" stroked="f">
              <v:imagedata r:id="rId25" o:title=""/>
            </v:shape>
          </v:group>
        </w:pict>
      </w:r>
      <w:r>
        <w:t>1、管道膨胀量的计算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17" w:lineRule="auto"/>
        <w:ind w:left="1595" w:right="6628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3770037</wp:posOffset>
            </wp:positionH>
            <wp:positionV relativeFrom="paragraph">
              <wp:posOffset>368934</wp:posOffset>
            </wp:positionV>
            <wp:extent cx="1940277" cy="310388"/>
            <wp:effectExtent l="0" t="0" r="0" b="0"/>
            <wp:wrapNone/>
            <wp:docPr id="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0277" cy="310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膨胀量的计算方法：ΔL= LΔt·α 式中：</w:t>
      </w:r>
    </w:p>
    <w:p>
      <w:pPr>
        <w:pStyle w:val="BodyText"/>
        <w:ind w:left="1595"/>
      </w:pPr>
      <w:r>
        <w:t>L - 管子长度 (m)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595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7049410</wp:posOffset>
            </wp:positionH>
            <wp:positionV relativeFrom="paragraph">
              <wp:posOffset>337693</wp:posOffset>
            </wp:positionV>
            <wp:extent cx="2028472" cy="324612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8472" cy="324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Δt - 安装时室温和工作温度之差 (℃)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595"/>
      </w:pPr>
      <w:r>
        <w:rPr>
          <w:smallCaps/>
          <w:w w:val="125"/>
        </w:rPr>
        <w:t>α</w:t>
      </w:r>
      <w:r>
        <w:rPr>
          <w:smallCaps w:val="0"/>
        </w:rPr>
        <w:t xml:space="preserve"> </w:t>
      </w:r>
      <w:r>
        <w:rPr>
          <w:smallCaps w:val="0"/>
          <w:w w:val="100"/>
        </w:rPr>
        <w:t>-</w:t>
      </w:r>
      <w:r>
        <w:rPr>
          <w:smallCaps w:val="0"/>
          <w:spacing w:val="-2"/>
        </w:rPr>
        <w:t xml:space="preserve"> </w:t>
      </w:r>
      <w:r>
        <w:rPr>
          <w:smallCaps w:val="0"/>
          <w:w w:val="100"/>
        </w:rPr>
        <w:t>膨胀系数</w:t>
      </w:r>
      <w:r>
        <w:rPr>
          <w:smallCaps w:val="0"/>
          <w:spacing w:val="-4"/>
        </w:rPr>
        <w:t xml:space="preserve"> </w:t>
      </w:r>
      <w:r>
        <w:rPr>
          <w:smallCaps w:val="0"/>
          <w:w w:val="100"/>
        </w:rPr>
        <w:t>（0.15</w:t>
      </w:r>
      <w:r>
        <w:rPr>
          <w:smallCaps w:val="0"/>
        </w:rPr>
        <w:t xml:space="preserve"> </w:t>
      </w:r>
      <w:r>
        <w:rPr>
          <w:smallCaps w:val="0"/>
          <w:w w:val="100"/>
        </w:rPr>
        <w:t>mm/</w:t>
      </w:r>
      <w:r>
        <w:rPr>
          <w:smallCaps w:val="0"/>
          <w:spacing w:val="-6"/>
          <w:w w:val="100"/>
        </w:rPr>
        <w:t>m</w:t>
      </w:r>
      <w:r>
        <w:rPr>
          <w:smallCaps w:val="0"/>
          <w:w w:val="100"/>
        </w:rPr>
        <w:t>℃）</w:t>
      </w:r>
    </w:p>
    <w:p>
      <w:pPr>
        <w:spacing w:after="0"/>
        <w:sectPr>
          <w:headerReference w:type="default" r:id="rId27"/>
          <w:footerReference w:type="default" r:id="rId28"/>
          <w:pgSz w:w="17860" w:h="25260"/>
          <w:pgMar w:top="1520" w:right="1180" w:bottom="2020" w:left="1940" w:header="1084" w:footer="1820"/>
          <w:pgNumType w:start="8"/>
          <w:cols w:space="708"/>
        </w:sectPr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before="26"/>
        <w:ind w:left="1595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ΔL - 管道长度为L 时的线膨胀度 (mm)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spacing w:line="417" w:lineRule="auto"/>
        <w:ind w:left="757" w:right="1291" w:firstLine="838"/>
        <w:rPr>
          <w:rFonts w:ascii="幼圆" w:eastAsia="幼圆" w:hint="eastAsia"/>
        </w:rPr>
      </w:pPr>
      <w:r>
        <w:rPr>
          <w:rFonts w:ascii="幼圆" w:eastAsia="幼圆" w:hint="eastAsia"/>
          <w:spacing w:val="-22"/>
        </w:rPr>
        <w:t>由此可见，膨胀量只取决于管道的长度和温度，与管径大小无关。</w:t>
      </w:r>
      <w:r>
        <w:rPr>
          <w:rFonts w:ascii="幼圆" w:eastAsia="幼圆" w:hint="eastAsia"/>
        </w:rPr>
        <w:t>2 、膨胀力的计算</w:t>
      </w:r>
    </w:p>
    <w:p>
      <w:pPr>
        <w:pStyle w:val="BodyText"/>
        <w:spacing w:line="417" w:lineRule="auto"/>
        <w:ind w:left="1595" w:right="7674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计算公式：Ft=E·A·α·Δt 式中：</w:t>
      </w:r>
    </w:p>
    <w:p>
      <w:pPr>
        <w:pStyle w:val="BodyText"/>
        <w:spacing w:line="537" w:lineRule="exact"/>
        <w:ind w:left="1595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Ft – 膨胀力 （N）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spacing w:line="417" w:lineRule="auto"/>
        <w:ind w:left="1595" w:right="861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E – 弹性模量 （N/m</w:t>
      </w:r>
      <w:r>
        <w:rPr>
          <w:rFonts w:ascii="幼圆" w:eastAsia="幼圆" w:hAnsi="幼圆" w:hint="eastAsia"/>
          <w:position w:val="3"/>
          <w:sz w:val="21"/>
        </w:rPr>
        <w:t>2</w:t>
      </w:r>
      <w:r>
        <w:rPr>
          <w:rFonts w:ascii="幼圆" w:eastAsia="幼圆" w:hAnsi="幼圆" w:hint="eastAsia"/>
        </w:rPr>
        <w:t>） A – 管道截面积 （m</w:t>
      </w:r>
      <w:r>
        <w:rPr>
          <w:rFonts w:ascii="幼圆" w:eastAsia="幼圆" w:hAnsi="幼圆" w:hint="eastAsia"/>
          <w:position w:val="3"/>
          <w:sz w:val="21"/>
        </w:rPr>
        <w:t>2</w:t>
      </w:r>
      <w:r>
        <w:rPr>
          <w:rFonts w:ascii="幼圆" w:eastAsia="幼圆" w:hAnsi="幼圆" w:hint="eastAsia"/>
        </w:rPr>
        <w:t>）</w:t>
      </w:r>
    </w:p>
    <w:p>
      <w:pPr>
        <w:pStyle w:val="BodyText"/>
        <w:spacing w:line="537" w:lineRule="exact"/>
        <w:ind w:left="1595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α – 膨胀系数 （0.15mm/m℃）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ind w:left="1595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Δt – 使用平均温度与安装温度之差值 （℃）</w:t>
      </w:r>
    </w:p>
    <w:p>
      <w:pPr>
        <w:pStyle w:val="BodyText"/>
        <w:rPr>
          <w:rFonts w:ascii="幼圆"/>
          <w:sz w:val="31"/>
        </w:rPr>
      </w:pPr>
    </w:p>
    <w:p>
      <w:pPr>
        <w:pStyle w:val="BodyText"/>
        <w:spacing w:before="1" w:line="417" w:lineRule="auto"/>
        <w:ind w:left="757" w:right="1344" w:firstLine="838"/>
        <w:rPr>
          <w:rFonts w:ascii="幼圆" w:eastAsia="幼圆" w:hint="eastAsia"/>
        </w:rPr>
      </w:pPr>
      <w:r>
        <w:rPr>
          <w:rFonts w:ascii="幼圆" w:eastAsia="幼圆" w:hint="eastAsia"/>
        </w:rPr>
        <w:t>PP-R</w:t>
      </w:r>
      <w:r>
        <w:rPr>
          <w:rFonts w:ascii="幼圆" w:eastAsia="幼圆" w:hint="eastAsia"/>
          <w:spacing w:val="-12"/>
        </w:rPr>
        <w:t>管的膨胀力是很小的，在一定的长度范围内，可以采用机械</w:t>
      </w:r>
      <w:r>
        <w:rPr>
          <w:rFonts w:ascii="幼圆" w:eastAsia="幼圆" w:hint="eastAsia"/>
          <w:spacing w:val="-13"/>
        </w:rPr>
        <w:t>手段加以限制。在实际应用当中，管道埋设于砖石结构中；这时，自</w:t>
      </w:r>
      <w:r>
        <w:rPr>
          <w:rFonts w:ascii="幼圆" w:eastAsia="幼圆" w:hint="eastAsia"/>
        </w:rPr>
        <w:t>然产生的摩擦力，就会抵消它们的膨胀，而无须专门地预防它。</w:t>
      </w:r>
    </w:p>
    <w:p>
      <w:pPr>
        <w:pStyle w:val="BodyText"/>
        <w:spacing w:line="417" w:lineRule="auto"/>
        <w:ind w:left="966" w:right="9952" w:hanging="209"/>
        <w:rPr>
          <w:rFonts w:ascii="幼圆" w:eastAsia="幼圆" w:hint="eastAsia"/>
        </w:rPr>
      </w:pPr>
      <w:r>
        <w:rPr>
          <w:rFonts w:ascii="幼圆" w:eastAsia="幼圆" w:hint="eastAsia"/>
        </w:rPr>
        <w:t>三、 试压及冲洗消毒1、试压</w:t>
      </w:r>
    </w:p>
    <w:p>
      <w:pPr>
        <w:pStyle w:val="BodyText"/>
        <w:spacing w:line="417" w:lineRule="auto"/>
        <w:ind w:left="757" w:right="1505" w:firstLine="838"/>
        <w:rPr>
          <w:rFonts w:ascii="幼圆" w:eastAsia="幼圆" w:hint="eastAsia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3657853</wp:posOffset>
            </wp:positionH>
            <wp:positionV relativeFrom="paragraph">
              <wp:posOffset>292735</wp:posOffset>
            </wp:positionV>
            <wp:extent cx="2010833" cy="321690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833" cy="321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pacing w:val="-10"/>
        </w:rPr>
        <w:t>所有的安装管网都要排空并进行压力试验。冷水管试验压力应为</w:t>
      </w:r>
      <w:r>
        <w:rPr>
          <w:rFonts w:ascii="幼圆" w:eastAsia="幼圆" w:hint="eastAsia"/>
          <w:spacing w:val="-2"/>
        </w:rPr>
        <w:t>管道系统工作压力的</w:t>
      </w:r>
      <w:r>
        <w:rPr>
          <w:rFonts w:ascii="幼圆" w:eastAsia="幼圆" w:hint="eastAsia"/>
        </w:rPr>
        <w:t>1.5</w:t>
      </w:r>
      <w:r>
        <w:rPr>
          <w:rFonts w:ascii="幼圆" w:eastAsia="幼圆" w:hint="eastAsia"/>
          <w:spacing w:val="-1"/>
        </w:rPr>
        <w:t>倍，但不得小于</w:t>
      </w:r>
      <w:r>
        <w:rPr>
          <w:rFonts w:ascii="幼圆" w:eastAsia="幼圆" w:hint="eastAsia"/>
        </w:rPr>
        <w:t>1.0MPa；</w:t>
      </w:r>
    </w:p>
    <w:p>
      <w:pPr>
        <w:pStyle w:val="ListParagraph"/>
        <w:numPr>
          <w:ilvl w:val="0"/>
          <w:numId w:val="17"/>
        </w:numPr>
        <w:tabs>
          <w:tab w:val="left" w:pos="2439"/>
        </w:tabs>
        <w:spacing w:before="0" w:after="0" w:line="537" w:lineRule="exact"/>
        <w:ind w:left="2438" w:right="0" w:hanging="1261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试验的准备</w:t>
      </w:r>
    </w:p>
    <w:p>
      <w:pPr>
        <w:pStyle w:val="BodyText"/>
        <w:rPr>
          <w:rFonts w:ascii="幼圆"/>
          <w:sz w:val="31"/>
        </w:rPr>
      </w:pPr>
    </w:p>
    <w:p>
      <w:pPr>
        <w:pStyle w:val="BodyText"/>
        <w:spacing w:line="417" w:lineRule="auto"/>
        <w:ind w:left="757" w:right="1511" w:firstLine="838"/>
        <w:rPr>
          <w:rFonts w:ascii="幼圆" w:eastAsia="幼圆" w:hint="eastAsia"/>
        </w:rPr>
      </w:pPr>
      <w:r>
        <w:rPr>
          <w:rFonts w:ascii="幼圆" w:eastAsia="幼圆" w:hint="eastAsia"/>
          <w:spacing w:val="-1"/>
        </w:rPr>
        <w:t>水压试验时间应在热熔管道连接</w:t>
      </w:r>
      <w:r>
        <w:rPr>
          <w:rFonts w:ascii="幼圆" w:eastAsia="幼圆" w:hint="eastAsia"/>
        </w:rPr>
        <w:t>24 小时后进行，在管道安装完</w:t>
      </w:r>
      <w:r>
        <w:rPr>
          <w:rFonts w:ascii="幼圆" w:eastAsia="幼圆" w:hint="eastAsia"/>
          <w:spacing w:val="-11"/>
        </w:rPr>
        <w:t>毕之后而尚未隐封起来之前，要先向管路内通水并排出气体。如果可</w:t>
      </w:r>
      <w:r>
        <w:rPr>
          <w:rFonts w:ascii="幼圆" w:eastAsia="幼圆" w:hint="eastAsia"/>
        </w:rPr>
        <w:t>能的话，要把压力泵按放在系统的最低处。采用能够读出变化值为0.01MPa 压力的压力表，压力表要安装在被试管网的最低点。</w:t>
      </w:r>
    </w:p>
    <w:p>
      <w:pPr>
        <w:spacing w:after="0" w:line="417" w:lineRule="auto"/>
        <w:rPr>
          <w:rFonts w:ascii="幼圆" w:eastAsia="幼圆" w:hint="eastAsia"/>
        </w:rPr>
        <w:sectPr>
          <w:headerReference w:type="default" r:id="rId29"/>
          <w:footerReference w:type="default" r:id="rId30"/>
          <w:pgSz w:w="17860" w:h="25260"/>
          <w:pgMar w:top="1520" w:right="1180" w:bottom="2020" w:left="1940" w:header="1084" w:footer="1820"/>
          <w:pgNumType w:start="9"/>
          <w:cols w:space="708"/>
        </w:sectPr>
      </w:pPr>
    </w:p>
    <w:p>
      <w:pPr>
        <w:pStyle w:val="BodyText"/>
        <w:spacing w:before="7"/>
        <w:rPr>
          <w:rFonts w:ascii="幼圆"/>
          <w:sz w:val="24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8894998</wp:posOffset>
            </wp:positionH>
            <wp:positionV relativeFrom="page">
              <wp:posOffset>15055626</wp:posOffset>
            </wp:positionV>
            <wp:extent cx="1311563" cy="982948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1563" cy="982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7"/>
        </w:numPr>
        <w:tabs>
          <w:tab w:val="left" w:pos="2439"/>
        </w:tabs>
        <w:spacing w:before="42" w:after="0" w:line="240" w:lineRule="auto"/>
        <w:ind w:left="2438" w:right="0" w:hanging="1261"/>
        <w:jc w:val="left"/>
        <w:rPr>
          <w:sz w:val="42"/>
        </w:rPr>
      </w:pPr>
      <w:r>
        <w:rPr>
          <w:sz w:val="42"/>
        </w:rPr>
        <w:t>试验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757" w:right="1451" w:firstLine="838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3029204</wp:posOffset>
            </wp:positionH>
            <wp:positionV relativeFrom="paragraph">
              <wp:posOffset>2960623</wp:posOffset>
            </wp:positionV>
            <wp:extent cx="2010833" cy="321691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833" cy="321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>增大压力到规定的试验压力值。一小时之后开始试验。在这个时期虽然有压力损失，也不能增大压力。试验压力变化要小于或等于0.05MPa</w:t>
      </w:r>
      <w:r>
        <w:rPr>
          <w:spacing w:val="-16"/>
        </w:rPr>
        <w:t>。在工作压力的</w:t>
      </w:r>
      <w:r>
        <w:t>1.15</w:t>
      </w:r>
      <w:r>
        <w:rPr>
          <w:spacing w:val="-6"/>
        </w:rPr>
        <w:t xml:space="preserve"> 倍状态下，稳压</w:t>
      </w:r>
      <w:r>
        <w:t>2</w:t>
      </w:r>
      <w:r>
        <w:rPr>
          <w:spacing w:val="-2"/>
        </w:rPr>
        <w:t xml:space="preserve"> 小时，压力降不得超</w:t>
      </w:r>
      <w:r>
        <w:t>过0.03MPa，同时检查各连接处不得渗漏。对试压管道应采取安全有</w:t>
      </w:r>
      <w:r>
        <w:rPr>
          <w:spacing w:val="-1"/>
        </w:rPr>
        <w:t>效的固定保护措施,但接头部位必须明露。此项试验在各末端开口处</w:t>
      </w:r>
      <w:r>
        <w:rPr>
          <w:spacing w:val="-2"/>
        </w:rPr>
        <w:t>用管帽封堵,所有配水器具、水表均不安装。为了能正确地辨别隐蔽</w:t>
      </w:r>
      <w:r>
        <w:rPr>
          <w:spacing w:val="-4"/>
        </w:rPr>
        <w:t>管道的真实位置,隐蔽后的管道应在地面用红色油漆标识管道位置, 防止在土建和其他工种施工过程中破坏管道。</w:t>
      </w:r>
    </w:p>
    <w:p>
      <w:pPr>
        <w:pStyle w:val="ListParagraph"/>
        <w:numPr>
          <w:ilvl w:val="0"/>
          <w:numId w:val="27"/>
        </w:numPr>
        <w:tabs>
          <w:tab w:val="left" w:pos="2018"/>
        </w:tabs>
        <w:spacing w:before="0" w:after="0" w:line="536" w:lineRule="exact"/>
        <w:ind w:left="2018" w:right="0" w:hanging="1052"/>
        <w:jc w:val="left"/>
        <w:rPr>
          <w:sz w:val="40"/>
        </w:rPr>
      </w:pPr>
      <w:r>
        <w:rPr>
          <w:sz w:val="42"/>
        </w:rPr>
        <w:t>管道通水及冲洗消毒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178"/>
      </w:pPr>
      <w:r>
        <w:t>（1） 管道通水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757" w:right="1566" w:firstLine="629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4667503</wp:posOffset>
            </wp:positionH>
            <wp:positionV relativeFrom="paragraph">
              <wp:posOffset>160401</wp:posOffset>
            </wp:positionV>
            <wp:extent cx="2010833" cy="321691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833" cy="321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水压试验全部合格后,在供水设备具备供水条件,减压装置已调至规定的数值,各用户末端的配水器具安装完毕,室内外排水系统和设施均具备使用条件的情况下,可进行全系统通水试验。其目的在于检验供水系统的供水能力、水压是否满足设计和规范规定。</w:t>
      </w:r>
    </w:p>
    <w:p>
      <w:pPr>
        <w:pStyle w:val="ListParagraph"/>
        <w:numPr>
          <w:ilvl w:val="0"/>
          <w:numId w:val="16"/>
        </w:numPr>
        <w:tabs>
          <w:tab w:val="left" w:pos="2226"/>
        </w:tabs>
        <w:spacing w:before="0" w:after="0" w:line="537" w:lineRule="exact"/>
        <w:ind w:left="2225" w:right="0" w:hanging="1260"/>
        <w:jc w:val="left"/>
        <w:rPr>
          <w:sz w:val="42"/>
        </w:rPr>
      </w:pPr>
      <w:r>
        <w:rPr>
          <w:sz w:val="42"/>
        </w:rPr>
        <w:t>管道冲洗消毒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757" w:right="1344" w:firstLine="629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6265972</wp:posOffset>
            </wp:positionH>
            <wp:positionV relativeFrom="paragraph">
              <wp:posOffset>941751</wp:posOffset>
            </wp:positionV>
            <wp:extent cx="1311563" cy="1291115"/>
            <wp:effectExtent l="0" t="0" r="0" b="0"/>
            <wp:wrapNone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1563" cy="1291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2514276</wp:posOffset>
            </wp:positionH>
            <wp:positionV relativeFrom="paragraph">
              <wp:posOffset>215196</wp:posOffset>
            </wp:positionV>
            <wp:extent cx="1385454" cy="1363862"/>
            <wp:effectExtent l="0" t="0" r="0" b="0"/>
            <wp:wrapNone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5454" cy="1363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 xml:space="preserve">给水管道系统在验收前应进行通水冲洗。冲洗水流速宜&gt; </w:t>
      </w:r>
      <w:r>
        <w:t>2</w:t>
      </w:r>
      <w:r>
        <w:rPr>
          <w:spacing w:val="-81"/>
        </w:rPr>
        <w:t xml:space="preserve"> </w:t>
      </w:r>
      <w:r>
        <w:t>m/</w:t>
      </w:r>
      <w:r>
        <w:rPr>
          <w:spacing w:val="-82"/>
        </w:rPr>
        <w:t xml:space="preserve"> </w:t>
      </w:r>
      <w:r>
        <w:t>s</w:t>
      </w:r>
      <w:r>
        <w:rPr>
          <w:spacing w:val="-41"/>
        </w:rPr>
        <w:t xml:space="preserve"> , </w:t>
      </w:r>
      <w:r>
        <w:rPr>
          <w:spacing w:val="-18"/>
        </w:rPr>
        <w:t>冲洗时应不流死角,每个配水点龙头都应打开,在系统最低点设放水 口,直至冲洗出口处排水水质与进水相当为止。管道冲洗完在使用前应采用游离氯浓度为</w:t>
      </w:r>
      <w:r>
        <w:t xml:space="preserve">20～30 mg/ </w:t>
      </w:r>
      <w:r>
        <w:rPr>
          <w:spacing w:val="-4"/>
        </w:rPr>
        <w:t>L</w:t>
      </w:r>
      <w:r>
        <w:rPr>
          <w:spacing w:val="-2"/>
        </w:rPr>
        <w:t>的水灌满管道进行消毒,含氯水在</w:t>
      </w:r>
      <w:r>
        <w:rPr>
          <w:spacing w:val="-3"/>
        </w:rPr>
        <w:t>管中应静置</w:t>
      </w:r>
      <w:r>
        <w:t>24</w:t>
      </w:r>
      <w:r>
        <w:rPr>
          <w:spacing w:val="-91"/>
        </w:rPr>
        <w:t xml:space="preserve"> </w:t>
      </w:r>
      <w:r>
        <w:t>h以上。管道消毒后，用饮用水冲洗，并经卫生监督管</w:t>
      </w:r>
      <w:r>
        <w:rPr>
          <w:spacing w:val="-1"/>
        </w:rPr>
        <w:t>理部门取样检验，水质符合现行的国家标准《生活饮用水卫生标准》</w:t>
      </w:r>
    </w:p>
    <w:p>
      <w:pPr>
        <w:spacing w:after="0" w:line="417" w:lineRule="auto"/>
        <w:sectPr>
          <w:headerReference w:type="default" r:id="rId32"/>
          <w:footerReference w:type="default" r:id="rId33"/>
          <w:pgSz w:w="17860" w:h="25260"/>
          <w:pgMar w:top="1520" w:right="1180" w:bottom="2020" w:left="1940" w:header="1084" w:footer="1820"/>
          <w:pgNumType w:start="10"/>
          <w:cols w:space="708"/>
        </w:sectPr>
      </w:pPr>
    </w:p>
    <w:p>
      <w:pPr>
        <w:pStyle w:val="BodyText"/>
        <w:spacing w:before="7"/>
        <w:rPr>
          <w:sz w:val="24"/>
        </w:rPr>
      </w:pPr>
    </w:p>
    <w:p>
      <w:pPr>
        <w:pStyle w:val="BodyText"/>
        <w:spacing w:before="42" w:line="417" w:lineRule="auto"/>
        <w:ind w:left="757" w:right="10189"/>
      </w:pPr>
      <w:r>
        <w:t>后，方可交付使用。四、 材料的节约</w:t>
      </w:r>
    </w:p>
    <w:p>
      <w:pPr>
        <w:pStyle w:val="BodyText"/>
        <w:ind w:left="757"/>
      </w:pPr>
      <w:r>
        <w:t>1、管件的合理使用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757" w:right="1496" w:firstLine="842"/>
        <w:jc w:val="both"/>
      </w:pPr>
      <w:r>
        <w:t>由于PP-R</w:t>
      </w:r>
      <w:r>
        <w:rPr>
          <w:spacing w:val="-13"/>
        </w:rPr>
        <w:t>管配件的价格比较昂贵，在管道安装中尽量减少管配件的使用，尤其是管径较大的干立管更应注意管件的合理使用，以降低工程造价。</w:t>
      </w:r>
    </w:p>
    <w:p>
      <w:pPr>
        <w:pStyle w:val="BodyText"/>
        <w:spacing w:line="538" w:lineRule="exact"/>
        <w:ind w:left="1178"/>
      </w:pPr>
      <w:r>
        <w:t>2、利用管道的修补技术节约管件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757" w:right="1506" w:firstLine="1259"/>
        <w:jc w:val="both"/>
      </w:pPr>
      <w:r>
        <w:rPr>
          <w:spacing w:val="-2"/>
        </w:rPr>
        <w:t>在施工过程中管道难免会受到损伤以致造成渗漏，可采用</w:t>
      </w:r>
      <w:r>
        <w:t>7毫</w:t>
      </w:r>
      <w:r>
        <w:rPr>
          <w:spacing w:val="-1"/>
        </w:rPr>
        <w:t>米或12毫米的修补加热头和</w:t>
      </w:r>
      <w:r>
        <w:t>PP-R</w:t>
      </w:r>
      <w:r>
        <w:rPr>
          <w:spacing w:val="-18"/>
        </w:rPr>
        <w:t>补洞棒进行修补。</w:t>
      </w:r>
      <w:r>
        <w:t>PP-R</w:t>
      </w:r>
      <w:r>
        <w:rPr>
          <w:spacing w:val="-3"/>
        </w:rPr>
        <w:t>管配件的规格</w:t>
      </w:r>
      <w:r>
        <w:rPr>
          <w:spacing w:val="-14"/>
        </w:rPr>
        <w:t>不甚齐全，可把修补管道的技术扩展到在大管上种小管，减少管件的</w:t>
      </w:r>
      <w:r>
        <w:t>使用，节约成本。</w:t>
      </w:r>
    </w:p>
    <w:p>
      <w:pPr>
        <w:pStyle w:val="BodyText"/>
        <w:spacing w:line="537" w:lineRule="exact"/>
        <w:ind w:left="757"/>
        <w:jc w:val="both"/>
      </w:pPr>
      <w:r>
        <w:t>五、 质量控制措施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 w:line="417" w:lineRule="auto"/>
        <w:ind w:left="757" w:right="1503" w:firstLine="838"/>
        <w:jc w:val="both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2231124</wp:posOffset>
            </wp:positionH>
            <wp:positionV relativeFrom="paragraph">
              <wp:posOffset>1796115</wp:posOffset>
            </wp:positionV>
            <wp:extent cx="1724890" cy="540348"/>
            <wp:effectExtent l="0" t="0" r="0" b="0"/>
            <wp:wrapNone/>
            <wp:docPr id="25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jpe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4890" cy="540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在施工前,先进行包括工程特点、设计要求及本工艺规定内容的施工技术交底。增强施工人员的质量意识,调集责任心强、经验丰富</w:t>
      </w:r>
      <w:r>
        <w:rPr>
          <w:spacing w:val="-14"/>
        </w:rPr>
        <w:t>的人员参与施工。设立专职质检员进行过程控制。保管好各类施工机</w:t>
      </w:r>
      <w:r>
        <w:t>具,特别是要保证热熔焊接机处于良好的工作状态。设置严密的质量控制体系,实行分级控制,每道工序都要进行检查,合格后方可进入下道工序。</w:t>
      </w:r>
    </w:p>
    <w:p>
      <w:pPr>
        <w:pStyle w:val="BodyText"/>
        <w:spacing w:line="537" w:lineRule="exact"/>
        <w:ind w:left="1595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5390735</wp:posOffset>
            </wp:positionH>
            <wp:positionV relativeFrom="paragraph">
              <wp:posOffset>343484</wp:posOffset>
            </wp:positionV>
            <wp:extent cx="776036" cy="754448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036" cy="754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二、拦河坝施工方案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757" w:right="1344" w:firstLine="878"/>
        <w:jc w:val="both"/>
      </w:pPr>
      <w:r>
        <w:t>一）本工程中12个拦河坝集雨面积都小于4km</w:t>
      </w:r>
      <w:r>
        <w:rPr>
          <w:position w:val="3"/>
          <w:sz w:val="29"/>
        </w:rPr>
        <w:t>2</w:t>
      </w:r>
      <w:r>
        <w:t>，坝高只有3m，施工期短，加些坝的施工导游方式可采用在坝址上游5～10m处用沙包筑一临时围堰，用明沟或管道将水引至下游，就能进行坝基开挖。坝基</w:t>
      </w:r>
    </w:p>
    <w:p>
      <w:pPr>
        <w:spacing w:after="0" w:line="417" w:lineRule="auto"/>
        <w:jc w:val="both"/>
        <w:sectPr>
          <w:headerReference w:type="default" r:id="rId36"/>
          <w:footerReference w:type="default" r:id="rId37"/>
          <w:pgSz w:w="17860" w:h="25260"/>
          <w:pgMar w:top="1520" w:right="1180" w:bottom="2020" w:left="1940" w:header="1084" w:footer="1820"/>
          <w:pgNumType w:start="11"/>
          <w:cols w:space="708"/>
        </w:sectPr>
      </w:pPr>
    </w:p>
    <w:p>
      <w:pPr>
        <w:pStyle w:val="BodyText"/>
        <w:spacing w:before="7"/>
        <w:rPr>
          <w:sz w:val="24"/>
        </w:rPr>
      </w:pPr>
    </w:p>
    <w:p>
      <w:pPr>
        <w:pStyle w:val="BodyText"/>
        <w:spacing w:before="42"/>
        <w:ind w:left="757"/>
      </w:pPr>
      <w:r>
        <w:t>用可用汽油钻孔机钻孔、人工爆破、人工挥动石渣。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35"/>
      </w:pPr>
      <w:r>
        <w:t>浆砌拦河坝，采用人工挑动石料，沙浆至作业面，由技工摆石座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757"/>
      </w:pPr>
      <w:r>
        <w:t>浆。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757" w:right="1344" w:firstLine="878"/>
      </w:pPr>
      <w:r>
        <w:t>泥浆循环系统的泥浆地和沉砂池的容积，必须满足施工储浆和沉砂的要求。所需管材、滤料等物料必须按设计要求在开钻前备好，并及时运到施工现场。</w:t>
      </w:r>
    </w:p>
    <w:p>
      <w:pPr>
        <w:pStyle w:val="BodyText"/>
        <w:spacing w:line="538" w:lineRule="exact"/>
        <w:ind w:left="1595"/>
      </w:pPr>
      <w:r>
        <w:t>二、水池工程施工方案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757" w:right="1492" w:firstLine="878"/>
      </w:pPr>
      <w:r>
        <w:rPr>
          <w:spacing w:val="-15"/>
        </w:rPr>
        <w:t>各水池都采用进入式布置，必须将水池一半以上的高度进入地面</w:t>
      </w:r>
      <w:r>
        <w:t>以下。同时还应控制水池建基面位于风华石基础上，以策安全。</w:t>
      </w:r>
    </w:p>
    <w:p>
      <w:pPr>
        <w:pStyle w:val="BodyText"/>
        <w:spacing w:line="417" w:lineRule="auto"/>
        <w:ind w:left="757" w:right="1348" w:firstLine="838"/>
      </w:pPr>
      <w:r>
        <w:t>砌筑水池要严把质量关，作到尺寸准确，坐浆饱满，水池不漏水三、 清理承口</w:t>
      </w:r>
    </w:p>
    <w:p>
      <w:pPr>
        <w:pStyle w:val="BodyText"/>
        <w:spacing w:line="417" w:lineRule="auto"/>
        <w:ind w:left="757" w:right="1348" w:firstLine="838"/>
      </w:pPr>
      <w:r>
        <w:t>清刷承口，铲去所有粘结物，如砂子、泥土和松散土涂层及可能污染水质、划破胶圈的附着物。</w:t>
      </w:r>
    </w:p>
    <w:p>
      <w:pPr>
        <w:pStyle w:val="BodyText"/>
        <w:ind w:left="1595"/>
      </w:pPr>
      <w:r>
        <w:t>四、清理胶圈，上胶圈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17" w:lineRule="auto"/>
        <w:ind w:left="757" w:right="1344" w:firstLine="838"/>
      </w:pPr>
      <w:r>
        <w:rPr>
          <w:spacing w:val="-13"/>
        </w:rPr>
        <w:t>将胶圈清理洁净，上胶圈时，使胶圈弯成心形或花形放在承口槽</w:t>
      </w:r>
      <w:r>
        <w:rPr>
          <w:spacing w:val="-14"/>
        </w:rPr>
        <w:t xml:space="preserve">内就位，并用手压实，确保各个部位不翘不扭。胶圈存放注意避光， </w:t>
      </w:r>
      <w:r>
        <w:t>不要叠合挤压，长期贮存在盒子里面，或用其他东西罩上。</w:t>
      </w:r>
    </w:p>
    <w:p>
      <w:pPr>
        <w:pStyle w:val="BodyText"/>
        <w:spacing w:line="537" w:lineRule="exact"/>
        <w:ind w:left="1595"/>
      </w:pPr>
      <w:r>
        <w:t>五、清理插口表面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417" w:lineRule="auto"/>
        <w:ind w:left="757" w:right="1496" w:firstLine="838"/>
        <w:jc w:val="both"/>
      </w:pPr>
      <w:r>
        <w:rPr>
          <w:spacing w:val="-13"/>
        </w:rPr>
        <w:t>插口端是园角并有一定锥度，在胶圈内表面和插口外表涂刷润滑</w:t>
      </w:r>
      <w:r>
        <w:rPr>
          <w:w w:val="100"/>
        </w:rPr>
        <w:t>剂（洗涤灵</w:t>
      </w:r>
      <w:r>
        <w:rPr>
          <w:spacing w:val="-199"/>
          <w:w w:val="100"/>
        </w:rPr>
        <w:t>）</w:t>
      </w:r>
      <w:r>
        <w:rPr>
          <w:w w:val="100"/>
        </w:rPr>
        <w:t>，润滑剂均匀刷在承口内已安装好的橡胶圈表面，在插</w:t>
      </w:r>
      <w:r>
        <w:t>口外表面刷润滑剂刷到插口坡口处。</w:t>
      </w:r>
    </w:p>
    <w:p>
      <w:pPr>
        <w:pStyle w:val="BodyText"/>
        <w:spacing w:line="537" w:lineRule="exact"/>
        <w:ind w:left="1595"/>
      </w:pPr>
      <w:r>
        <w:t>六、接口</w:t>
      </w:r>
    </w:p>
    <w:p>
      <w:pPr>
        <w:spacing w:after="0" w:line="537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https://d.book118.com/326240055021010051</w:t>
        </w:r>
      </w:hyperlink>
    </w:p>
    <w:p>
      <w:pPr>
        <w:spacing w:after="0" w:line="537" w:lineRule="exact"/>
      </w:pPr>
    </w:p>
    <w:sectPr>
      <w:headerReference w:type="default" r:id="rId39"/>
      <w:footerReference w:type="default" r:id="rId40"/>
      <w:pgSz w:w="17860" w:h="25260"/>
      <w:pgMar w:top="1520" w:right="1180" w:bottom="2020" w:left="1940" w:header="1084" w:footer="1820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88pt;margin-left:133.8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88pt;margin-left:13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88pt;margin-left:133.8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88pt;margin-left:13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88pt;margin-left:133.8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88pt;margin-left:13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88pt;margin-left:133.8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88pt;margin-left:13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88pt;margin-left:133.8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88pt;margin-left:13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88pt;margin-left:133.8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88pt;margin-left:13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3.2pt;margin-left:418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341240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41240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3.2pt;margin-left:418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03987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3987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53.2pt;margin-left:418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642972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42972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53.2pt;margin-left:418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253528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53528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53.2pt;margin-left:418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641746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41746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53.2pt;margin-left:418.4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4923499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23499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53.2pt;margin-left:418.4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73800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800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53.2pt;margin-left:418.4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566349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66349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53.2pt;margin-left:418.4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765168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65168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pt;height:15.5pt;margin-top:53.2pt;margin-left:418.4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066051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66051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6pt;height:15.5pt;margin-top:53.2pt;margin-left:418.4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571679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71679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pt;height:15.5pt;margin-top:53.2pt;margin-left:418.4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99B04"/>
    <w:multiLevelType w:val="hybridMultilevel"/>
    <w:tmpl w:val="00000000"/>
    <w:lvl w:ilvl="0">
      <w:start w:val="1"/>
      <w:numFmt w:val="decimal"/>
      <w:lvlText w:val="(%1)"/>
      <w:lvlJc w:val="left"/>
      <w:pPr>
        <w:ind w:left="417" w:hanging="633"/>
        <w:jc w:val="left"/>
      </w:pPr>
      <w:rPr>
        <w:rFonts w:ascii="黑体" w:eastAsia="黑体" w:hAnsi="黑体" w:cs="黑体" w:hint="default"/>
        <w:spacing w:val="-1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3597" w:hanging="633"/>
        <w:jc w:val="left"/>
      </w:pPr>
      <w:rPr>
        <w:rFonts w:ascii="黑体" w:eastAsia="黑体" w:hAnsi="黑体" w:cs="黑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484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8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7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1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06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90" w:hanging="633"/>
      </w:pPr>
      <w:rPr>
        <w:rFonts w:hint="default"/>
      </w:rPr>
    </w:lvl>
  </w:abstractNum>
  <w:abstractNum w:abstractNumId="1">
    <w:nsid w:val="0B1E137A"/>
    <w:multiLevelType w:val="hybridMultilevel"/>
    <w:tmpl w:val="00000000"/>
    <w:lvl w:ilvl="0">
      <w:start w:val="1"/>
      <w:numFmt w:val="decimal"/>
      <w:lvlText w:val="%1）"/>
      <w:lvlJc w:val="left"/>
      <w:pPr>
        <w:ind w:left="2226" w:hanging="631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7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2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2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5" w:hanging="631"/>
      </w:pPr>
      <w:rPr>
        <w:rFonts w:hint="default"/>
      </w:rPr>
    </w:lvl>
  </w:abstractNum>
  <w:abstractNum w:abstractNumId="2">
    <w:nsid w:val="1604F679"/>
    <w:multiLevelType w:val="hybridMultilevel"/>
    <w:tmpl w:val="00000000"/>
    <w:lvl w:ilvl="0">
      <w:start w:val="1"/>
      <w:numFmt w:val="decimal"/>
      <w:lvlText w:val="（%1）"/>
      <w:lvlJc w:val="left"/>
      <w:pPr>
        <w:ind w:left="757" w:hanging="1060"/>
        <w:jc w:val="left"/>
      </w:pPr>
      <w:rPr>
        <w:rFonts w:ascii="黑体" w:eastAsia="黑体" w:hAnsi="黑体" w:cs="黑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57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5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1060"/>
      </w:pPr>
      <w:rPr>
        <w:rFonts w:hint="default"/>
      </w:rPr>
    </w:lvl>
  </w:abstractNum>
  <w:abstractNum w:abstractNumId="3">
    <w:nsid w:val="16850492"/>
    <w:multiLevelType w:val="hybridMultilevel"/>
    <w:tmpl w:val="00000000"/>
    <w:lvl w:ilvl="0">
      <w:start w:val="1"/>
      <w:numFmt w:val="decimal"/>
      <w:lvlText w:val="（%1）"/>
      <w:lvlJc w:val="left"/>
      <w:pPr>
        <w:ind w:left="757" w:hanging="1260"/>
        <w:jc w:val="righ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20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1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4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6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7" w:hanging="1260"/>
      </w:pPr>
      <w:rPr>
        <w:rFonts w:hint="default"/>
      </w:rPr>
    </w:lvl>
  </w:abstractNum>
  <w:abstractNum w:abstractNumId="4">
    <w:nsid w:val="1725E735"/>
    <w:multiLevelType w:val="hybridMultilevel"/>
    <w:tmpl w:val="00000000"/>
    <w:lvl w:ilvl="0">
      <w:start w:val="1"/>
      <w:numFmt w:val="decimal"/>
      <w:lvlText w:val="(%1)"/>
      <w:lvlJc w:val="left"/>
      <w:pPr>
        <w:ind w:left="757" w:hanging="1052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57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5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1052"/>
      </w:pPr>
      <w:rPr>
        <w:rFonts w:hint="default"/>
      </w:rPr>
    </w:lvl>
  </w:abstractNum>
  <w:abstractNum w:abstractNumId="5">
    <w:nsid w:val="1D85E09B"/>
    <w:multiLevelType w:val="hybridMultilevel"/>
    <w:tmpl w:val="00000000"/>
    <w:lvl w:ilvl="0">
      <w:start w:val="1"/>
      <w:numFmt w:val="decimal"/>
      <w:lvlText w:val="（%1）"/>
      <w:lvlJc w:val="left"/>
      <w:pPr>
        <w:ind w:left="757" w:hanging="1217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57" w:hanging="12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12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12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12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12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12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5" w:hanging="12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1217"/>
      </w:pPr>
      <w:rPr>
        <w:rFonts w:hint="default"/>
      </w:rPr>
    </w:lvl>
  </w:abstractNum>
  <w:abstractNum w:abstractNumId="6">
    <w:nsid w:val="1EB3E26C"/>
    <w:multiLevelType w:val="hybridMultilevel"/>
    <w:tmpl w:val="00000000"/>
    <w:lvl w:ilvl="0">
      <w:start w:val="1"/>
      <w:numFmt w:val="decimal"/>
      <w:lvlText w:val="（%1）"/>
      <w:lvlJc w:val="left"/>
      <w:pPr>
        <w:ind w:left="2438" w:hanging="1260"/>
        <w:jc w:val="right"/>
      </w:pPr>
      <w:rPr>
        <w:rFonts w:hint="default"/>
        <w:spacing w:val="-2"/>
        <w:w w:val="100"/>
      </w:rPr>
    </w:lvl>
    <w:lvl w:ilvl="1">
      <w:start w:val="0"/>
      <w:numFmt w:val="bullet"/>
      <w:lvlText w:val="•"/>
      <w:lvlJc w:val="left"/>
      <w:pPr>
        <w:ind w:left="3669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99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5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1260"/>
      </w:pPr>
      <w:rPr>
        <w:rFonts w:hint="default"/>
      </w:rPr>
    </w:lvl>
  </w:abstractNum>
  <w:abstractNum w:abstractNumId="7">
    <w:nsid w:val="20348E97"/>
    <w:multiLevelType w:val="hybridMultilevel"/>
    <w:tmpl w:val="00000000"/>
    <w:lvl w:ilvl="0">
      <w:start w:val="1"/>
      <w:numFmt w:val="upperLetter"/>
      <w:lvlText w:val="%1."/>
      <w:lvlJc w:val="left"/>
      <w:pPr>
        <w:ind w:left="2018" w:hanging="423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9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5" w:hanging="423"/>
      </w:pPr>
      <w:rPr>
        <w:rFonts w:hint="default"/>
      </w:rPr>
    </w:lvl>
  </w:abstractNum>
  <w:abstractNum w:abstractNumId="8">
    <w:nsid w:val="230D2165"/>
    <w:multiLevelType w:val="hybridMultilevel"/>
    <w:tmpl w:val="00000000"/>
    <w:lvl w:ilvl="0">
      <w:start w:val="1"/>
      <w:numFmt w:val="lowerLetter"/>
      <w:lvlText w:val="%1."/>
      <w:lvlJc w:val="left"/>
      <w:pPr>
        <w:ind w:left="757" w:hanging="423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5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423"/>
      </w:pPr>
      <w:rPr>
        <w:rFonts w:hint="default"/>
      </w:rPr>
    </w:lvl>
  </w:abstractNum>
  <w:abstractNum w:abstractNumId="9">
    <w:nsid w:val="3CB2922B"/>
    <w:multiLevelType w:val="hybridMultilevel"/>
    <w:tmpl w:val="00000000"/>
    <w:lvl w:ilvl="0">
      <w:start w:val="1"/>
      <w:numFmt w:val="decimal"/>
      <w:lvlText w:val="（%1）"/>
      <w:lvlJc w:val="left"/>
      <w:pPr>
        <w:ind w:left="2648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4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1053"/>
      </w:pPr>
      <w:rPr>
        <w:rFonts w:hint="default"/>
      </w:rPr>
    </w:lvl>
  </w:abstractNum>
  <w:abstractNum w:abstractNumId="10">
    <w:nsid w:val="3DAED04B"/>
    <w:multiLevelType w:val="hybridMultilevel"/>
    <w:tmpl w:val="00000000"/>
    <w:lvl w:ilvl="0">
      <w:start w:val="1"/>
      <w:numFmt w:val="lowerLetter"/>
      <w:lvlText w:val="%1."/>
      <w:lvlJc w:val="left"/>
      <w:pPr>
        <w:ind w:left="757" w:hanging="630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5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0"/>
      </w:pPr>
      <w:rPr>
        <w:rFonts w:hint="default"/>
      </w:rPr>
    </w:lvl>
  </w:abstractNum>
  <w:abstractNum w:abstractNumId="11">
    <w:nsid w:val="44DE1E50"/>
    <w:multiLevelType w:val="hybridMultilevel"/>
    <w:tmpl w:val="00000000"/>
    <w:lvl w:ilvl="0">
      <w:start w:val="1"/>
      <w:numFmt w:val="decimal"/>
      <w:lvlText w:val="（%1）"/>
      <w:lvlJc w:val="left"/>
      <w:pPr>
        <w:ind w:left="2438" w:hanging="1260"/>
        <w:jc w:val="right"/>
      </w:pPr>
      <w:rPr>
        <w:rFonts w:hint="default"/>
        <w:spacing w:val="-2"/>
        <w:w w:val="100"/>
      </w:rPr>
    </w:lvl>
    <w:lvl w:ilvl="1">
      <w:start w:val="0"/>
      <w:numFmt w:val="bullet"/>
      <w:lvlText w:val="•"/>
      <w:lvlJc w:val="left"/>
      <w:pPr>
        <w:ind w:left="3669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99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5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1260"/>
      </w:pPr>
      <w:rPr>
        <w:rFonts w:hint="default"/>
      </w:rPr>
    </w:lvl>
  </w:abstractNum>
  <w:abstractNum w:abstractNumId="12">
    <w:nsid w:val="4B4FF265"/>
    <w:multiLevelType w:val="hybridMultilevel"/>
    <w:tmpl w:val="00000000"/>
    <w:lvl w:ilvl="0">
      <w:start w:val="1"/>
      <w:numFmt w:val="decimal"/>
      <w:lvlText w:val="（%1）"/>
      <w:lvlJc w:val="left"/>
      <w:pPr>
        <w:ind w:left="757" w:hanging="1260"/>
        <w:jc w:val="righ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20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1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4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6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7" w:hanging="1260"/>
      </w:pPr>
      <w:rPr>
        <w:rFonts w:hint="default"/>
      </w:rPr>
    </w:lvl>
  </w:abstractNum>
  <w:abstractNum w:abstractNumId="13">
    <w:nsid w:val="4C72773C"/>
    <w:multiLevelType w:val="hybridMultilevel"/>
    <w:tmpl w:val="00000000"/>
    <w:lvl w:ilvl="0">
      <w:start w:val="1"/>
      <w:numFmt w:val="decimal"/>
      <w:lvlText w:val="%1)"/>
      <w:lvlJc w:val="left"/>
      <w:pPr>
        <w:ind w:left="757" w:hanging="634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5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4"/>
      </w:pPr>
      <w:rPr>
        <w:rFonts w:hint="default"/>
      </w:rPr>
    </w:lvl>
  </w:abstractNum>
  <w:abstractNum w:abstractNumId="14">
    <w:nsid w:val="50AEDA82"/>
    <w:multiLevelType w:val="hybridMultilevel"/>
    <w:tmpl w:val="00000000"/>
    <w:lvl w:ilvl="0">
      <w:start w:val="2"/>
      <w:numFmt w:val="decimal"/>
      <w:lvlText w:val="（%1）"/>
      <w:lvlJc w:val="left"/>
      <w:pPr>
        <w:ind w:left="2225" w:hanging="1260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1"/>
      <w:numFmt w:val="decimal"/>
      <w:lvlText w:val="（%2）"/>
      <w:lvlJc w:val="left"/>
      <w:pPr>
        <w:ind w:left="1837" w:hanging="1053"/>
        <w:jc w:val="left"/>
      </w:pPr>
      <w:rPr>
        <w:rFonts w:ascii="黑体" w:eastAsia="黑体" w:hAnsi="黑体" w:cs="黑体" w:hint="default"/>
        <w:spacing w:val="-5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61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2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4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6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7" w:hanging="1053"/>
      </w:pPr>
      <w:rPr>
        <w:rFonts w:hint="default"/>
      </w:rPr>
    </w:lvl>
  </w:abstractNum>
  <w:abstractNum w:abstractNumId="15">
    <w:nsid w:val="54F8A8F0"/>
    <w:multiLevelType w:val="hybridMultilevel"/>
    <w:tmpl w:val="00000000"/>
    <w:lvl w:ilvl="0">
      <w:start w:val="1"/>
      <w:numFmt w:val="decimal"/>
      <w:lvlText w:val="（%1）"/>
      <w:lvlJc w:val="left"/>
      <w:pPr>
        <w:ind w:left="2666" w:hanging="1060"/>
        <w:jc w:val="left"/>
      </w:pPr>
      <w:rPr>
        <w:rFonts w:ascii="黑体" w:eastAsia="黑体" w:hAnsi="黑体" w:cs="黑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67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5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3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1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7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5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3" w:hanging="1060"/>
      </w:pPr>
      <w:rPr>
        <w:rFonts w:hint="default"/>
      </w:rPr>
    </w:lvl>
  </w:abstractNum>
  <w:abstractNum w:abstractNumId="16">
    <w:nsid w:val="5D5335A9"/>
    <w:multiLevelType w:val="hybridMultilevel"/>
    <w:tmpl w:val="00000000"/>
    <w:lvl w:ilvl="0">
      <w:start w:val="1"/>
      <w:numFmt w:val="decimal"/>
      <w:lvlText w:val="（%1）"/>
      <w:lvlJc w:val="left"/>
      <w:pPr>
        <w:ind w:left="757" w:hanging="1217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57" w:hanging="12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12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12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12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12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12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5" w:hanging="12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1217"/>
      </w:pPr>
      <w:rPr>
        <w:rFonts w:hint="default"/>
      </w:rPr>
    </w:lvl>
  </w:abstractNum>
  <w:abstractNum w:abstractNumId="17">
    <w:nsid w:val="5DD4D65E"/>
    <w:multiLevelType w:val="hybridMultilevel"/>
    <w:tmpl w:val="00000000"/>
    <w:lvl w:ilvl="0">
      <w:start w:val="1"/>
      <w:numFmt w:val="decimal"/>
      <w:lvlText w:val="%1)."/>
      <w:lvlJc w:val="left"/>
      <w:pPr>
        <w:ind w:left="2228" w:hanging="63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71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23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5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27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1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3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5" w:hanging="633"/>
      </w:pPr>
      <w:rPr>
        <w:rFonts w:hint="default"/>
      </w:rPr>
    </w:lvl>
  </w:abstractNum>
  <w:abstractNum w:abstractNumId="18">
    <w:nsid w:val="61A7F775"/>
    <w:multiLevelType w:val="hybridMultilevel"/>
    <w:tmpl w:val="00000000"/>
    <w:lvl w:ilvl="0">
      <w:start w:val="1"/>
      <w:numFmt w:val="decimal"/>
      <w:lvlText w:val="（%1）"/>
      <w:lvlJc w:val="left"/>
      <w:pPr>
        <w:ind w:left="2514" w:hanging="1053"/>
        <w:jc w:val="left"/>
      </w:pPr>
      <w:rPr>
        <w:rFonts w:ascii="黑体" w:eastAsia="黑体" w:hAnsi="黑体" w:cs="黑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4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8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0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1053"/>
      </w:pPr>
      <w:rPr>
        <w:rFonts w:hint="default"/>
      </w:rPr>
    </w:lvl>
  </w:abstractNum>
  <w:abstractNum w:abstractNumId="19">
    <w:nsid w:val="652820A6"/>
    <w:multiLevelType w:val="hybridMultilevel"/>
    <w:tmpl w:val="00000000"/>
    <w:lvl w:ilvl="0">
      <w:start w:val="1"/>
      <w:numFmt w:val="decimal"/>
      <w:lvlText w:val="%1."/>
      <w:lvlJc w:val="left"/>
      <w:pPr>
        <w:ind w:left="2020" w:hanging="425"/>
        <w:jc w:val="left"/>
      </w:pPr>
      <w:rPr>
        <w:rFonts w:ascii="黑体" w:eastAsia="黑体" w:hAnsi="黑体" w:cs="黑体" w:hint="default"/>
        <w:w w:val="100"/>
        <w:sz w:val="40"/>
        <w:szCs w:val="40"/>
      </w:rPr>
    </w:lvl>
    <w:lvl w:ilvl="1">
      <w:start w:val="1"/>
      <w:numFmt w:val="decimal"/>
      <w:lvlText w:val="(%2)."/>
      <w:lvlJc w:val="left"/>
      <w:pPr>
        <w:ind w:left="3277" w:hanging="1203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553" w:hanging="12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6" w:hanging="12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9" w:hanging="12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3" w:hanging="12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6" w:hanging="12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9" w:hanging="12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3" w:hanging="1203"/>
      </w:pPr>
      <w:rPr>
        <w:rFonts w:hint="default"/>
      </w:rPr>
    </w:lvl>
  </w:abstractNum>
  <w:abstractNum w:abstractNumId="20">
    <w:nsid w:val="6552E793"/>
    <w:multiLevelType w:val="hybridMultilevel"/>
    <w:tmpl w:val="00000000"/>
    <w:lvl w:ilvl="0">
      <w:start w:val="1"/>
      <w:numFmt w:val="decimal"/>
      <w:lvlText w:val="%1)"/>
      <w:lvlJc w:val="left"/>
      <w:pPr>
        <w:ind w:left="757" w:hanging="634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5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4"/>
      </w:pPr>
      <w:rPr>
        <w:rFonts w:hint="default"/>
      </w:rPr>
    </w:lvl>
  </w:abstractNum>
  <w:abstractNum w:abstractNumId="21">
    <w:nsid w:val="6558A4BC"/>
    <w:multiLevelType w:val="hybridMultilevel"/>
    <w:tmpl w:val="00000000"/>
    <w:lvl w:ilvl="0">
      <w:start w:val="1"/>
      <w:numFmt w:val="decimal"/>
      <w:lvlText w:val="%1)"/>
      <w:lvlJc w:val="left"/>
      <w:pPr>
        <w:ind w:left="757" w:hanging="630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5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0"/>
      </w:pPr>
      <w:rPr>
        <w:rFonts w:hint="default"/>
      </w:rPr>
    </w:lvl>
  </w:abstractNum>
  <w:abstractNum w:abstractNumId="22">
    <w:nsid w:val="66429134"/>
    <w:multiLevelType w:val="hybridMultilevel"/>
    <w:tmpl w:val="00000000"/>
    <w:lvl w:ilvl="0">
      <w:start w:val="1"/>
      <w:numFmt w:val="decimal"/>
      <w:lvlText w:val="（%1）"/>
      <w:lvlJc w:val="left"/>
      <w:pPr>
        <w:ind w:left="757" w:hanging="1260"/>
        <w:jc w:val="righ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20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1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4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6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7" w:hanging="1260"/>
      </w:pPr>
      <w:rPr>
        <w:rFonts w:hint="default"/>
      </w:rPr>
    </w:lvl>
  </w:abstractNum>
  <w:abstractNum w:abstractNumId="23">
    <w:nsid w:val="6B07F54B"/>
    <w:multiLevelType w:val="hybridMultilevel"/>
    <w:tmpl w:val="00000000"/>
    <w:lvl w:ilvl="0">
      <w:start w:val="1"/>
      <w:numFmt w:val="decimal"/>
      <w:lvlText w:val="（%1）"/>
      <w:lvlJc w:val="left"/>
      <w:pPr>
        <w:ind w:left="757" w:hanging="1217"/>
        <w:jc w:val="left"/>
      </w:pPr>
      <w:rPr>
        <w:rFonts w:ascii="黑体" w:eastAsia="黑体" w:hAnsi="黑体" w:cs="黑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57" w:hanging="12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12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12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12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12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12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5" w:hanging="12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1217"/>
      </w:pPr>
      <w:rPr>
        <w:rFonts w:hint="default"/>
      </w:rPr>
    </w:lvl>
  </w:abstractNum>
  <w:abstractNum w:abstractNumId="24">
    <w:nsid w:val="6D2AE8BC"/>
    <w:multiLevelType w:val="hybridMultilevel"/>
    <w:tmpl w:val="00000000"/>
    <w:lvl w:ilvl="0">
      <w:start w:val="4"/>
      <w:numFmt w:val="decimal"/>
      <w:lvlText w:val="%1）"/>
      <w:lvlJc w:val="left"/>
      <w:pPr>
        <w:ind w:left="757" w:hanging="631"/>
        <w:jc w:val="righ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5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631"/>
      </w:pPr>
      <w:rPr>
        <w:rFonts w:hint="default"/>
      </w:rPr>
    </w:lvl>
  </w:abstractNum>
  <w:abstractNum w:abstractNumId="25">
    <w:nsid w:val="6EAB2DD6"/>
    <w:multiLevelType w:val="hybridMultilevel"/>
    <w:tmpl w:val="00000000"/>
    <w:lvl w:ilvl="0">
      <w:start w:val="1"/>
      <w:numFmt w:val="lowerLetter"/>
      <w:lvlText w:val="%1."/>
      <w:lvlJc w:val="left"/>
      <w:pPr>
        <w:ind w:left="2225" w:hanging="630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7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2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2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5" w:hanging="630"/>
      </w:pPr>
      <w:rPr>
        <w:rFonts w:hint="default"/>
      </w:rPr>
    </w:lvl>
  </w:abstractNum>
  <w:abstractNum w:abstractNumId="26">
    <w:nsid w:val="74407C76"/>
    <w:multiLevelType w:val="hybridMultilevel"/>
    <w:tmpl w:val="00000000"/>
    <w:lvl w:ilvl="0">
      <w:start w:val="1"/>
      <w:numFmt w:val="decimal"/>
      <w:lvlText w:val="(%1)"/>
      <w:lvlJc w:val="left"/>
      <w:pPr>
        <w:ind w:left="417" w:hanging="633"/>
        <w:jc w:val="left"/>
      </w:pPr>
      <w:rPr>
        <w:rFonts w:ascii="黑体" w:eastAsia="黑体" w:hAnsi="黑体" w:cs="黑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33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47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1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5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8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03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17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31" w:hanging="633"/>
      </w:pPr>
      <w:rPr>
        <w:rFonts w:hint="default"/>
      </w:rPr>
    </w:lvl>
  </w:abstractNum>
  <w:num w:numId="1">
    <w:abstractNumId w:val="18"/>
  </w:num>
  <w:num w:numId="2">
    <w:abstractNumId w:val="17"/>
  </w:num>
  <w:num w:numId="3">
    <w:abstractNumId w:val="13"/>
  </w:num>
  <w:num w:numId="4">
    <w:abstractNumId w:val="10"/>
  </w:num>
  <w:num w:numId="5">
    <w:abstractNumId w:val="25"/>
  </w:num>
  <w:num w:numId="6">
    <w:abstractNumId w:val="21"/>
  </w:num>
  <w:num w:numId="7">
    <w:abstractNumId w:val="20"/>
  </w:num>
  <w:num w:numId="8">
    <w:abstractNumId w:val="7"/>
  </w:num>
  <w:num w:numId="9">
    <w:abstractNumId w:val="0"/>
  </w:num>
  <w:num w:numId="10">
    <w:abstractNumId w:val="26"/>
  </w:num>
  <w:num w:numId="11">
    <w:abstractNumId w:val="19"/>
  </w:num>
  <w:num w:numId="12">
    <w:abstractNumId w:val="15"/>
  </w:num>
  <w:num w:numId="13">
    <w:abstractNumId w:val="9"/>
  </w:num>
  <w:num w:numId="14">
    <w:abstractNumId w:val="8"/>
  </w:num>
  <w:num w:numId="15">
    <w:abstractNumId w:val="2"/>
  </w:num>
  <w:num w:numId="16">
    <w:abstractNumId w:val="14"/>
  </w:num>
  <w:num w:numId="17">
    <w:abstractNumId w:val="11"/>
  </w:num>
  <w:num w:numId="18">
    <w:abstractNumId w:val="1"/>
  </w:num>
  <w:num w:numId="19">
    <w:abstractNumId w:val="24"/>
  </w:num>
  <w:num w:numId="20">
    <w:abstractNumId w:val="12"/>
  </w:num>
  <w:num w:numId="21">
    <w:abstractNumId w:val="4"/>
  </w:num>
  <w:num w:numId="22">
    <w:abstractNumId w:val="16"/>
  </w:num>
  <w:num w:numId="23">
    <w:abstractNumId w:val="23"/>
  </w:num>
  <w:num w:numId="24">
    <w:abstractNumId w:val="5"/>
  </w:num>
  <w:num w:numId="25">
    <w:abstractNumId w:val="22"/>
  </w:num>
  <w:num w:numId="26">
    <w:abstractNumId w:val="3"/>
  </w:num>
  <w:num w:numId="2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1563"/>
      <w:outlineLvl w:val="0"/>
    </w:pPr>
    <w:rPr>
      <w:rFonts w:ascii="黑体" w:eastAsia="黑体" w:hAnsi="黑体" w:cs="黑体"/>
      <w:sz w:val="48"/>
      <w:szCs w:val="48"/>
    </w:rPr>
  </w:style>
  <w:style w:type="paragraph" w:styleId="Heading2">
    <w:name w:val="heading 2"/>
    <w:basedOn w:val="Normal"/>
    <w:uiPriority w:val="1"/>
    <w:qFormat/>
    <w:pPr>
      <w:ind w:left="1466"/>
      <w:outlineLvl w:val="1"/>
    </w:pPr>
    <w:rPr>
      <w:rFonts w:ascii="黑体" w:eastAsia="黑体" w:hAnsi="黑体" w:cs="黑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42"/>
      <w:szCs w:val="42"/>
    </w:rPr>
  </w:style>
  <w:style w:type="paragraph" w:styleId="Title">
    <w:name w:val="Title"/>
    <w:basedOn w:val="Normal"/>
    <w:uiPriority w:val="1"/>
    <w:qFormat/>
    <w:pPr>
      <w:ind w:right="758"/>
      <w:jc w:val="center"/>
    </w:pPr>
    <w:rPr>
      <w:rFonts w:ascii="黑体" w:eastAsia="黑体" w:hAnsi="黑体" w:cs="黑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757" w:firstLine="838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2.png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7.png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image" Target="media/image10.png" /><Relationship Id="rId27" Type="http://schemas.openxmlformats.org/officeDocument/2006/relationships/header" Target="header8.xml" /><Relationship Id="rId28" Type="http://schemas.openxmlformats.org/officeDocument/2006/relationships/footer" Target="footer8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1.pn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2.jpeg" /><Relationship Id="rId35" Type="http://schemas.openxmlformats.org/officeDocument/2006/relationships/image" Target="media/image13.png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hyperlink" Target="https://d.book118.com/326240055021010051" TargetMode="External" /><Relationship Id="rId39" Type="http://schemas.openxmlformats.org/officeDocument/2006/relationships/header" Target="header12.xml" /><Relationship Id="rId4" Type="http://schemas.openxmlformats.org/officeDocument/2006/relationships/header" Target="header1.xml" /><Relationship Id="rId40" Type="http://schemas.openxmlformats.org/officeDocument/2006/relationships/footer" Target="footer12.xml" /><Relationship Id="rId41" Type="http://schemas.openxmlformats.org/officeDocument/2006/relationships/theme" Target="theme/theme1.xml" /><Relationship Id="rId42" Type="http://schemas.openxmlformats.org/officeDocument/2006/relationships/numbering" Target="numbering.xml" /><Relationship Id="rId43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2024-01-29T17:29:47Z</dcterms:created>
  <dcterms:modified xsi:type="dcterms:W3CDTF">2024-01-29T17:29:47Z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LastSaved">
    <vt:filetime>2024-01-29T00:00:00Z</vt:filetime>
  </property>
</Properties>
</file>