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(一)、计算器项目选址原则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_Toc12477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(五)、计算器项目选址综合评价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五、计算器项目概况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(二)、计算器项目提出的理由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(三)、计算器项目选址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(六)、计算器项目投资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(七)、计算器项目进度规划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eastAsia="zh-CN"/>
          </w:rPr>
          <w:t>(九)、计算器项目综合评价</w:t>
        </w:r>
        <w:r>
          <w:tab/>
        </w:r>
        <w:r>
          <w:fldChar w:fldCharType="begin"/>
        </w:r>
        <w:r>
          <w:instrText xml:space="preserve"> PAGEREF _Toc18924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六、计算器项目风险分析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1" w:history="1">
        <w:r>
          <w:rPr>
            <w:rFonts w:ascii="仿宋" w:eastAsia="仿宋" w:hAnsi="仿宋" w:cs="仿宋" w:hint="eastAsia"/>
            <w:lang w:eastAsia="zh-CN"/>
          </w:rPr>
          <w:t>(一)、计算器项目风险分析</w:t>
        </w:r>
        <w:r>
          <w:tab/>
        </w:r>
        <w:r>
          <w:fldChar w:fldCharType="begin"/>
        </w:r>
        <w:r>
          <w:instrText xml:space="preserve"> PAGEREF _Toc6521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(二)、计算器项目风险对策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(一)、计算器项目进度安排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(二)、计算器项目实施保障措施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(五)、计算器项目总投资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(一)、计算器项目背景分析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(二)、计算器项目建设必要性分析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十、计算器项目经济效益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_Toc29383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(三)、计算器项目盈利能力分析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(一)、社会责任计算器项目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(二)、合作计算器项目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9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4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2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https://d.book118.com/327026025056006034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026025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2024-01-08T23:00:00Z</dcterms:created>
  <dcterms:modified xsi:type="dcterms:W3CDTF">2024-01-08T23:01:19Z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D664CF1B0BBF4EF68D125D4DF8547FA9_11</vt:lpwstr>
  </property>
  <property fmtid="{D5CDD505-2E9C-101B-9397-08002B2CF9AE}" pid="3" name="KSOProductBuildVer">
    <vt:lpwstr>2052-12.1.0.16120</vt:lpwstr>
  </property>
</Properties>
</file>