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2018-2023年漳州理工职业学院高职单招（数学／语文／英语）历年常考试题库含答案解析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从内容上说，《氓》是一首（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B.劳动诗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C.祭祀诗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D.弃妇诗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在《往事（一之十四）》中，冰心赞颂了大海的性格和美德，号召大家做一个（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A.女神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B.大海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C.海舟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D.“海化”青年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准确描述《五代史伶官传序》中心论点的一组对应词语是（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A.兴盛与衰败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B.天命与人事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C.自满与谦虚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D.忧劳与逸豫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《背影》一文的结构线索是（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A.横式结构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B.纵式结构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C.自由结构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D.纵横结合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下列句子中，“其”表示期望、命令等语气的是（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76898" cy="142890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76898" cy="14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下列选项中，加点的字“于”表示被动的一项是（）。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A.夫祸患常积于忽微，而智勇多困于所溺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B.王知如此，则无望民之多于邻国也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C.此其自多也，不似尔向之自多于水乎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D.邦分崩离析而不能守也，而谋动干戈于邦内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1921年7月，郭沫若和谁在日本创建了文学社团“创造社”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《麦琪的礼物》的故事结局是（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A.皆大欢喜的大团圆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B.留下许多未决的悬案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C.出人意料而合情合理的巧合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D.因无悬念而淡然无味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在先秦诸子中，文风以想象丰富、词藻瑰丽、汪洋恣肆著称的是（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A.《鼓书艺人》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苏轼的《前赤壁赋》作于（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A.杭州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B.密州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C.黄州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D.惠州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苏轼、辛弃疾同为（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C.风雅派词人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D.北宋词人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https://d.book118.com/327030104162006044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327030104162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