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5"/>
        </w:rPr>
      </w:pPr>
    </w:p>
    <w:p>
      <w:pPr>
        <w:pStyle w:val="Title"/>
      </w:pPr>
      <w:r>
        <w:t>甘肃电投常乐电厂调峰火电项目</w:t>
      </w:r>
    </w:p>
    <w:p>
      <w:pPr>
        <w:pStyle w:val="BodyText"/>
        <w:rPr>
          <w:b/>
          <w:sz w:val="78"/>
        </w:rPr>
      </w:pPr>
    </w:p>
    <w:p>
      <w:pPr>
        <w:pStyle w:val="BodyText"/>
        <w:rPr>
          <w:b/>
          <w:sz w:val="78"/>
        </w:rPr>
      </w:pPr>
    </w:p>
    <w:p>
      <w:pPr>
        <w:pStyle w:val="BodyText"/>
        <w:rPr>
          <w:b/>
          <w:sz w:val="78"/>
        </w:rPr>
      </w:pPr>
    </w:p>
    <w:p>
      <w:pPr>
        <w:pStyle w:val="BodyText"/>
        <w:rPr>
          <w:b/>
          <w:sz w:val="78"/>
        </w:rPr>
      </w:pPr>
    </w:p>
    <w:p>
      <w:pPr>
        <w:spacing w:before="568" w:line="266" w:lineRule="auto"/>
        <w:ind w:left="2622" w:right="3850" w:firstLine="0"/>
        <w:jc w:val="center"/>
        <w:rPr>
          <w:b/>
          <w:sz w:val="66"/>
        </w:rPr>
      </w:pPr>
      <w:r>
        <w:rPr>
          <w:b/>
          <w:w w:val="95"/>
          <w:sz w:val="66"/>
        </w:rPr>
        <w:t>汽车卸煤沟大体积混凝土专项</w:t>
      </w:r>
      <w:r>
        <w:rPr>
          <w:b/>
          <w:sz w:val="66"/>
        </w:rPr>
        <w:t>施工方案</w:t>
      </w: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spacing w:before="9"/>
        <w:rPr>
          <w:b/>
          <w:sz w:val="54"/>
        </w:rPr>
      </w:pPr>
    </w:p>
    <w:p>
      <w:pPr>
        <w:spacing w:before="1" w:line="364" w:lineRule="auto"/>
        <w:ind w:left="3569" w:right="4764" w:firstLine="0"/>
        <w:jc w:val="center"/>
        <w:rPr>
          <w:sz w:val="48"/>
        </w:rPr>
      </w:pPr>
      <w:r>
        <w:rPr>
          <w:w w:val="95"/>
          <w:sz w:val="48"/>
        </w:rPr>
        <w:t>中国能源建设集团西北电力建设</w:t>
      </w:r>
      <w:r>
        <w:rPr>
          <w:sz w:val="48"/>
        </w:rPr>
        <w:t>甘肃工程有限公司常乐项目部</w:t>
      </w:r>
    </w:p>
    <w:p>
      <w:pPr>
        <w:spacing w:after="0" w:line="364" w:lineRule="auto"/>
        <w:jc w:val="center"/>
        <w:rPr>
          <w:sz w:val="48"/>
        </w:rPr>
        <w:sectPr>
          <w:headerReference w:type="default" r:id="rId4"/>
          <w:footerReference w:type="default" r:id="rId5"/>
          <w:type w:val="continuous"/>
          <w:pgSz w:w="17860" w:h="25260"/>
          <w:pgMar w:top="1780" w:right="820" w:bottom="2040" w:left="2000" w:header="1024" w:footer="1851"/>
          <w:cols w:space="708"/>
        </w:sectPr>
      </w:pPr>
    </w:p>
    <w:p>
      <w:pPr>
        <w:pStyle w:val="BodyText"/>
        <w:rPr>
          <w:sz w:val="20"/>
        </w:rPr>
      </w:pPr>
    </w:p>
    <w:p>
      <w:pPr>
        <w:pStyle w:val="BodyText"/>
        <w:rPr>
          <w:sz w:val="20"/>
        </w:rPr>
      </w:pPr>
    </w:p>
    <w:p>
      <w:pPr>
        <w:pStyle w:val="BodyText"/>
        <w:spacing w:before="1"/>
        <w:rPr>
          <w:sz w:val="26"/>
        </w:rPr>
      </w:pPr>
    </w:p>
    <w:p>
      <w:pPr>
        <w:spacing w:before="31"/>
        <w:ind w:left="4949" w:right="0" w:firstLine="0"/>
        <w:jc w:val="left"/>
        <w:rPr>
          <w:sz w:val="48"/>
        </w:rPr>
      </w:pPr>
      <w:r>
        <w:rPr>
          <w:sz w:val="48"/>
        </w:rPr>
        <w:t>2018</w:t>
      </w:r>
      <w:r>
        <w:rPr>
          <w:spacing w:val="-80"/>
          <w:sz w:val="48"/>
        </w:rPr>
        <w:t xml:space="preserve"> 年 </w:t>
      </w:r>
      <w:r>
        <w:rPr>
          <w:sz w:val="48"/>
        </w:rPr>
        <w:t>06</w:t>
      </w:r>
      <w:r>
        <w:rPr>
          <w:spacing w:val="-80"/>
          <w:sz w:val="48"/>
        </w:rPr>
        <w:t xml:space="preserve"> 月 </w:t>
      </w:r>
      <w:r>
        <w:rPr>
          <w:sz w:val="48"/>
        </w:rPr>
        <w:t>14</w:t>
      </w:r>
      <w:r>
        <w:rPr>
          <w:spacing w:val="-59"/>
          <w:sz w:val="48"/>
        </w:rPr>
        <w:t xml:space="preserve"> 日</w:t>
      </w:r>
    </w:p>
    <w:p>
      <w:pPr>
        <w:pStyle w:val="BodyText"/>
        <w:rPr>
          <w:sz w:val="48"/>
        </w:rPr>
      </w:pPr>
    </w:p>
    <w:p>
      <w:pPr>
        <w:pStyle w:val="BodyText"/>
        <w:rPr>
          <w:sz w:val="46"/>
        </w:rPr>
      </w:pPr>
    </w:p>
    <w:p>
      <w:pPr>
        <w:spacing w:before="1"/>
        <w:ind w:left="1539" w:right="0" w:firstLine="0"/>
        <w:jc w:val="left"/>
        <w:rPr>
          <w:sz w:val="42"/>
        </w:rPr>
      </w:pPr>
      <w:r>
        <w:rPr>
          <w:sz w:val="42"/>
        </w:rPr>
        <w:t>项目名称：大体积混凝土专项施工方案</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headerReference w:type="default" r:id="rId6"/>
          <w:footerReference w:type="default" r:id="rId7"/>
          <w:pgSz w:w="17860" w:h="25260"/>
          <w:pgMar w:top="1780" w:right="820" w:bottom="2040" w:left="2000" w:header="1024" w:footer="1851"/>
          <w:pgNumType w:start="2"/>
          <w:cols w:space="708"/>
        </w:sectPr>
      </w:pPr>
    </w:p>
    <w:p>
      <w:pPr>
        <w:tabs>
          <w:tab w:val="left" w:pos="2381"/>
        </w:tabs>
        <w:spacing w:before="220"/>
        <w:ind w:left="1539" w:right="0" w:firstLine="0"/>
        <w:jc w:val="left"/>
        <w:rPr>
          <w:sz w:val="42"/>
        </w:rPr>
      </w:pPr>
      <w:r>
        <w:rPr>
          <w:sz w:val="42"/>
        </w:rPr>
        <w:t>总</w:t>
        <w:tab/>
        <w:t>工：</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3"/>
        <w:rPr>
          <w:sz w:val="40"/>
        </w:rPr>
      </w:pPr>
    </w:p>
    <w:p>
      <w:pPr>
        <w:spacing w:before="0"/>
        <w:ind w:left="1802" w:right="0" w:firstLine="0"/>
        <w:jc w:val="left"/>
        <w:rPr>
          <w:sz w:val="42"/>
        </w:rPr>
      </w:pPr>
      <w:r>
        <w:rPr>
          <w:sz w:val="42"/>
        </w:rPr>
        <w:t>工程部：</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3"/>
        <w:rPr>
          <w:sz w:val="40"/>
        </w:rPr>
      </w:pPr>
    </w:p>
    <w:p>
      <w:pPr>
        <w:spacing w:before="0"/>
        <w:ind w:left="1802" w:right="0" w:firstLine="0"/>
        <w:jc w:val="left"/>
        <w:rPr>
          <w:sz w:val="42"/>
        </w:rPr>
      </w:pPr>
      <w:r>
        <w:rPr>
          <w:sz w:val="42"/>
        </w:rPr>
        <w:t>安监部：</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4"/>
        <w:rPr>
          <w:sz w:val="40"/>
        </w:rPr>
      </w:pPr>
    </w:p>
    <w:p>
      <w:pPr>
        <w:spacing w:before="0"/>
        <w:ind w:left="1802" w:right="0" w:firstLine="0"/>
        <w:jc w:val="left"/>
        <w:rPr>
          <w:sz w:val="42"/>
        </w:rPr>
      </w:pPr>
      <w:r>
        <w:rPr>
          <w:sz w:val="42"/>
        </w:rPr>
        <w:t>编 写：</w:t>
      </w:r>
    </w:p>
    <w:p>
      <w:pPr>
        <w:spacing w:before="220"/>
        <w:ind w:left="1539" w:right="0" w:firstLine="0"/>
        <w:jc w:val="left"/>
        <w:rPr>
          <w:sz w:val="42"/>
        </w:rPr>
      </w:pPr>
      <w:r>
        <w:br w:type="column"/>
      </w:r>
      <w:r>
        <w:rPr>
          <w:sz w:val="42"/>
        </w:rPr>
        <w:t>日期：</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3"/>
        <w:rPr>
          <w:sz w:val="40"/>
        </w:rPr>
      </w:pPr>
    </w:p>
    <w:p>
      <w:pPr>
        <w:spacing w:before="0"/>
        <w:ind w:left="1802" w:right="0" w:firstLine="0"/>
        <w:jc w:val="left"/>
        <w:rPr>
          <w:sz w:val="42"/>
        </w:rPr>
      </w:pPr>
      <w:r>
        <w:rPr>
          <w:sz w:val="42"/>
        </w:rPr>
        <w:t>日期：</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3"/>
        <w:rPr>
          <w:sz w:val="40"/>
        </w:rPr>
      </w:pPr>
    </w:p>
    <w:p>
      <w:pPr>
        <w:spacing w:before="0"/>
        <w:ind w:left="1802" w:right="0" w:firstLine="0"/>
        <w:jc w:val="left"/>
        <w:rPr>
          <w:sz w:val="42"/>
        </w:rPr>
      </w:pPr>
      <w:r>
        <w:rPr>
          <w:sz w:val="42"/>
        </w:rPr>
        <w:t>日期：</w: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4"/>
        <w:rPr>
          <w:sz w:val="40"/>
        </w:rPr>
      </w:pPr>
    </w:p>
    <w:p>
      <w:pPr>
        <w:spacing w:before="0"/>
        <w:ind w:left="1802" w:right="0" w:firstLine="0"/>
        <w:jc w:val="left"/>
        <w:rPr>
          <w:sz w:val="42"/>
        </w:rPr>
      </w:pPr>
      <w:r>
        <w:rPr>
          <w:sz w:val="42"/>
        </w:rPr>
        <w:t>日期：</w:t>
      </w:r>
    </w:p>
    <w:p>
      <w:pPr>
        <w:spacing w:after="0"/>
        <w:jc w:val="left"/>
        <w:rPr>
          <w:sz w:val="42"/>
        </w:rPr>
        <w:sectPr>
          <w:headerReference w:type="default" r:id="rId8"/>
          <w:footerReference w:type="default" r:id="rId9"/>
          <w:type w:val="continuous"/>
          <w:pgSz w:w="17860" w:h="25260"/>
          <w:pgMar w:top="1780" w:right="820" w:bottom="2040" w:left="2000" w:header="708" w:footer="708"/>
          <w:pgNumType w:start="3"/>
          <w:cols w:num="2" w:space="708" w:equalWidth="0">
            <w:col w:w="3528" w:space="1938"/>
            <w:col w:w="9574" w:space="0"/>
          </w:cols>
        </w:sectPr>
      </w:pPr>
    </w:p>
    <w:p>
      <w:pPr>
        <w:pStyle w:val="BodyText"/>
        <w:spacing w:before="9"/>
        <w:rPr>
          <w:sz w:val="9"/>
        </w:rPr>
      </w:pPr>
    </w:p>
    <w:p>
      <w:pPr>
        <w:tabs>
          <w:tab w:val="left" w:pos="1059"/>
        </w:tabs>
        <w:spacing w:before="42"/>
        <w:ind w:left="0" w:right="324" w:firstLine="0"/>
        <w:jc w:val="center"/>
        <w:rPr>
          <w:b/>
          <w:sz w:val="42"/>
        </w:rPr>
      </w:pPr>
      <w:r>
        <w:rPr>
          <w:b/>
          <w:sz w:val="42"/>
        </w:rPr>
        <w:t>目</w:t>
        <w:tab/>
        <w:t>录</w:t>
      </w:r>
    </w:p>
    <w:sdt>
      <w:sdtPr>
        <w:id w:val="607792940"/>
        <w:docPartObj>
          <w:docPartGallery w:val="Table of Contents"/>
          <w:docPartUnique/>
        </w:docPartObj>
      </w:sdtPr>
      <w:sdtContent>
        <w:p>
          <w:pPr>
            <w:pStyle w:val="TOC1"/>
            <w:tabs>
              <w:tab w:val="left" w:leader="dot" w:pos="14279"/>
            </w:tabs>
            <w:spacing w:before="370"/>
            <w:ind w:right="328"/>
          </w:pPr>
          <w:hyperlink w:anchor="_TOC_250018" w:history="1">
            <w:r>
              <w:t>一、编制依据</w:t>
              <w:tab/>
              <w:t>1</w:t>
            </w:r>
          </w:hyperlink>
        </w:p>
        <w:p>
          <w:pPr>
            <w:pStyle w:val="TOC1"/>
            <w:tabs>
              <w:tab w:val="left" w:leader="dot" w:pos="14279"/>
            </w:tabs>
            <w:ind w:right="328"/>
          </w:pPr>
          <w:hyperlink w:anchor="_TOC_250017" w:history="1">
            <w:r>
              <w:t>二、工程概况</w:t>
              <w:tab/>
              <w:t>1</w:t>
            </w:r>
          </w:hyperlink>
        </w:p>
        <w:p>
          <w:pPr>
            <w:pStyle w:val="TOC1"/>
            <w:tabs>
              <w:tab w:val="left" w:leader="dot" w:pos="14279"/>
            </w:tabs>
            <w:ind w:right="328"/>
          </w:pPr>
          <w:hyperlink w:anchor="_TOC_250016" w:history="1">
            <w:r>
              <w:t>三、施工准备工作</w:t>
              <w:tab/>
              <w:t>2</w:t>
            </w:r>
          </w:hyperlink>
        </w:p>
        <w:p>
          <w:pPr>
            <w:pStyle w:val="TOC2"/>
            <w:numPr>
              <w:ilvl w:val="1"/>
              <w:numId w:val="19"/>
            </w:numPr>
            <w:tabs>
              <w:tab w:val="left" w:pos="1296"/>
              <w:tab w:val="left" w:leader="dot" w:pos="14404"/>
            </w:tabs>
            <w:spacing w:before="241" w:after="0" w:line="240" w:lineRule="auto"/>
            <w:ind w:left="1295" w:right="0" w:hanging="542"/>
            <w:jc w:val="left"/>
          </w:pPr>
          <w:r>
            <w:t>、材料选择</w:t>
            <w:tab/>
            <w:t>2</w:t>
          </w:r>
        </w:p>
        <w:p>
          <w:pPr>
            <w:pStyle w:val="TOC2"/>
            <w:numPr>
              <w:ilvl w:val="1"/>
              <w:numId w:val="19"/>
            </w:numPr>
            <w:tabs>
              <w:tab w:val="left" w:pos="1296"/>
              <w:tab w:val="left" w:leader="dot" w:pos="14404"/>
            </w:tabs>
            <w:spacing w:before="240" w:after="0" w:line="240" w:lineRule="auto"/>
            <w:ind w:left="1295" w:right="0" w:hanging="542"/>
            <w:jc w:val="left"/>
          </w:pPr>
          <w:r>
            <w:t>、混凝土配合比</w:t>
            <w:tab/>
            <w:t>3</w:t>
          </w:r>
        </w:p>
        <w:p>
          <w:pPr>
            <w:pStyle w:val="TOC2"/>
            <w:numPr>
              <w:ilvl w:val="1"/>
              <w:numId w:val="19"/>
            </w:numPr>
            <w:tabs>
              <w:tab w:val="left" w:pos="1296"/>
              <w:tab w:val="left" w:leader="dot" w:pos="14404"/>
            </w:tabs>
            <w:spacing w:before="241" w:after="0" w:line="240" w:lineRule="auto"/>
            <w:ind w:left="1295" w:right="0" w:hanging="542"/>
            <w:jc w:val="left"/>
          </w:pPr>
          <w:hyperlink w:anchor="_TOC_250015" w:history="1">
            <w:r>
              <w:t>、砼浇筑前的准备工作</w:t>
              <w:tab/>
              <w:t>3</w:t>
            </w:r>
          </w:hyperlink>
        </w:p>
        <w:p>
          <w:pPr>
            <w:pStyle w:val="TOC2"/>
            <w:numPr>
              <w:ilvl w:val="1"/>
              <w:numId w:val="19"/>
            </w:numPr>
            <w:tabs>
              <w:tab w:val="left" w:pos="1296"/>
              <w:tab w:val="left" w:leader="dot" w:pos="14404"/>
            </w:tabs>
            <w:spacing w:before="241" w:after="0" w:line="240" w:lineRule="auto"/>
            <w:ind w:left="1295" w:right="0" w:hanging="542"/>
            <w:jc w:val="left"/>
          </w:pPr>
          <w:r>
            <w:t>、施工主要材料、机具、机械表</w:t>
            <w:tab/>
            <w:t>3</w:t>
          </w:r>
        </w:p>
        <w:p>
          <w:pPr>
            <w:pStyle w:val="TOC1"/>
            <w:tabs>
              <w:tab w:val="left" w:leader="dot" w:pos="14279"/>
            </w:tabs>
            <w:spacing w:before="242"/>
            <w:ind w:right="328"/>
          </w:pPr>
          <w:hyperlink w:anchor="_TOC_250014" w:history="1">
            <w:r>
              <w:t>四、大体积混凝土温度和温度应力</w:t>
              <w:tab/>
              <w:t>4</w:t>
            </w:r>
          </w:hyperlink>
        </w:p>
        <w:p>
          <w:pPr>
            <w:pStyle w:val="TOC1"/>
            <w:tabs>
              <w:tab w:val="left" w:leader="dot" w:pos="14279"/>
            </w:tabs>
            <w:spacing w:before="240"/>
            <w:ind w:right="328"/>
          </w:pPr>
          <w:hyperlink w:anchor="_TOC_250013" w:history="1">
            <w:r>
              <w:t>五、大体积混凝土施工</w:t>
              <w:tab/>
              <w:t>7</w:t>
            </w:r>
          </w:hyperlink>
        </w:p>
        <w:p>
          <w:pPr>
            <w:pStyle w:val="TOC2"/>
            <w:numPr>
              <w:ilvl w:val="1"/>
              <w:numId w:val="17"/>
            </w:numPr>
            <w:tabs>
              <w:tab w:val="left" w:pos="1296"/>
              <w:tab w:val="left" w:leader="dot" w:pos="14404"/>
            </w:tabs>
            <w:spacing w:before="241" w:after="0" w:line="240" w:lineRule="auto"/>
            <w:ind w:left="1295" w:right="0" w:hanging="542"/>
            <w:jc w:val="left"/>
          </w:pPr>
          <w:hyperlink w:anchor="_TOC_250012" w:history="1">
            <w:r>
              <w:t>、混凝土浇筑</w:t>
              <w:tab/>
              <w:t>8</w:t>
            </w:r>
          </w:hyperlink>
        </w:p>
        <w:p>
          <w:pPr>
            <w:pStyle w:val="TOC2"/>
            <w:numPr>
              <w:ilvl w:val="1"/>
              <w:numId w:val="17"/>
            </w:numPr>
            <w:tabs>
              <w:tab w:val="left" w:pos="1296"/>
              <w:tab w:val="left" w:leader="dot" w:pos="14224"/>
            </w:tabs>
            <w:spacing w:before="241" w:after="0" w:line="240" w:lineRule="auto"/>
            <w:ind w:left="1295" w:right="0" w:hanging="542"/>
            <w:jc w:val="left"/>
          </w:pPr>
          <w:hyperlink w:anchor="_TOC_250011" w:history="1">
            <w:r>
              <w:t>、混凝土测温</w:t>
              <w:tab/>
              <w:t>11</w:t>
            </w:r>
          </w:hyperlink>
        </w:p>
        <w:p>
          <w:pPr>
            <w:pStyle w:val="TOC2"/>
            <w:numPr>
              <w:ilvl w:val="1"/>
              <w:numId w:val="17"/>
            </w:numPr>
            <w:tabs>
              <w:tab w:val="left" w:pos="1296"/>
              <w:tab w:val="left" w:leader="dot" w:pos="14224"/>
            </w:tabs>
            <w:spacing w:before="241" w:after="0" w:line="240" w:lineRule="auto"/>
            <w:ind w:left="1295" w:right="0" w:hanging="542"/>
            <w:jc w:val="left"/>
          </w:pPr>
          <w:hyperlink w:anchor="_TOC_250010" w:history="1">
            <w:r>
              <w:t>、加强施工中的温度控制，削减温度应力</w:t>
              <w:tab/>
              <w:t>12</w:t>
            </w:r>
          </w:hyperlink>
        </w:p>
        <w:p>
          <w:pPr>
            <w:pStyle w:val="TOC2"/>
            <w:numPr>
              <w:ilvl w:val="1"/>
              <w:numId w:val="17"/>
            </w:numPr>
            <w:tabs>
              <w:tab w:val="left" w:pos="1296"/>
              <w:tab w:val="left" w:leader="dot" w:pos="14224"/>
            </w:tabs>
            <w:spacing w:before="240" w:after="0" w:line="240" w:lineRule="auto"/>
            <w:ind w:left="1295" w:right="0" w:hanging="542"/>
            <w:jc w:val="left"/>
          </w:pPr>
          <w:hyperlink w:anchor="_TOC_250009" w:history="1">
            <w:r>
              <w:t>、混凝土养护</w:t>
              <w:tab/>
              <w:t>12</w:t>
            </w:r>
          </w:hyperlink>
        </w:p>
        <w:p>
          <w:pPr>
            <w:pStyle w:val="TOC1"/>
            <w:tabs>
              <w:tab w:val="left" w:leader="dot" w:pos="14096"/>
            </w:tabs>
          </w:pPr>
          <w:hyperlink w:anchor="_TOC_250008" w:history="1">
            <w:r>
              <w:t>六、主要管理措施</w:t>
              <w:tab/>
              <w:t>13</w:t>
            </w:r>
          </w:hyperlink>
        </w:p>
        <w:p>
          <w:pPr>
            <w:pStyle w:val="TOC1"/>
            <w:tabs>
              <w:tab w:val="left" w:leader="dot" w:pos="14096"/>
            </w:tabs>
          </w:pPr>
          <w:hyperlink w:anchor="_TOC_250007" w:history="1">
            <w:r>
              <w:t>七、</w:t>
            </w:r>
            <w:r>
              <w:rPr>
                <w:spacing w:val="-3"/>
              </w:rPr>
              <w:t xml:space="preserve"> </w:t>
            </w:r>
            <w:r>
              <w:t>质量保证措施</w:t>
              <w:tab/>
              <w:t>13</w:t>
            </w:r>
          </w:hyperlink>
        </w:p>
        <w:p>
          <w:pPr>
            <w:pStyle w:val="TOC1"/>
            <w:tabs>
              <w:tab w:val="left" w:leader="dot" w:pos="14096"/>
            </w:tabs>
          </w:pPr>
          <w:hyperlink w:anchor="_TOC_250006" w:history="1">
            <w:r>
              <w:t>八、施工安全措施</w:t>
              <w:tab/>
              <w:t>14</w:t>
            </w:r>
          </w:hyperlink>
        </w:p>
        <w:p>
          <w:pPr>
            <w:pStyle w:val="TOC1"/>
            <w:tabs>
              <w:tab w:val="left" w:leader="dot" w:pos="14096"/>
            </w:tabs>
          </w:pPr>
          <w:hyperlink w:anchor="_TOC_250005" w:history="1">
            <w:r>
              <w:t>九、大体积砼浇筑应急措施</w:t>
              <w:tab/>
              <w:t>14</w:t>
            </w:r>
          </w:hyperlink>
        </w:p>
        <w:p>
          <w:pPr>
            <w:pStyle w:val="TOC2"/>
            <w:numPr>
              <w:ilvl w:val="1"/>
              <w:numId w:val="16"/>
            </w:numPr>
            <w:tabs>
              <w:tab w:val="left" w:pos="1296"/>
              <w:tab w:val="left" w:leader="dot" w:pos="14224"/>
            </w:tabs>
            <w:spacing w:before="241" w:after="0" w:line="240" w:lineRule="auto"/>
            <w:ind w:left="1295" w:right="0" w:hanging="542"/>
            <w:jc w:val="left"/>
          </w:pPr>
          <w:hyperlink w:anchor="_TOC_250004" w:history="1">
            <w:r>
              <w:t>、混凝土运输受阻</w:t>
              <w:tab/>
              <w:t>14</w:t>
            </w:r>
          </w:hyperlink>
        </w:p>
        <w:p>
          <w:pPr>
            <w:pStyle w:val="TOC2"/>
            <w:numPr>
              <w:ilvl w:val="1"/>
              <w:numId w:val="16"/>
            </w:numPr>
            <w:tabs>
              <w:tab w:val="left" w:pos="1296"/>
              <w:tab w:val="left" w:leader="dot" w:pos="14224"/>
            </w:tabs>
            <w:spacing w:before="240" w:after="0" w:line="240" w:lineRule="auto"/>
            <w:ind w:left="1295" w:right="0" w:hanging="542"/>
            <w:jc w:val="left"/>
          </w:pPr>
          <w:hyperlink w:anchor="_TOC_250003" w:history="1">
            <w:r>
              <w:t>、机械故障</w:t>
              <w:tab/>
              <w:t>15</w:t>
            </w:r>
          </w:hyperlink>
        </w:p>
        <w:p>
          <w:pPr>
            <w:pStyle w:val="TOC2"/>
            <w:numPr>
              <w:ilvl w:val="1"/>
              <w:numId w:val="16"/>
            </w:numPr>
            <w:tabs>
              <w:tab w:val="left" w:pos="1296"/>
              <w:tab w:val="left" w:leader="dot" w:pos="14224"/>
            </w:tabs>
            <w:spacing w:before="241" w:after="0" w:line="240" w:lineRule="auto"/>
            <w:ind w:left="1295" w:right="0" w:hanging="542"/>
            <w:jc w:val="left"/>
          </w:pPr>
          <w:hyperlink w:anchor="_TOC_250002" w:history="1">
            <w:r>
              <w:t>、浇筑过程中突然停电</w:t>
              <w:tab/>
              <w:t>16</w:t>
            </w:r>
          </w:hyperlink>
        </w:p>
        <w:p>
          <w:pPr>
            <w:pStyle w:val="TOC2"/>
            <w:numPr>
              <w:ilvl w:val="1"/>
              <w:numId w:val="16"/>
            </w:numPr>
            <w:tabs>
              <w:tab w:val="left" w:pos="1296"/>
              <w:tab w:val="left" w:leader="dot" w:pos="14224"/>
            </w:tabs>
            <w:spacing w:before="241" w:after="0" w:line="240" w:lineRule="auto"/>
            <w:ind w:left="1295" w:right="0" w:hanging="542"/>
            <w:jc w:val="left"/>
          </w:pPr>
          <w:hyperlink w:anchor="_TOC_250001" w:history="1">
            <w:r>
              <w:t>、天气变化</w:t>
              <w:tab/>
              <w:t>16</w:t>
            </w:r>
          </w:hyperlink>
        </w:p>
        <w:p>
          <w:pPr>
            <w:pStyle w:val="TOC2"/>
            <w:numPr>
              <w:ilvl w:val="1"/>
              <w:numId w:val="16"/>
            </w:numPr>
            <w:tabs>
              <w:tab w:val="left" w:pos="1296"/>
              <w:tab w:val="left" w:leader="dot" w:pos="14224"/>
            </w:tabs>
            <w:spacing w:before="241" w:after="0" w:line="240" w:lineRule="auto"/>
            <w:ind w:left="1295" w:right="0" w:hanging="542"/>
            <w:jc w:val="left"/>
          </w:pPr>
          <w:hyperlink w:anchor="_TOC_250000" w:history="1">
            <w:r>
              <w:t>、入模温度的控制</w:t>
              <w:tab/>
              <w:t>16</w:t>
            </w:r>
          </w:hyperlink>
        </w:p>
        <w:p>
          <w:pPr>
            <w:pStyle w:val="TOC1"/>
            <w:tabs>
              <w:tab w:val="left" w:leader="dot" w:pos="14096"/>
            </w:tabs>
          </w:pPr>
          <w:r>
            <w:t>十、大体积砼浇筑温度应力与收缩应力计算</w:t>
            <w:tab/>
            <w:t>15</w:t>
          </w:r>
        </w:p>
        <w:p>
          <w:pPr>
            <w:pStyle w:val="TOC1"/>
            <w:tabs>
              <w:tab w:val="left" w:leader="dot" w:pos="14096"/>
            </w:tabs>
          </w:pPr>
          <w:r>
            <w:t>十一、大体积砼浇筑测温表</w:t>
            <w:tab/>
            <w:t>20</w:t>
          </w:r>
        </w:p>
      </w:sdtContent>
    </w:sdt>
    <w:p>
      <w:pPr>
        <w:spacing w:after="0"/>
        <w:sectPr>
          <w:headerReference w:type="default" r:id="rId10"/>
          <w:footerReference w:type="default" r:id="rId11"/>
          <w:pgSz w:w="17860" w:h="25260"/>
          <w:pgMar w:top="1780" w:right="820" w:bottom="2020" w:left="2000" w:header="1024" w:footer="1823"/>
          <w:pgNumType w:start="4"/>
          <w:cols w:space="708"/>
        </w:sectPr>
      </w:pPr>
    </w:p>
    <w:p>
      <w:pPr>
        <w:pStyle w:val="Heading1"/>
        <w:spacing w:before="167"/>
      </w:pPr>
      <w:bookmarkStart w:id="0" w:name="_TOC_250018"/>
      <w:bookmarkEnd w:id="0"/>
      <w:r>
        <w:t>一、编制依据</w:t>
      </w:r>
    </w:p>
    <w:p>
      <w:pPr>
        <w:pStyle w:val="BodyText"/>
        <w:spacing w:before="370"/>
        <w:ind w:left="124"/>
      </w:pPr>
      <w:r>
        <w:t>1、建设部标准建筑基坑支护技术规程《JGJ120-2012》;</w:t>
      </w:r>
    </w:p>
    <w:p>
      <w:pPr>
        <w:pStyle w:val="BodyText"/>
        <w:spacing w:before="241"/>
        <w:ind w:left="124"/>
      </w:pPr>
      <w:r>
        <w:t>2、国家标准建筑地基基础设计规范《GB50007-2011》;</w:t>
      </w:r>
    </w:p>
    <w:p>
      <w:pPr>
        <w:pStyle w:val="BodyText"/>
        <w:spacing w:before="240"/>
        <w:ind w:left="124"/>
      </w:pPr>
      <w:r>
        <w:t>3、建设部标准建筑地基处理技术规范《JGJ179-2012》;</w:t>
      </w:r>
    </w:p>
    <w:p>
      <w:pPr>
        <w:pStyle w:val="BodyText"/>
        <w:spacing w:before="241"/>
        <w:ind w:left="124"/>
      </w:pPr>
      <w:r>
        <w:t>4、国家标准建筑结构荷载规范《GB50009-2012》;</w:t>
      </w:r>
    </w:p>
    <w:p>
      <w:pPr>
        <w:pStyle w:val="BodyText"/>
        <w:spacing w:before="241"/>
        <w:ind w:left="124"/>
      </w:pPr>
      <w:r>
        <w:t>5、《混凝土结构工程施工质量验收规范》（GB50204-2015）;</w:t>
      </w:r>
    </w:p>
    <w:p>
      <w:pPr>
        <w:pStyle w:val="BodyText"/>
        <w:spacing w:before="241"/>
        <w:ind w:left="124"/>
      </w:pPr>
      <w:r>
        <w:t>6、《水工混凝土施工规范》（DL/T5144-2001);</w:t>
      </w:r>
    </w:p>
    <w:p>
      <w:pPr>
        <w:pStyle w:val="BodyText"/>
        <w:spacing w:before="240"/>
        <w:ind w:left="124"/>
      </w:pPr>
      <w:r>
        <w:t>7、《大体积混凝土温度测控技术规范》（GB/T51028—2015）</w:t>
      </w:r>
    </w:p>
    <w:p>
      <w:pPr>
        <w:pStyle w:val="BodyText"/>
        <w:spacing w:before="242"/>
        <w:ind w:left="124"/>
      </w:pPr>
      <w:r>
        <w:t>8</w:t>
      </w:r>
      <w:r>
        <w:rPr>
          <w:spacing w:val="-17"/>
        </w:rPr>
        <w:t>、《电力建设安全工作规程</w:t>
      </w:r>
      <w:r>
        <w:t>（火力发电厂</w:t>
      </w:r>
      <w:r>
        <w:rPr>
          <w:spacing w:val="-180"/>
        </w:rPr>
        <w:t>）》</w:t>
      </w:r>
      <w:r>
        <w:t>（DL5009.1-2014）;</w:t>
      </w:r>
    </w:p>
    <w:p>
      <w:pPr>
        <w:pStyle w:val="BodyText"/>
        <w:spacing w:before="241"/>
        <w:ind w:left="124"/>
      </w:pPr>
      <w:r>
        <w:t>9、《建筑施工扣件式钢管脚手架安全技术规范》（JGJ130-2011）;</w:t>
      </w:r>
    </w:p>
    <w:p>
      <w:pPr>
        <w:pStyle w:val="BodyText"/>
        <w:spacing w:before="240"/>
        <w:ind w:left="124"/>
      </w:pPr>
      <w:r>
        <w:t>10、《工程建设标准强制性条文》(2011 年版)电力工程部分标准，中国电力出版社，2012 年</w:t>
      </w:r>
    </w:p>
    <w:p>
      <w:pPr>
        <w:pStyle w:val="BodyText"/>
        <w:spacing w:before="241"/>
        <w:ind w:left="124"/>
      </w:pPr>
      <w:r>
        <w:t>3 月第一版;</w:t>
      </w:r>
    </w:p>
    <w:p>
      <w:pPr>
        <w:pStyle w:val="BodyText"/>
        <w:spacing w:before="241"/>
        <w:ind w:left="124"/>
      </w:pPr>
      <w:r>
        <w:t>11</w:t>
      </w:r>
      <w:r>
        <w:rPr>
          <w:spacing w:val="-41"/>
        </w:rPr>
        <w:t>、《建筑施工手册》</w:t>
      </w:r>
      <w:r>
        <w:t>（2003</w:t>
      </w:r>
      <w:r>
        <w:rPr>
          <w:spacing w:val="-60"/>
        </w:rPr>
        <w:t xml:space="preserve"> 年 </w:t>
      </w:r>
      <w:r>
        <w:t>9</w:t>
      </w:r>
      <w:r>
        <w:rPr>
          <w:spacing w:val="-9"/>
        </w:rPr>
        <w:t xml:space="preserve"> 月第四版，中国建筑工业出版社);</w:t>
      </w:r>
    </w:p>
    <w:p>
      <w:pPr>
        <w:pStyle w:val="BodyText"/>
        <w:spacing w:before="241"/>
        <w:ind w:left="124"/>
      </w:pPr>
      <w:r>
        <w:t>12、翻车机室地下部分施工图 F6141S-T060207(208);</w:t>
      </w:r>
    </w:p>
    <w:p>
      <w:pPr>
        <w:pStyle w:val="BodyText"/>
        <w:spacing w:before="240"/>
        <w:ind w:left="124"/>
      </w:pPr>
      <w:r>
        <w:t>14、西北电力设计院——相关设计标准通用图纸;</w:t>
      </w:r>
    </w:p>
    <w:p>
      <w:pPr>
        <w:pStyle w:val="BodyText"/>
        <w:spacing w:before="242" w:line="364" w:lineRule="auto"/>
        <w:ind w:left="124" w:right="449"/>
      </w:pPr>
      <w:r>
        <w:t>15</w:t>
      </w:r>
      <w:r>
        <w:rPr>
          <w:spacing w:val="-13"/>
        </w:rPr>
        <w:t xml:space="preserve"> 中国电力工程顾问集团西北电力设计院——《甘肃电投常乐电厂 </w:t>
      </w:r>
      <w:r>
        <w:t>4×1000MW1</w:t>
      </w:r>
      <w:r>
        <w:rPr>
          <w:spacing w:val="-15"/>
        </w:rPr>
        <w:t>、</w:t>
      </w:r>
      <w:r>
        <w:t>2</w:t>
      </w:r>
      <w:r>
        <w:rPr>
          <w:spacing w:val="-22"/>
        </w:rPr>
        <w:t xml:space="preserve"> 号机组工</w:t>
      </w:r>
      <w:r>
        <w:t>程岩土工程勘察报告》;</w:t>
      </w:r>
    </w:p>
    <w:p>
      <w:pPr>
        <w:pStyle w:val="BodyText"/>
        <w:spacing w:before="1"/>
        <w:ind w:left="124"/>
      </w:pPr>
      <w:r>
        <w:t>16、大体积混凝土施工规范《GB50496-2012》</w:t>
      </w:r>
    </w:p>
    <w:p>
      <w:pPr>
        <w:pStyle w:val="BodyText"/>
        <w:spacing w:before="241"/>
        <w:ind w:left="124"/>
      </w:pPr>
      <w:r>
        <w:t>17、电力建设施工质量验收及评价规程（第一部分土建工程</w:t>
      </w:r>
      <w:r>
        <w:rPr>
          <w:spacing w:val="-180"/>
        </w:rPr>
        <w:t>）</w:t>
      </w:r>
      <w:r>
        <w:t>《DL/T5210.1—2012》</w:t>
      </w:r>
    </w:p>
    <w:p>
      <w:pPr>
        <w:pStyle w:val="Heading1"/>
        <w:spacing w:before="269"/>
      </w:pPr>
      <w:bookmarkStart w:id="1" w:name="_TOC_250017"/>
      <w:bookmarkEnd w:id="1"/>
      <w:r>
        <w:t>二、工程概况</w:t>
      </w:r>
    </w:p>
    <w:p>
      <w:pPr>
        <w:pStyle w:val="BodyText"/>
        <w:spacing w:before="370" w:line="364" w:lineRule="auto"/>
        <w:ind w:left="124" w:right="274" w:firstLine="720"/>
      </w:pPr>
      <w:r>
        <w:t>本工程为新建两台 1000MW</w:t>
      </w:r>
      <w:r>
        <w:rPr>
          <w:spacing w:val="-9"/>
        </w:rPr>
        <w:t xml:space="preserve"> 超临界间接空冷凝汽式机组，同步建设烟气脱硫、脱硝设施， </w:t>
      </w:r>
      <w:r>
        <w:t>采用 750kV</w:t>
      </w:r>
      <w:r>
        <w:rPr>
          <w:spacing w:val="-12"/>
        </w:rPr>
        <w:t xml:space="preserve"> 一级电压，接入酒泉</w:t>
      </w:r>
      <w:r>
        <w:t xml:space="preserve">+800kV 换流站。本工程按四台机组进行规划，分步建设， </w:t>
      </w:r>
      <w:r>
        <w:rPr>
          <w:spacing w:val="-8"/>
        </w:rPr>
        <w:t>本阶段按两台机组</w:t>
      </w:r>
      <w:r>
        <w:t>（1</w:t>
      </w:r>
      <w:r>
        <w:rPr>
          <w:spacing w:val="-57"/>
        </w:rPr>
        <w:t>、</w:t>
      </w:r>
      <w:r>
        <w:t>2</w:t>
      </w:r>
      <w:r>
        <w:rPr>
          <w:spacing w:val="-1"/>
        </w:rPr>
        <w:t xml:space="preserve"> 号机组</w:t>
      </w:r>
      <w:r>
        <w:rPr>
          <w:spacing w:val="-62"/>
        </w:rPr>
        <w:t>）</w:t>
      </w:r>
      <w:r>
        <w:rPr>
          <w:spacing w:val="-7"/>
        </w:rPr>
        <w:t xml:space="preserve">进行设计施工建设，必须的公用系统随 </w:t>
      </w:r>
      <w:r>
        <w:t>1</w:t>
      </w:r>
      <w:r>
        <w:rPr>
          <w:spacing w:val="-62"/>
        </w:rPr>
        <w:t>、</w:t>
      </w:r>
      <w:r>
        <w:t>2</w:t>
      </w:r>
      <w:r>
        <w:rPr>
          <w:spacing w:val="-3"/>
        </w:rPr>
        <w:t xml:space="preserve"> 号机组建设， </w:t>
      </w:r>
      <w:r>
        <w:t>甘肃电投常乐电厂火电调峰项目工程汽车卸煤沟位于厂区西面，为独立钢筋混凝土结构，由西北电力设计院设计。</w:t>
      </w:r>
    </w:p>
    <w:p>
      <w:pPr>
        <w:pStyle w:val="BodyText"/>
        <w:spacing w:before="5" w:line="364" w:lineRule="auto"/>
        <w:ind w:left="124" w:right="420" w:firstLine="720"/>
      </w:pPr>
      <w:r>
        <w:t>汽车卸煤沟工程基础采用筏板基础（</w:t>
      </w:r>
      <w:r>
        <w:rPr>
          <w:spacing w:val="-15"/>
        </w:rPr>
        <w:t xml:space="preserve">轴线尺寸为 </w:t>
      </w:r>
      <w:r>
        <w:t>80.8m×8.2m</w:t>
      </w:r>
      <w:r>
        <w:rPr>
          <w:spacing w:val="-180"/>
        </w:rPr>
        <w:t>）</w:t>
      </w:r>
      <w:r>
        <w:t>，基础垫层底标高为 1400.65</w:t>
      </w:r>
      <w:r>
        <w:rPr>
          <w:spacing w:val="-1"/>
        </w:rPr>
        <w:t>m</w:t>
      </w:r>
      <w:r>
        <w:t>，±0.000</w:t>
      </w:r>
      <w:r>
        <w:rPr>
          <w:spacing w:val="-27"/>
        </w:rPr>
        <w:t xml:space="preserve"> 米绝对标高 </w:t>
      </w:r>
      <w:r>
        <w:t>1413.20M，</w:t>
      </w:r>
      <w:r>
        <w:rPr>
          <w:spacing w:val="-12"/>
        </w:rPr>
        <w:t xml:space="preserve">地下一层，层高 </w:t>
      </w:r>
      <w:r>
        <w:t>1402.3-1413.1</w:t>
      </w:r>
      <w:r>
        <w:rPr>
          <w:spacing w:val="1"/>
        </w:rPr>
        <w:t>7</w:t>
      </w:r>
      <w:r>
        <w:t>（10.87M</w:t>
      </w:r>
      <w:r>
        <w:rPr>
          <w:spacing w:val="-180"/>
        </w:rPr>
        <w:t>）</w:t>
      </w:r>
      <w:r>
        <w:t>，墙</w:t>
      </w:r>
      <w:r>
        <w:rPr>
          <w:spacing w:val="-23"/>
        </w:rPr>
        <w:t xml:space="preserve">厚根部 </w:t>
      </w:r>
      <w:r>
        <w:t>1.4M</w:t>
      </w:r>
      <w:r>
        <w:rPr>
          <w:spacing w:val="-23"/>
        </w:rPr>
        <w:t xml:space="preserve">、顶部 </w:t>
      </w:r>
      <w:r>
        <w:t>1M，</w:t>
      </w:r>
      <w:r>
        <w:rPr>
          <w:spacing w:val="-23"/>
        </w:rPr>
        <w:t xml:space="preserve">筏板厚 </w:t>
      </w:r>
      <w:r>
        <w:t>1.5M，</w:t>
      </w:r>
      <w:r>
        <w:rPr>
          <w:spacing w:val="-8"/>
        </w:rPr>
        <w:t xml:space="preserve">筏板及墙体混凝土强度为 </w:t>
      </w:r>
      <w:r>
        <w:t>C40</w:t>
      </w:r>
      <w:r>
        <w:rPr>
          <w:spacing w:val="-15"/>
        </w:rPr>
        <w:t xml:space="preserve">、抗渗等级 </w:t>
      </w:r>
      <w:r>
        <w:t>P8、抗冻等</w:t>
      </w:r>
      <w:r>
        <w:rPr>
          <w:spacing w:val="-46"/>
        </w:rPr>
        <w:t xml:space="preserve">级 </w:t>
      </w:r>
      <w:r>
        <w:t>F150</w:t>
      </w:r>
      <w:r>
        <w:rPr>
          <w:spacing w:val="-9"/>
        </w:rPr>
        <w:t xml:space="preserve">，本结构设计使用年限 </w:t>
      </w:r>
      <w:r>
        <w:t>50</w:t>
      </w:r>
      <w:r>
        <w:rPr>
          <w:spacing w:val="-19"/>
        </w:rPr>
        <w:t xml:space="preserve"> 年、筏板混凝土体积 </w:t>
      </w:r>
      <w:r>
        <w:t>1413</w:t>
      </w:r>
      <w:r>
        <w:rPr>
          <w:spacing w:val="-17"/>
        </w:rPr>
        <w:t xml:space="preserve"> 立方米、根据伸缩缝分为 </w:t>
      </w:r>
      <w:r>
        <w:t>4</w:t>
      </w:r>
      <w:r>
        <w:rPr>
          <w:spacing w:val="-35"/>
        </w:rPr>
        <w:t xml:space="preserve"> 段，</w:t>
      </w:r>
    </w:p>
    <w:p>
      <w:pPr>
        <w:spacing w:after="0" w:line="364" w:lineRule="auto"/>
        <w:sectPr>
          <w:headerReference w:type="default" r:id="rId12"/>
          <w:footerReference w:type="default" r:id="rId13"/>
          <w:pgSz w:w="17860" w:h="25260"/>
          <w:pgMar w:top="1780" w:right="820" w:bottom="2040" w:left="2000" w:header="1024" w:footer="1823"/>
          <w:pgNumType w:start="5"/>
          <w:cols w:space="708"/>
        </w:sectPr>
      </w:pPr>
    </w:p>
    <w:p>
      <w:pPr>
        <w:pStyle w:val="BodyText"/>
        <w:spacing w:before="138" w:line="364" w:lineRule="auto"/>
        <w:ind w:left="124" w:right="274"/>
      </w:pPr>
      <w:r>
        <w:rPr>
          <w:spacing w:val="-22"/>
        </w:rPr>
        <w:t xml:space="preserve">由北向南分别是、第一施工段 </w:t>
      </w:r>
      <w:r>
        <w:t>11M×25.705M</w:t>
      </w:r>
      <w:r>
        <w:rPr>
          <w:spacing w:val="-33"/>
        </w:rPr>
        <w:t xml:space="preserve"> 混凝土量 </w:t>
      </w:r>
      <w:r>
        <w:t>419.7</w:t>
      </w:r>
      <w:r>
        <w:rPr>
          <w:spacing w:val="-36"/>
        </w:rPr>
        <w:t xml:space="preserve"> 立方米，第二施工段 </w:t>
      </w:r>
      <w:r>
        <w:t xml:space="preserve">11M×27.07M </w:t>
      </w:r>
      <w:r>
        <w:rPr>
          <w:spacing w:val="-19"/>
        </w:rPr>
        <w:t xml:space="preserve">混凝土量 </w:t>
      </w:r>
      <w:r>
        <w:t>446.655</w:t>
      </w:r>
      <w:r>
        <w:rPr>
          <w:spacing w:val="-25"/>
        </w:rPr>
        <w:t xml:space="preserve"> 立方米，第三施工段 </w:t>
      </w:r>
      <w:r>
        <w:t>11M×20.57MH</w:t>
      </w:r>
      <w:r>
        <w:rPr>
          <w:spacing w:val="-31"/>
        </w:rPr>
        <w:t xml:space="preserve"> 混凝土量 </w:t>
      </w:r>
      <w:r>
        <w:t>339.405</w:t>
      </w:r>
      <w:r>
        <w:rPr>
          <w:spacing w:val="-18"/>
        </w:rPr>
        <w:t xml:space="preserve"> 立方米，第四施工段11M×10.705M</w:t>
      </w:r>
      <w:r>
        <w:rPr>
          <w:spacing w:val="-31"/>
        </w:rPr>
        <w:t xml:space="preserve"> 混凝土量 </w:t>
      </w:r>
      <w:r>
        <w:t>206.613</w:t>
      </w:r>
      <w:r>
        <w:rPr>
          <w:spacing w:val="-22"/>
        </w:rPr>
        <w:t xml:space="preserve"> 立方米，</w:t>
      </w:r>
      <w:r>
        <w:rPr>
          <w:spacing w:val="-16"/>
        </w:rPr>
        <w:t>1.4</w:t>
      </w:r>
      <w:r>
        <w:rPr>
          <w:spacing w:val="-24"/>
        </w:rPr>
        <w:t xml:space="preserve"> 米厚墙壁上翻 </w:t>
      </w:r>
      <w:r>
        <w:t>0.5M</w:t>
      </w:r>
      <w:r>
        <w:rPr>
          <w:spacing w:val="-31"/>
        </w:rPr>
        <w:t xml:space="preserve"> 混凝土量 </w:t>
      </w:r>
      <w:r>
        <w:t>134</w:t>
      </w:r>
      <w:r>
        <w:rPr>
          <w:spacing w:val="-23"/>
        </w:rPr>
        <w:t xml:space="preserve"> 立方米、环境</w:t>
      </w:r>
      <w:r>
        <w:rPr>
          <w:spacing w:val="-40"/>
        </w:rPr>
        <w:t xml:space="preserve">类别三 </w:t>
      </w:r>
      <w:r>
        <w:t>b</w:t>
      </w:r>
      <w:r>
        <w:rPr>
          <w:spacing w:val="-15"/>
        </w:rPr>
        <w:t xml:space="preserve"> 类、结构安全等级二级、抗震设防烈度 </w:t>
      </w:r>
      <w:r>
        <w:t>7</w:t>
      </w:r>
      <w:r>
        <w:rPr>
          <w:spacing w:val="-10"/>
        </w:rPr>
        <w:t xml:space="preserve"> 度、建筑场地类别二类，考虑大体积混凝</w:t>
      </w:r>
      <w:r>
        <w:rPr>
          <w:spacing w:val="-29"/>
        </w:rPr>
        <w:t>土水化热问题，宜采用底水化热的普通硅酸盐水泥，对混凝土耐久性的要求</w:t>
      </w:r>
      <w:r>
        <w:t>（</w:t>
      </w:r>
      <w:r>
        <w:rPr>
          <w:spacing w:val="11"/>
        </w:rPr>
        <w:t>最大水饺比</w:t>
      </w:r>
      <w:r>
        <w:t>0.40</w:t>
      </w:r>
      <w:r>
        <w:rPr>
          <w:spacing w:val="-18"/>
        </w:rPr>
        <w:t>、</w:t>
      </w:r>
      <w:r>
        <w:rPr>
          <w:spacing w:val="-12"/>
        </w:rPr>
        <w:t xml:space="preserve">最大氯离子含量 </w:t>
      </w:r>
      <w:r>
        <w:t>0.08%</w:t>
      </w:r>
      <w:r>
        <w:rPr>
          <w:spacing w:val="-13"/>
        </w:rPr>
        <w:t xml:space="preserve">、最大碱含量 </w:t>
      </w:r>
      <w:r>
        <w:t>3.0Kg/M</w:t>
      </w:r>
      <w:r>
        <w:rPr>
          <w:position w:val="3"/>
          <w:sz w:val="18"/>
        </w:rPr>
        <w:t>3</w:t>
      </w:r>
      <w:r>
        <w:rPr>
          <w:spacing w:val="-9"/>
        </w:rPr>
        <w:t xml:space="preserve">、最小胶凝材料用量 </w:t>
      </w:r>
      <w:r>
        <w:t>340Kg/</w:t>
      </w:r>
      <w:r>
        <w:rPr>
          <w:spacing w:val="1"/>
        </w:rPr>
        <w:t>M</w:t>
      </w:r>
      <w:r>
        <w:rPr>
          <w:position w:val="3"/>
          <w:sz w:val="18"/>
        </w:rPr>
        <w:t>3</w:t>
      </w:r>
      <w:r>
        <w:rPr>
          <w:spacing w:val="-180"/>
        </w:rPr>
        <w:t>）</w:t>
      </w:r>
      <w:r>
        <w:t>。</w:t>
      </w:r>
    </w:p>
    <w:p>
      <w:pPr>
        <w:pStyle w:val="Heading1"/>
        <w:spacing w:before="34"/>
      </w:pPr>
      <w:bookmarkStart w:id="2" w:name="_TOC_250016"/>
      <w:bookmarkEnd w:id="2"/>
      <w:r>
        <w:t>三、施工准备工作</w:t>
      </w:r>
    </w:p>
    <w:p>
      <w:pPr>
        <w:pStyle w:val="BodyText"/>
        <w:spacing w:before="370" w:line="364" w:lineRule="auto"/>
        <w:ind w:left="124" w:right="512" w:firstLine="720"/>
        <w:jc w:val="both"/>
      </w:pPr>
      <w:r>
        <w:t>大体积混凝土的施工技术要求比较高，特别在施工中要防止混凝土因水泥水化热引起的温度差产生温度应力裂缝。因此需要从材料选择上、技术措施等有关环节做好充分的准备工作，才能保证基础底板大体积混凝土顺利施工。</w:t>
      </w:r>
    </w:p>
    <w:p>
      <w:pPr>
        <w:pStyle w:val="BodyText"/>
        <w:spacing w:before="4" w:line="364" w:lineRule="auto"/>
        <w:ind w:left="124" w:right="152" w:firstLine="720"/>
        <w:rPr>
          <w:b/>
        </w:rPr>
      </w:pPr>
      <w:r>
        <w:t xml:space="preserve">对混凝土搅拌站进行监控，在混凝土浇筑期间，派驻技术人员对混凝土搅拌站的原料、 </w:t>
      </w:r>
      <w:r>
        <w:rPr>
          <w:spacing w:val="-1"/>
        </w:rPr>
        <w:t>质量规范化，计量温度及坍落度进行跟踪检查，记录，确保供应的连续、匀速，质量的稳定。</w:t>
      </w:r>
      <w:r>
        <w:rPr>
          <w:b/>
          <w:spacing w:val="2"/>
        </w:rPr>
        <w:t>3.1</w:t>
      </w:r>
      <w:r>
        <w:rPr>
          <w:b/>
        </w:rPr>
        <w:t>、材料选择</w:t>
      </w:r>
    </w:p>
    <w:p>
      <w:pPr>
        <w:pStyle w:val="BodyText"/>
        <w:spacing w:before="2"/>
        <w:ind w:left="844"/>
      </w:pPr>
      <w:r>
        <w:t>对主要材料要求如下：</w:t>
      </w:r>
    </w:p>
    <w:p>
      <w:pPr>
        <w:pStyle w:val="ListParagraph"/>
        <w:numPr>
          <w:ilvl w:val="0"/>
          <w:numId w:val="2"/>
        </w:numPr>
        <w:tabs>
          <w:tab w:val="left" w:pos="1746"/>
        </w:tabs>
        <w:spacing w:before="241" w:after="0" w:line="364" w:lineRule="auto"/>
        <w:ind w:left="124" w:right="334" w:firstLine="720"/>
        <w:jc w:val="left"/>
        <w:rPr>
          <w:sz w:val="36"/>
        </w:rPr>
      </w:pPr>
      <w:r>
        <w:rPr>
          <w:spacing w:val="-1"/>
          <w:sz w:val="36"/>
        </w:rPr>
        <w:t>水泥：考虑普通水泥水化热较高，特别是应用到大体积混凝土中，大量水泥水化热</w:t>
      </w:r>
      <w:r>
        <w:rPr>
          <w:sz w:val="36"/>
        </w:rPr>
        <w:t>不易散发，在混凝土内部温度过高，与混凝土表面产生较大的温度差，使混凝土内部产生预应力，表面产生拉应力。当表面拉应力超过早期混凝土抗拉强度时就会产生温度裂缝，因此</w:t>
      </w:r>
      <w:r>
        <w:rPr>
          <w:spacing w:val="-8"/>
          <w:sz w:val="36"/>
        </w:rPr>
        <w:t xml:space="preserve">确定采用水化热比较低的 </w:t>
      </w:r>
      <w:r>
        <w:rPr>
          <w:sz w:val="36"/>
        </w:rPr>
        <w:t>P.O42.5</w:t>
      </w:r>
      <w:r>
        <w:rPr>
          <w:spacing w:val="-12"/>
          <w:sz w:val="36"/>
        </w:rPr>
        <w:t xml:space="preserve"> 普通硅酸盐水泥。</w:t>
      </w:r>
    </w:p>
    <w:p>
      <w:pPr>
        <w:pStyle w:val="ListParagraph"/>
        <w:numPr>
          <w:ilvl w:val="0"/>
          <w:numId w:val="2"/>
        </w:numPr>
        <w:tabs>
          <w:tab w:val="left" w:pos="1746"/>
        </w:tabs>
        <w:spacing w:before="4" w:after="0" w:line="364" w:lineRule="auto"/>
        <w:ind w:left="124" w:right="511" w:firstLine="720"/>
        <w:jc w:val="both"/>
        <w:rPr>
          <w:sz w:val="36"/>
        </w:rPr>
      </w:pPr>
      <w:r>
        <w:rPr>
          <w:spacing w:val="-8"/>
          <w:sz w:val="36"/>
        </w:rPr>
        <w:t xml:space="preserve">粗骨料：采用碎石，粒径 </w:t>
      </w:r>
      <w:r>
        <w:rPr>
          <w:sz w:val="36"/>
        </w:rPr>
        <w:t>5-31.5mm，</w:t>
      </w:r>
      <w:r>
        <w:rPr>
          <w:spacing w:val="-13"/>
          <w:sz w:val="36"/>
        </w:rPr>
        <w:t xml:space="preserve">含泥量不大于 </w:t>
      </w:r>
      <w:r>
        <w:rPr>
          <w:sz w:val="36"/>
        </w:rPr>
        <w:t>1%</w:t>
      </w:r>
      <w:r>
        <w:rPr>
          <w:spacing w:val="-2"/>
          <w:sz w:val="36"/>
        </w:rPr>
        <w:t>。选用粒径较大、级配良好</w:t>
      </w:r>
      <w:r>
        <w:rPr>
          <w:spacing w:val="-1"/>
          <w:sz w:val="36"/>
        </w:rPr>
        <w:t>的石子配制的混凝土，和易性较好，抗压强度较高，同时可以减少用水量及水泥用量，从而</w:t>
      </w:r>
      <w:r>
        <w:rPr>
          <w:sz w:val="36"/>
        </w:rPr>
        <w:t>使水泥水化热减少，降低混凝土温升。</w:t>
      </w:r>
    </w:p>
    <w:p>
      <w:pPr>
        <w:pStyle w:val="ListParagraph"/>
        <w:numPr>
          <w:ilvl w:val="0"/>
          <w:numId w:val="2"/>
        </w:numPr>
        <w:tabs>
          <w:tab w:val="left" w:pos="1746"/>
        </w:tabs>
        <w:spacing w:before="3" w:after="0" w:line="364" w:lineRule="auto"/>
        <w:ind w:left="124" w:right="510" w:firstLine="720"/>
        <w:jc w:val="both"/>
        <w:rPr>
          <w:sz w:val="36"/>
        </w:rPr>
      </w:pPr>
      <w:r>
        <w:rPr>
          <w:sz w:val="36"/>
        </w:rPr>
        <w:t>细骨料：采用水洗砂（规格中砂</w:t>
      </w:r>
      <w:r>
        <w:rPr>
          <w:spacing w:val="-180"/>
          <w:sz w:val="36"/>
        </w:rPr>
        <w:t>）</w:t>
      </w:r>
      <w:r>
        <w:rPr>
          <w:spacing w:val="-12"/>
          <w:sz w:val="36"/>
        </w:rPr>
        <w:t xml:space="preserve">，平均粒径大于 </w:t>
      </w:r>
      <w:r>
        <w:rPr>
          <w:sz w:val="36"/>
        </w:rPr>
        <w:t>0.5mm，</w:t>
      </w:r>
      <w:r>
        <w:rPr>
          <w:spacing w:val="-13"/>
          <w:sz w:val="36"/>
        </w:rPr>
        <w:t xml:space="preserve">含泥量不大于 </w:t>
      </w:r>
      <w:r>
        <w:rPr>
          <w:sz w:val="36"/>
        </w:rPr>
        <w:t>3%</w:t>
      </w:r>
      <w:r>
        <w:rPr>
          <w:spacing w:val="-6"/>
          <w:sz w:val="36"/>
        </w:rPr>
        <w:t>。选用</w:t>
      </w:r>
      <w:r>
        <w:rPr>
          <w:spacing w:val="-3"/>
          <w:sz w:val="36"/>
        </w:rPr>
        <w:t xml:space="preserve">平均粒径较大的中、粗砂拌制的混凝土比采用细砂拌制的混凝土可减少用水量 </w:t>
      </w:r>
      <w:r>
        <w:rPr>
          <w:sz w:val="36"/>
        </w:rPr>
        <w:t>10%左右，同时相应减少水泥用量，使水泥水化热减少，降低混凝土温升，并可减少混凝土收缩。</w:t>
      </w:r>
    </w:p>
    <w:p>
      <w:pPr>
        <w:pStyle w:val="ListParagraph"/>
        <w:numPr>
          <w:ilvl w:val="0"/>
          <w:numId w:val="2"/>
        </w:numPr>
        <w:tabs>
          <w:tab w:val="left" w:pos="1746"/>
        </w:tabs>
        <w:spacing w:before="4" w:after="0" w:line="364" w:lineRule="auto"/>
        <w:ind w:left="124" w:right="393" w:firstLine="720"/>
        <w:jc w:val="left"/>
        <w:rPr>
          <w:sz w:val="36"/>
        </w:rPr>
      </w:pPr>
      <w:r>
        <w:rPr>
          <w:spacing w:val="3"/>
          <w:sz w:val="36"/>
        </w:rPr>
        <w:t>粉煤灰：粉煤灰级别</w:t>
      </w:r>
      <w:r>
        <w:rPr>
          <w:sz w:val="36"/>
        </w:rPr>
        <w:t>F</w:t>
      </w:r>
      <w:r>
        <w:rPr>
          <w:spacing w:val="-11"/>
          <w:sz w:val="36"/>
        </w:rPr>
        <w:t xml:space="preserve"> 类二级，由于混凝土的浇筑方式为泵送，为了改善混凝土的</w:t>
      </w:r>
      <w:r>
        <w:rPr>
          <w:sz w:val="36"/>
        </w:rPr>
        <w:t>和易性便于泵送，考虑掺加适量的粉煤灰。按照规范要求，采用普通硅酸盐水泥拌制大体积</w:t>
      </w:r>
      <w:r>
        <w:rPr>
          <w:spacing w:val="-4"/>
          <w:sz w:val="36"/>
        </w:rPr>
        <w:t xml:space="preserve">粉煤灰混凝土时，其粉煤灰取代水泥的最大限量为 </w:t>
      </w:r>
      <w:r>
        <w:rPr>
          <w:sz w:val="36"/>
        </w:rPr>
        <w:t>25%。粉煤灰对水化热、改善混凝土和易性有利，但掺加粉煤灰的混凝土早期极限抗拉值均有所降低，对混凝土抗渗抗裂不利，因此</w:t>
      </w:r>
      <w:r>
        <w:rPr>
          <w:spacing w:val="-10"/>
          <w:sz w:val="36"/>
        </w:rPr>
        <w:t xml:space="preserve">粉煤灰的掺量控制在 </w:t>
      </w:r>
      <w:r>
        <w:rPr>
          <w:sz w:val="36"/>
        </w:rPr>
        <w:t>10%以内，采用外掺法，即不减少配合比中的水泥用量。按配合比要求计算出每立方米混凝土所掺加粉煤灰量。</w:t>
      </w:r>
    </w:p>
    <w:p>
      <w:pPr>
        <w:spacing w:after="0" w:line="364" w:lineRule="auto"/>
        <w:jc w:val="left"/>
        <w:rPr>
          <w:sz w:val="36"/>
        </w:rPr>
        <w:sectPr>
          <w:headerReference w:type="default" r:id="rId14"/>
          <w:footerReference w:type="default" r:id="rId15"/>
          <w:pgSz w:w="17860" w:h="25260"/>
          <w:pgMar w:top="1780" w:right="820" w:bottom="2040" w:left="2000" w:header="1024" w:footer="1823"/>
          <w:pgNumType w:start="6"/>
          <w:cols w:space="708"/>
        </w:sectPr>
      </w:pPr>
    </w:p>
    <w:p>
      <w:pPr>
        <w:pStyle w:val="ListParagraph"/>
        <w:numPr>
          <w:ilvl w:val="0"/>
          <w:numId w:val="2"/>
        </w:numPr>
        <w:tabs>
          <w:tab w:val="left" w:pos="1746"/>
        </w:tabs>
        <w:spacing w:before="138" w:after="0" w:line="364" w:lineRule="auto"/>
        <w:ind w:left="124" w:right="334" w:firstLine="720"/>
        <w:jc w:val="both"/>
        <w:rPr>
          <w:sz w:val="36"/>
        </w:rPr>
      </w:pPr>
      <w:r>
        <w:rPr>
          <w:spacing w:val="-1"/>
          <w:sz w:val="36"/>
        </w:rPr>
        <w:t>外加剂：设计无具体要求，通过分析比较及过去在其它工程上的使用经验，每立方</w:t>
      </w:r>
      <w:r>
        <w:rPr>
          <w:spacing w:val="-9"/>
          <w:sz w:val="36"/>
        </w:rPr>
        <w:t xml:space="preserve">米混凝土加水泥用量的 </w:t>
      </w:r>
      <w:r>
        <w:rPr>
          <w:sz w:val="36"/>
        </w:rPr>
        <w:t>0.267%缓凝型减水剂（甘肃同达新型建材有限公司生产的“聚羧酸高</w:t>
      </w:r>
      <w:r>
        <w:rPr>
          <w:spacing w:val="-30"/>
          <w:sz w:val="36"/>
        </w:rPr>
        <w:t>性能减水剂”</w:t>
      </w:r>
      <w:r>
        <w:rPr>
          <w:sz w:val="36"/>
        </w:rPr>
        <w:t>）可降低水化热峰值，对混凝土收缩有补偿功能，可提高混凝土的抗裂性。</w:t>
      </w:r>
    </w:p>
    <w:p>
      <w:pPr>
        <w:pStyle w:val="ListParagraph"/>
        <w:numPr>
          <w:ilvl w:val="0"/>
          <w:numId w:val="2"/>
        </w:numPr>
        <w:tabs>
          <w:tab w:val="left" w:pos="1746"/>
        </w:tabs>
        <w:spacing w:before="4" w:after="0" w:line="364" w:lineRule="auto"/>
        <w:ind w:left="124" w:right="269" w:firstLine="720"/>
        <w:jc w:val="left"/>
        <w:rPr>
          <w:b/>
          <w:sz w:val="36"/>
        </w:rPr>
      </w:pPr>
      <w:r>
        <w:rPr>
          <w:spacing w:val="-8"/>
          <w:sz w:val="36"/>
        </w:rPr>
        <w:t xml:space="preserve">汽车卸煤沟筏板混凝土分 </w:t>
      </w:r>
      <w:r>
        <w:rPr>
          <w:sz w:val="36"/>
        </w:rPr>
        <w:t>4</w:t>
      </w:r>
      <w:r>
        <w:rPr>
          <w:spacing w:val="-19"/>
          <w:sz w:val="36"/>
        </w:rPr>
        <w:t xml:space="preserve"> 次共计浇筑方量约为 </w:t>
      </w:r>
      <w:r>
        <w:rPr>
          <w:sz w:val="36"/>
        </w:rPr>
        <w:t>1547m3</w:t>
      </w:r>
      <w:r>
        <w:rPr>
          <w:spacing w:val="-24"/>
          <w:sz w:val="36"/>
        </w:rPr>
        <w:t>，混凝土标号为</w:t>
      </w:r>
      <w:r>
        <w:rPr>
          <w:spacing w:val="-89"/>
          <w:sz w:val="36"/>
        </w:rPr>
        <w:t xml:space="preserve"> </w:t>
      </w:r>
      <w:r>
        <w:rPr>
          <w:sz w:val="36"/>
        </w:rPr>
        <w:t>C40P8F150，</w:t>
      </w:r>
      <w:r>
        <w:rPr>
          <w:spacing w:val="-5"/>
          <w:sz w:val="36"/>
        </w:rPr>
        <w:t xml:space="preserve">采用自建搅拌站供应混凝土，设计配合比水泥 </w:t>
      </w:r>
      <w:r>
        <w:rPr>
          <w:sz w:val="36"/>
        </w:rPr>
        <w:t>358kg,</w:t>
      </w:r>
      <w:r>
        <w:rPr>
          <w:spacing w:val="-23"/>
          <w:sz w:val="36"/>
        </w:rPr>
        <w:t xml:space="preserve">粉煤灰 </w:t>
      </w:r>
      <w:r>
        <w:rPr>
          <w:sz w:val="36"/>
        </w:rPr>
        <w:t>116kg,外加剂(聚羧酸高性能减水剂)6.45k</w:t>
      </w:r>
      <w:r>
        <w:rPr>
          <w:spacing w:val="-1"/>
          <w:sz w:val="36"/>
        </w:rPr>
        <w:t>g</w:t>
      </w:r>
      <w:r>
        <w:rPr>
          <w:spacing w:val="-27"/>
          <w:sz w:val="36"/>
        </w:rPr>
        <w:t xml:space="preserve">，需要的各种拌和材料数量如下：水泥 </w:t>
      </w:r>
      <w:r>
        <w:rPr>
          <w:sz w:val="36"/>
        </w:rPr>
        <w:t>553.826T</w:t>
      </w:r>
      <w:r>
        <w:rPr>
          <w:spacing w:val="-34"/>
          <w:sz w:val="36"/>
        </w:rPr>
        <w:t xml:space="preserve">；粉煤灰 </w:t>
      </w:r>
      <w:r>
        <w:rPr>
          <w:sz w:val="36"/>
        </w:rPr>
        <w:t>179.452</w:t>
      </w:r>
      <w:r>
        <w:rPr>
          <w:spacing w:val="-90"/>
          <w:sz w:val="36"/>
        </w:rPr>
        <w:t xml:space="preserve"> </w:t>
      </w:r>
      <w:r>
        <w:rPr>
          <w:sz w:val="36"/>
        </w:rPr>
        <w:t>T</w:t>
      </w:r>
      <w:r>
        <w:rPr>
          <w:spacing w:val="-83"/>
          <w:sz w:val="36"/>
        </w:rPr>
        <w:t>；砂 1135.498 T；</w:t>
      </w:r>
      <w:r>
        <w:rPr>
          <w:spacing w:val="-17"/>
          <w:sz w:val="36"/>
        </w:rPr>
        <w:t>碎石</w:t>
      </w:r>
      <w:r>
        <w:rPr>
          <w:sz w:val="36"/>
        </w:rPr>
        <w:t>1567.111T；</w:t>
      </w:r>
      <w:r>
        <w:rPr>
          <w:spacing w:val="17"/>
          <w:sz w:val="36"/>
        </w:rPr>
        <w:t>外加剂</w:t>
      </w:r>
      <w:r>
        <w:rPr>
          <w:sz w:val="36"/>
        </w:rPr>
        <w:t>9.978T。施工部与质量部应提前与搅拌站沟通协调做</w:t>
      </w:r>
      <w:r>
        <w:rPr>
          <w:spacing w:val="-10"/>
          <w:sz w:val="36"/>
        </w:rPr>
        <w:t xml:space="preserve">好以上材料的保证和检验工作,备料时应多于上述计算用量，砂石料的抽检按 </w:t>
      </w:r>
      <w:r>
        <w:rPr>
          <w:sz w:val="36"/>
        </w:rPr>
        <w:t>400M</w:t>
      </w:r>
      <w:r>
        <w:rPr>
          <w:position w:val="3"/>
          <w:sz w:val="29"/>
        </w:rPr>
        <w:t>3</w:t>
      </w:r>
      <w:r>
        <w:rPr>
          <w:spacing w:val="-46"/>
          <w:sz w:val="36"/>
        </w:rPr>
        <w:t xml:space="preserve">或 </w:t>
      </w:r>
      <w:r>
        <w:rPr>
          <w:sz w:val="36"/>
        </w:rPr>
        <w:t>600</w:t>
      </w:r>
      <w:r>
        <w:rPr>
          <w:spacing w:val="-32"/>
          <w:sz w:val="36"/>
        </w:rPr>
        <w:t xml:space="preserve"> 吨按</w:t>
      </w:r>
      <w:r>
        <w:rPr>
          <w:spacing w:val="-31"/>
          <w:sz w:val="36"/>
        </w:rPr>
        <w:t xml:space="preserve">一批抽检、水泥 </w:t>
      </w:r>
      <w:r>
        <w:rPr>
          <w:sz w:val="36"/>
        </w:rPr>
        <w:t>500</w:t>
      </w:r>
      <w:r>
        <w:rPr>
          <w:spacing w:val="-21"/>
          <w:sz w:val="36"/>
        </w:rPr>
        <w:t xml:space="preserve"> 吨一个检验批不足 </w:t>
      </w:r>
      <w:r>
        <w:rPr>
          <w:sz w:val="36"/>
        </w:rPr>
        <w:t>500</w:t>
      </w:r>
      <w:r>
        <w:rPr>
          <w:spacing w:val="-15"/>
          <w:sz w:val="36"/>
        </w:rPr>
        <w:t xml:space="preserve"> 吨也按一个检验批、粉煤灰烧失量超过 </w:t>
      </w:r>
      <w:r>
        <w:rPr>
          <w:sz w:val="36"/>
        </w:rPr>
        <w:t>200</w:t>
      </w:r>
      <w:r>
        <w:rPr>
          <w:spacing w:val="-30"/>
          <w:sz w:val="36"/>
        </w:rPr>
        <w:t xml:space="preserve"> 吨为</w:t>
      </w:r>
      <w:r>
        <w:rPr>
          <w:spacing w:val="-26"/>
          <w:sz w:val="36"/>
        </w:rPr>
        <w:t xml:space="preserve">一验收批。 </w:t>
      </w:r>
      <w:r>
        <w:rPr>
          <w:b/>
          <w:spacing w:val="2"/>
          <w:sz w:val="36"/>
        </w:rPr>
        <w:t>3.2</w:t>
      </w:r>
      <w:r>
        <w:rPr>
          <w:b/>
          <w:sz w:val="36"/>
        </w:rPr>
        <w:t>、混凝土配合比</w:t>
      </w:r>
    </w:p>
    <w:p>
      <w:pPr>
        <w:pStyle w:val="ListParagraph"/>
        <w:numPr>
          <w:ilvl w:val="0"/>
          <w:numId w:val="15"/>
        </w:numPr>
        <w:tabs>
          <w:tab w:val="left" w:pos="1746"/>
        </w:tabs>
        <w:spacing w:before="7" w:after="0" w:line="364" w:lineRule="auto"/>
        <w:ind w:left="124" w:right="422" w:firstLine="720"/>
        <w:jc w:val="both"/>
        <w:rPr>
          <w:sz w:val="36"/>
        </w:rPr>
      </w:pPr>
      <w:r>
        <w:rPr>
          <w:spacing w:val="2"/>
          <w:sz w:val="36"/>
        </w:rPr>
        <w:t>混凝土采用自建搅拌站混凝土。项目部按照设计图纸砼强度等级</w:t>
      </w:r>
      <w:r>
        <w:rPr>
          <w:sz w:val="36"/>
        </w:rPr>
        <w:t>C40P8、抗冻等级F150</w:t>
      </w:r>
      <w:r>
        <w:rPr>
          <w:spacing w:val="-11"/>
          <w:sz w:val="36"/>
        </w:rPr>
        <w:t xml:space="preserve"> 及大体积砼要求提出砼配合比委托单，混凝土搅拌站根据现场提出的技术要求，提前做</w:t>
      </w:r>
      <w:r>
        <w:rPr>
          <w:sz w:val="36"/>
        </w:rPr>
        <w:t>好混凝土试配。</w:t>
      </w:r>
    </w:p>
    <w:p>
      <w:pPr>
        <w:pStyle w:val="ListParagraph"/>
        <w:numPr>
          <w:ilvl w:val="0"/>
          <w:numId w:val="15"/>
        </w:numPr>
        <w:tabs>
          <w:tab w:val="left" w:pos="1746"/>
        </w:tabs>
        <w:spacing w:before="2" w:after="0" w:line="240" w:lineRule="auto"/>
        <w:ind w:left="1745" w:right="0" w:hanging="902"/>
        <w:jc w:val="left"/>
        <w:rPr>
          <w:sz w:val="36"/>
        </w:rPr>
      </w:pPr>
      <w:r>
        <w:rPr>
          <w:sz w:val="36"/>
        </w:rPr>
        <w:t>混凝土配合比应提高试配确定。按照国家现行《混凝土结构工程施工及验收规范</w:t>
      </w:r>
      <w:r>
        <w:rPr>
          <w:spacing w:val="-150"/>
          <w:sz w:val="36"/>
        </w:rPr>
        <w:t>》、</w:t>
      </w:r>
    </w:p>
    <w:p>
      <w:pPr>
        <w:pStyle w:val="BodyText"/>
        <w:spacing w:before="241" w:line="364" w:lineRule="auto"/>
        <w:ind w:left="124" w:right="512"/>
      </w:pPr>
      <w:r>
        <w:t>《普通混凝土配合比设计规程》及《粉煤灰混凝土应用技术规范》中的有关技术要求进行设计。</w:t>
      </w:r>
    </w:p>
    <w:p>
      <w:pPr>
        <w:pStyle w:val="ListParagraph"/>
        <w:numPr>
          <w:ilvl w:val="0"/>
          <w:numId w:val="15"/>
        </w:numPr>
        <w:tabs>
          <w:tab w:val="left" w:pos="1746"/>
        </w:tabs>
        <w:spacing w:before="3" w:after="0" w:line="364" w:lineRule="auto"/>
        <w:ind w:left="124" w:right="275" w:firstLine="720"/>
        <w:jc w:val="left"/>
        <w:rPr>
          <w:sz w:val="36"/>
        </w:rPr>
      </w:pPr>
      <w:r>
        <w:rPr>
          <w:spacing w:val="-7"/>
          <w:sz w:val="36"/>
        </w:rPr>
        <w:t>粉煤灰采用外掺法时仅在砂料中扣除同体积的砂量。另外应考虑到水泥的供应情况</w:t>
      </w:r>
      <w:r>
        <w:rPr>
          <w:spacing w:val="-4"/>
          <w:sz w:val="36"/>
        </w:rPr>
        <w:t>，以满足施工的要求。</w:t>
      </w:r>
    </w:p>
    <w:p>
      <w:pPr>
        <w:pStyle w:val="Heading2"/>
        <w:numPr>
          <w:ilvl w:val="1"/>
          <w:numId w:val="14"/>
        </w:numPr>
        <w:tabs>
          <w:tab w:val="left" w:pos="672"/>
        </w:tabs>
        <w:spacing w:before="1" w:after="0" w:line="240" w:lineRule="auto"/>
        <w:ind w:left="672" w:right="0" w:hanging="548"/>
        <w:jc w:val="left"/>
      </w:pPr>
      <w:bookmarkStart w:id="3" w:name="_TOC_250015"/>
      <w:bookmarkEnd w:id="3"/>
      <w:r>
        <w:t>、砼浇筑前的准备工作</w:t>
      </w:r>
    </w:p>
    <w:p>
      <w:pPr>
        <w:pStyle w:val="ListParagraph"/>
        <w:numPr>
          <w:ilvl w:val="2"/>
          <w:numId w:val="14"/>
        </w:numPr>
        <w:tabs>
          <w:tab w:val="left" w:pos="1746"/>
        </w:tabs>
        <w:spacing w:before="241" w:after="0" w:line="240" w:lineRule="auto"/>
        <w:ind w:left="1745" w:right="0" w:hanging="902"/>
        <w:jc w:val="left"/>
        <w:rPr>
          <w:sz w:val="36"/>
        </w:rPr>
      </w:pPr>
      <w:r>
        <w:rPr>
          <w:sz w:val="36"/>
        </w:rPr>
        <w:t>基础底板钢筋及柱插筋应分段尽快施工完毕，并进行隐蔽工程验收。</w:t>
      </w:r>
    </w:p>
    <w:p>
      <w:pPr>
        <w:pStyle w:val="ListParagraph"/>
        <w:numPr>
          <w:ilvl w:val="2"/>
          <w:numId w:val="14"/>
        </w:numPr>
        <w:tabs>
          <w:tab w:val="left" w:pos="1746"/>
        </w:tabs>
        <w:spacing w:before="241" w:after="0" w:line="240" w:lineRule="auto"/>
        <w:ind w:left="1745" w:right="0" w:hanging="902"/>
        <w:jc w:val="left"/>
        <w:rPr>
          <w:sz w:val="36"/>
        </w:rPr>
      </w:pPr>
      <w:r>
        <w:rPr>
          <w:sz w:val="36"/>
        </w:rPr>
        <w:t>将基础底板上表面标高抄测在柱钢筋上，并作明显标记，供浇筑混凝土时找平用。</w:t>
      </w:r>
    </w:p>
    <w:p>
      <w:pPr>
        <w:pStyle w:val="ListParagraph"/>
        <w:numPr>
          <w:ilvl w:val="2"/>
          <w:numId w:val="14"/>
        </w:numPr>
        <w:tabs>
          <w:tab w:val="left" w:pos="1746"/>
        </w:tabs>
        <w:spacing w:before="241" w:after="0" w:line="240" w:lineRule="auto"/>
        <w:ind w:left="1745" w:right="0" w:hanging="902"/>
        <w:jc w:val="left"/>
        <w:rPr>
          <w:sz w:val="36"/>
        </w:rPr>
      </w:pPr>
      <w:r>
        <w:rPr>
          <w:sz w:val="36"/>
        </w:rPr>
        <w:t>浇筑混凝土时预埋的测温原件及保温所需的塑料薄膜、黑心棉等应提前准备好。</w:t>
      </w:r>
    </w:p>
    <w:p>
      <w:pPr>
        <w:pStyle w:val="ListParagraph"/>
        <w:numPr>
          <w:ilvl w:val="2"/>
          <w:numId w:val="14"/>
        </w:numPr>
        <w:tabs>
          <w:tab w:val="left" w:pos="1746"/>
        </w:tabs>
        <w:spacing w:before="240" w:after="0" w:line="240" w:lineRule="auto"/>
        <w:ind w:left="1745" w:right="0" w:hanging="902"/>
        <w:jc w:val="left"/>
        <w:rPr>
          <w:sz w:val="36"/>
        </w:rPr>
      </w:pPr>
      <w:r>
        <w:rPr>
          <w:sz w:val="36"/>
        </w:rPr>
        <w:t>项目经理部应与建设单位联系好施工用电，以保证混凝土振捣及施工照明用。</w:t>
      </w:r>
    </w:p>
    <w:p>
      <w:pPr>
        <w:pStyle w:val="ListParagraph"/>
        <w:numPr>
          <w:ilvl w:val="2"/>
          <w:numId w:val="14"/>
        </w:numPr>
        <w:tabs>
          <w:tab w:val="left" w:pos="1746"/>
        </w:tabs>
        <w:spacing w:before="242" w:after="0" w:line="364" w:lineRule="auto"/>
        <w:ind w:left="124" w:right="334" w:firstLine="720"/>
        <w:jc w:val="left"/>
        <w:rPr>
          <w:sz w:val="36"/>
        </w:rPr>
      </w:pPr>
      <w:r>
        <w:rPr>
          <w:spacing w:val="-1"/>
          <w:sz w:val="36"/>
        </w:rPr>
        <w:t>管理人员、施工人员、后勤人员、保卫人员等昼夜排班，坚守岗位，各负其责，保</w:t>
      </w:r>
      <w:r>
        <w:rPr>
          <w:sz w:val="36"/>
        </w:rPr>
        <w:t>证混凝土连续浇灌的顺利进行。</w:t>
      </w:r>
    </w:p>
    <w:p>
      <w:pPr>
        <w:spacing w:before="2" w:line="364" w:lineRule="auto"/>
        <w:ind w:left="124" w:right="870" w:firstLine="720"/>
        <w:jc w:val="left"/>
        <w:rPr>
          <w:b/>
          <w:sz w:val="36"/>
        </w:rPr>
      </w:pPr>
      <w:r>
        <w:pict>
          <v:group id="_x0000_s1025" style="width:720.75pt;height:112pt;margin-top:64.02pt;margin-left:105pt;mso-position-horizontal-relative:page;position:absolute;z-index:-251658240" coordorigin="2100,1280" coordsize="14415,2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415;height:2240;left:2100;position:absolute;top:1280" stroked="f">
              <v:imagedata r:id="rId16" o:title=""/>
            </v:shape>
            <v:shapetype id="_x0000_t202" coordsize="21600,21600" o:spt="202" path="m,l,21600r21600,l21600,xe">
              <v:stroke joinstyle="miter"/>
              <v:path gradientshapeok="t" o:connecttype="rect"/>
            </v:shapetype>
            <v:shape id="_x0000_s1027" type="#_x0000_t202" style="width:560;height:270;left:2448;position:absolute;top:1726" filled="f" stroked="f">
              <v:textbox inset="0,0,0,0">
                <w:txbxContent>
                  <w:p>
                    <w:pPr>
                      <w:spacing w:before="0" w:line="270" w:lineRule="exact"/>
                      <w:ind w:left="0" w:right="0" w:firstLine="0"/>
                      <w:jc w:val="left"/>
                      <w:rPr>
                        <w:sz w:val="27"/>
                      </w:rPr>
                    </w:pPr>
                    <w:r>
                      <w:rPr>
                        <w:sz w:val="27"/>
                      </w:rPr>
                      <w:t>序号</w:t>
                    </w:r>
                  </w:p>
                </w:txbxContent>
              </v:textbox>
            </v:shape>
            <v:shape id="_x0000_s1028" type="#_x0000_t202" style="width:560;height:270;left:4079;position:absolute;top:1726" filled="f" stroked="f">
              <v:textbox inset="0,0,0,0">
                <w:txbxContent>
                  <w:p>
                    <w:pPr>
                      <w:spacing w:before="0" w:line="270" w:lineRule="exact"/>
                      <w:ind w:left="0" w:right="0" w:firstLine="0"/>
                      <w:jc w:val="left"/>
                      <w:rPr>
                        <w:sz w:val="27"/>
                      </w:rPr>
                    </w:pPr>
                    <w:r>
                      <w:rPr>
                        <w:sz w:val="27"/>
                      </w:rPr>
                      <w:t>名称</w:t>
                    </w:r>
                  </w:p>
                </w:txbxContent>
              </v:textbox>
            </v:shape>
            <v:shape id="_x0000_s1029" type="#_x0000_t202" style="width:1100;height:270;left:5659;position:absolute;top:1726" filled="f" stroked="f">
              <v:textbox inset="0,0,0,0">
                <w:txbxContent>
                  <w:p>
                    <w:pPr>
                      <w:spacing w:before="0" w:line="270" w:lineRule="exact"/>
                      <w:ind w:left="0" w:right="0" w:firstLine="0"/>
                      <w:jc w:val="left"/>
                      <w:rPr>
                        <w:sz w:val="27"/>
                      </w:rPr>
                    </w:pPr>
                    <w:r>
                      <w:rPr>
                        <w:sz w:val="27"/>
                      </w:rPr>
                      <w:t>设备型号</w:t>
                    </w:r>
                  </w:p>
                </w:txbxContent>
              </v:textbox>
            </v:shape>
            <v:shape id="_x0000_s1030" type="#_x0000_t202" style="width:560;height:270;left:7352;position:absolute;top:1726" filled="f" stroked="f">
              <v:textbox inset="0,0,0,0">
                <w:txbxContent>
                  <w:p>
                    <w:pPr>
                      <w:spacing w:before="0" w:line="270" w:lineRule="exact"/>
                      <w:ind w:left="0" w:right="0" w:firstLine="0"/>
                      <w:jc w:val="left"/>
                      <w:rPr>
                        <w:sz w:val="27"/>
                      </w:rPr>
                    </w:pPr>
                    <w:r>
                      <w:rPr>
                        <w:sz w:val="27"/>
                      </w:rPr>
                      <w:t>单位</w:t>
                    </w:r>
                  </w:p>
                </w:txbxContent>
              </v:textbox>
            </v:shape>
            <v:shape id="_x0000_s1031" type="#_x0000_t202" style="width:560;height:270;left:8400;position:absolute;top:1726" filled="f" stroked="f">
              <v:textbox inset="0,0,0,0">
                <w:txbxContent>
                  <w:p>
                    <w:pPr>
                      <w:spacing w:before="0" w:line="270" w:lineRule="exact"/>
                      <w:ind w:left="0" w:right="0" w:firstLine="0"/>
                      <w:jc w:val="left"/>
                      <w:rPr>
                        <w:sz w:val="27"/>
                      </w:rPr>
                    </w:pPr>
                    <w:r>
                      <w:rPr>
                        <w:sz w:val="27"/>
                      </w:rPr>
                      <w:t>数量</w:t>
                    </w:r>
                  </w:p>
                </w:txbxContent>
              </v:textbox>
            </v:shape>
            <v:shape id="_x0000_s1032" type="#_x0000_t202" style="width:560;height:270;left:12526;position:absolute;top:1726" filled="f" stroked="f">
              <v:textbox inset="0,0,0,0">
                <w:txbxContent>
                  <w:p>
                    <w:pPr>
                      <w:spacing w:before="0" w:line="270" w:lineRule="exact"/>
                      <w:ind w:left="0" w:right="0" w:firstLine="0"/>
                      <w:jc w:val="left"/>
                      <w:rPr>
                        <w:sz w:val="27"/>
                      </w:rPr>
                    </w:pPr>
                    <w:r>
                      <w:rPr>
                        <w:sz w:val="27"/>
                      </w:rPr>
                      <w:t>备注</w:t>
                    </w:r>
                  </w:p>
                </w:txbxContent>
              </v:textbox>
            </v:shape>
            <v:shape id="_x0000_s1033" type="#_x0000_t202" style="width:155;height:270;left:2650;position:absolute;top:2460" filled="f" stroked="f">
              <v:textbox inset="0,0,0,0">
                <w:txbxContent>
                  <w:p>
                    <w:pPr>
                      <w:spacing w:before="0" w:line="270" w:lineRule="exact"/>
                      <w:ind w:left="0" w:right="0" w:firstLine="0"/>
                      <w:jc w:val="left"/>
                      <w:rPr>
                        <w:sz w:val="27"/>
                      </w:rPr>
                    </w:pPr>
                    <w:r>
                      <w:rPr>
                        <w:sz w:val="27"/>
                      </w:rPr>
                      <w:t>1</w:t>
                    </w:r>
                  </w:p>
                </w:txbxContent>
              </v:textbox>
            </v:shape>
            <v:shape id="_x0000_s1034" type="#_x0000_t202" style="width:1370;height:270;left:3481;position:absolute;top:2460" filled="f" stroked="f">
              <v:textbox inset="0,0,0,0">
                <w:txbxContent>
                  <w:p>
                    <w:pPr>
                      <w:spacing w:before="0" w:line="270" w:lineRule="exact"/>
                      <w:ind w:left="0" w:right="0" w:firstLine="0"/>
                      <w:jc w:val="left"/>
                      <w:rPr>
                        <w:sz w:val="27"/>
                      </w:rPr>
                    </w:pPr>
                    <w:r>
                      <w:rPr>
                        <w:sz w:val="27"/>
                      </w:rPr>
                      <w:t>混凝土刮杠</w:t>
                    </w:r>
                  </w:p>
                </w:txbxContent>
              </v:textbox>
            </v:shape>
            <v:shape id="_x0000_s1035" type="#_x0000_t202" style="width:1105;height:270;left:5659;position:absolute;top:2460" filled="f" stroked="f">
              <v:textbox inset="0,0,0,0">
                <w:txbxContent>
                  <w:p>
                    <w:pPr>
                      <w:spacing w:before="0" w:line="270" w:lineRule="exact"/>
                      <w:ind w:left="0" w:right="0" w:firstLine="0"/>
                      <w:jc w:val="left"/>
                      <w:rPr>
                        <w:sz w:val="27"/>
                      </w:rPr>
                    </w:pPr>
                    <w:r>
                      <w:rPr>
                        <w:spacing w:val="-22"/>
                        <w:sz w:val="27"/>
                      </w:rPr>
                      <w:t xml:space="preserve">长度 </w:t>
                    </w:r>
                    <w:r>
                      <w:rPr>
                        <w:sz w:val="27"/>
                      </w:rPr>
                      <w:t>3</w:t>
                    </w:r>
                    <w:r>
                      <w:rPr>
                        <w:spacing w:val="-33"/>
                        <w:sz w:val="27"/>
                      </w:rPr>
                      <w:t xml:space="preserve"> 米</w:t>
                    </w:r>
                  </w:p>
                </w:txbxContent>
              </v:textbox>
            </v:shape>
            <v:shape id="_x0000_s1036" type="#_x0000_t202" style="width:290;height:270;left:7486;position:absolute;top:2460" filled="f" stroked="f">
              <v:textbox inset="0,0,0,0">
                <w:txbxContent>
                  <w:p>
                    <w:pPr>
                      <w:spacing w:before="0" w:line="270" w:lineRule="exact"/>
                      <w:ind w:left="0" w:right="0" w:firstLine="0"/>
                      <w:jc w:val="left"/>
                      <w:rPr>
                        <w:sz w:val="27"/>
                      </w:rPr>
                    </w:pPr>
                    <w:r>
                      <w:rPr>
                        <w:sz w:val="27"/>
                      </w:rPr>
                      <w:t>根</w:t>
                    </w:r>
                  </w:p>
                </w:txbxContent>
              </v:textbox>
            </v:shape>
            <v:shape id="_x0000_s1037" type="#_x0000_t202" style="width:155;height:270;left:8601;position:absolute;top:2460" filled="f" stroked="f">
              <v:textbox inset="0,0,0,0">
                <w:txbxContent>
                  <w:p>
                    <w:pPr>
                      <w:spacing w:before="0" w:line="270" w:lineRule="exact"/>
                      <w:ind w:left="0" w:right="0" w:firstLine="0"/>
                      <w:jc w:val="left"/>
                      <w:rPr>
                        <w:sz w:val="27"/>
                      </w:rPr>
                    </w:pPr>
                    <w:r>
                      <w:rPr>
                        <w:sz w:val="27"/>
                      </w:rPr>
                      <w:t>3</w:t>
                    </w:r>
                  </w:p>
                </w:txbxContent>
              </v:textbox>
            </v:shape>
            <v:shape id="_x0000_s1038" type="#_x0000_t202" style="width:2450;height:270;left:11579;position:absolute;top:2460" filled="f" stroked="f">
              <v:textbox inset="0,0,0,0">
                <w:txbxContent>
                  <w:p>
                    <w:pPr>
                      <w:spacing w:before="0" w:line="270" w:lineRule="exact"/>
                      <w:ind w:left="0" w:right="0" w:firstLine="0"/>
                      <w:jc w:val="left"/>
                      <w:rPr>
                        <w:sz w:val="27"/>
                      </w:rPr>
                    </w:pPr>
                    <w:r>
                      <w:rPr>
                        <w:sz w:val="27"/>
                      </w:rPr>
                      <w:t>用于混凝土表面刮平</w:t>
                    </w:r>
                  </w:p>
                </w:txbxContent>
              </v:textbox>
            </v:shape>
            <v:shape id="_x0000_s1039" type="#_x0000_t202" style="width:155;height:270;left:2650;position:absolute;top:3195" filled="f" stroked="f">
              <v:textbox inset="0,0,0,0">
                <w:txbxContent>
                  <w:p>
                    <w:pPr>
                      <w:spacing w:before="0" w:line="270" w:lineRule="exact"/>
                      <w:ind w:left="0" w:right="0" w:firstLine="0"/>
                      <w:jc w:val="left"/>
                      <w:rPr>
                        <w:sz w:val="27"/>
                      </w:rPr>
                    </w:pPr>
                    <w:r>
                      <w:rPr>
                        <w:sz w:val="27"/>
                      </w:rPr>
                      <w:t>2</w:t>
                    </w:r>
                  </w:p>
                </w:txbxContent>
              </v:textbox>
            </v:shape>
            <v:shape id="_x0000_s1040" type="#_x0000_t202" style="width:1640;height:270;left:3539;position:absolute;top:3195" filled="f" stroked="f">
              <v:textbox inset="0,0,0,0">
                <w:txbxContent>
                  <w:p>
                    <w:pPr>
                      <w:spacing w:before="0" w:line="270" w:lineRule="exact"/>
                      <w:ind w:left="0" w:right="0" w:firstLine="0"/>
                      <w:jc w:val="left"/>
                      <w:rPr>
                        <w:sz w:val="27"/>
                      </w:rPr>
                    </w:pPr>
                    <w:r>
                      <w:rPr>
                        <w:sz w:val="27"/>
                      </w:rPr>
                      <w:t>混凝土汽车泵</w:t>
                    </w:r>
                  </w:p>
                </w:txbxContent>
              </v:textbox>
            </v:shape>
            <v:shape id="_x0000_s1041" type="#_x0000_t202" style="width:290;height:270;left:7486;position:absolute;top:3195" filled="f" stroked="f">
              <v:textbox inset="0,0,0,0">
                <w:txbxContent>
                  <w:p>
                    <w:pPr>
                      <w:spacing w:before="0" w:line="270" w:lineRule="exact"/>
                      <w:ind w:left="0" w:right="0" w:firstLine="0"/>
                      <w:jc w:val="left"/>
                      <w:rPr>
                        <w:sz w:val="27"/>
                      </w:rPr>
                    </w:pPr>
                    <w:r>
                      <w:rPr>
                        <w:sz w:val="27"/>
                      </w:rPr>
                      <w:t>台</w:t>
                    </w:r>
                  </w:p>
                </w:txbxContent>
              </v:textbox>
            </v:shape>
            <v:shape id="_x0000_s1042" type="#_x0000_t202" style="width:155;height:270;left:8601;position:absolute;top:3195" filled="f" stroked="f">
              <v:textbox inset="0,0,0,0">
                <w:txbxContent>
                  <w:p>
                    <w:pPr>
                      <w:spacing w:before="0" w:line="270" w:lineRule="exact"/>
                      <w:ind w:left="0" w:right="0" w:firstLine="0"/>
                      <w:jc w:val="left"/>
                      <w:rPr>
                        <w:sz w:val="27"/>
                      </w:rPr>
                    </w:pPr>
                    <w:r>
                      <w:rPr>
                        <w:sz w:val="27"/>
                      </w:rPr>
                      <w:t>2</w:t>
                    </w:r>
                  </w:p>
                </w:txbxContent>
              </v:textbox>
            </v:shape>
            <v:shape id="_x0000_s1043" type="#_x0000_t202" style="width:7046;height:270;left:9282;position:absolute;top:3195" filled="f" stroked="f">
              <v:textbox inset="0,0,0,0">
                <w:txbxContent>
                  <w:p>
                    <w:pPr>
                      <w:spacing w:before="0" w:line="270" w:lineRule="exact"/>
                      <w:ind w:left="0" w:right="0" w:firstLine="0"/>
                      <w:jc w:val="left"/>
                      <w:rPr>
                        <w:sz w:val="27"/>
                      </w:rPr>
                    </w:pPr>
                    <w:r>
                      <w:rPr>
                        <w:spacing w:val="-7"/>
                        <w:sz w:val="27"/>
                      </w:rPr>
                      <w:t xml:space="preserve">一、二施工段用分别 </w:t>
                    </w:r>
                    <w:r>
                      <w:rPr>
                        <w:sz w:val="27"/>
                      </w:rPr>
                      <w:t>2</w:t>
                    </w:r>
                    <w:r>
                      <w:rPr>
                        <w:spacing w:val="-14"/>
                        <w:sz w:val="27"/>
                      </w:rPr>
                      <w:t xml:space="preserve"> 台浇筑，三、四施工段分别 </w:t>
                    </w:r>
                    <w:r>
                      <w:rPr>
                        <w:sz w:val="27"/>
                      </w:rPr>
                      <w:t>1</w:t>
                    </w:r>
                    <w:r>
                      <w:rPr>
                        <w:spacing w:val="-17"/>
                        <w:sz w:val="27"/>
                      </w:rPr>
                      <w:t xml:space="preserve"> 台浇筑</w:t>
                    </w:r>
                  </w:p>
                </w:txbxContent>
              </v:textbox>
            </v:shape>
          </v:group>
        </w:pict>
      </w:r>
      <w:r>
        <w:rPr>
          <w:sz w:val="36"/>
        </w:rPr>
        <w:t>(6</w:t>
      </w:r>
      <w:r>
        <w:rPr>
          <w:spacing w:val="-4"/>
          <w:sz w:val="36"/>
        </w:rPr>
        <w:t xml:space="preserve">)大体积混凝土温度测试原件安装前，必须在水下 </w:t>
      </w:r>
      <w:r>
        <w:rPr>
          <w:sz w:val="36"/>
        </w:rPr>
        <w:t>1</w:t>
      </w:r>
      <w:r>
        <w:rPr>
          <w:spacing w:val="-24"/>
          <w:sz w:val="36"/>
        </w:rPr>
        <w:t xml:space="preserve"> 米处经过浸泡 </w:t>
      </w:r>
      <w:r>
        <w:rPr>
          <w:sz w:val="36"/>
        </w:rPr>
        <w:t>24</w:t>
      </w:r>
      <w:r>
        <w:rPr>
          <w:spacing w:val="-16"/>
          <w:sz w:val="36"/>
        </w:rPr>
        <w:t xml:space="preserve"> 小时不损坏。</w:t>
      </w:r>
      <w:r>
        <w:rPr>
          <w:b/>
          <w:spacing w:val="2"/>
          <w:sz w:val="36"/>
        </w:rPr>
        <w:t>3.4</w:t>
      </w:r>
      <w:r>
        <w:rPr>
          <w:b/>
          <w:sz w:val="36"/>
        </w:rPr>
        <w:t>、施工主要材料、机具、机械表</w:t>
      </w:r>
    </w:p>
    <w:p>
      <w:pPr>
        <w:spacing w:after="0" w:line="364" w:lineRule="auto"/>
        <w:jc w:val="left"/>
        <w:rPr>
          <w:sz w:val="36"/>
        </w:rPr>
        <w:sectPr>
          <w:headerReference w:type="default" r:id="rId17"/>
          <w:footerReference w:type="default" r:id="rId18"/>
          <w:pgSz w:w="17860" w:h="25260"/>
          <w:pgMar w:top="1780" w:right="820" w:bottom="2040" w:left="2000" w:header="1024" w:footer="1823"/>
          <w:pgNumType w:start="7"/>
          <w:cols w:space="708"/>
        </w:sectPr>
      </w:pPr>
    </w:p>
    <w:p>
      <w:pPr>
        <w:pStyle w:val="BodyText"/>
        <w:rPr>
          <w:b/>
          <w:sz w:val="20"/>
        </w:rPr>
      </w:pPr>
    </w:p>
    <w:p>
      <w:pPr>
        <w:pStyle w:val="BodyText"/>
        <w:spacing w:before="11"/>
        <w:rPr>
          <w:b/>
          <w:sz w:val="15"/>
        </w:rPr>
      </w:pPr>
    </w:p>
    <w:tbl>
      <w:tblPr>
        <w:tblStyle w:val="TableNormal0"/>
        <w:tblW w:w="0" w:type="auto"/>
        <w:jc w:val="left"/>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
        <w:gridCol w:w="2283"/>
        <w:gridCol w:w="1552"/>
        <w:gridCol w:w="1233"/>
        <w:gridCol w:w="1372"/>
        <w:gridCol w:w="5828"/>
      </w:tblGrid>
      <w:tr>
        <w:tblPrEx>
          <w:tblW w:w="0" w:type="auto"/>
          <w:jc w:val="left"/>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2"/>
          <w:jc w:val="left"/>
        </w:trPr>
        <w:tc>
          <w:tcPr>
            <w:tcW w:w="544" w:type="dxa"/>
          </w:tcPr>
          <w:p>
            <w:pPr>
              <w:pStyle w:val="TableParagraph"/>
              <w:spacing w:before="0" w:line="308" w:lineRule="exact"/>
              <w:ind w:left="50"/>
              <w:jc w:val="left"/>
              <w:rPr>
                <w:sz w:val="27"/>
              </w:rPr>
            </w:pPr>
            <w:r>
              <w:rPr>
                <w:sz w:val="27"/>
              </w:rPr>
              <w:t>3</w:t>
            </w:r>
          </w:p>
        </w:tc>
        <w:tc>
          <w:tcPr>
            <w:tcW w:w="2283" w:type="dxa"/>
          </w:tcPr>
          <w:p>
            <w:pPr>
              <w:pStyle w:val="TableParagraph"/>
              <w:spacing w:before="0" w:line="308" w:lineRule="exact"/>
              <w:ind w:left="528"/>
              <w:jc w:val="left"/>
              <w:rPr>
                <w:sz w:val="27"/>
              </w:rPr>
            </w:pPr>
            <w:r>
              <w:rPr>
                <w:sz w:val="27"/>
              </w:rPr>
              <w:t>混凝土罐车</w:t>
            </w:r>
          </w:p>
        </w:tc>
        <w:tc>
          <w:tcPr>
            <w:tcW w:w="1552" w:type="dxa"/>
          </w:tcPr>
          <w:p>
            <w:pPr>
              <w:pStyle w:val="TableParagraph"/>
              <w:spacing w:before="0"/>
              <w:jc w:val="left"/>
              <w:rPr>
                <w:rFonts w:ascii="Times New Roman"/>
                <w:sz w:val="34"/>
              </w:rPr>
            </w:pPr>
          </w:p>
        </w:tc>
        <w:tc>
          <w:tcPr>
            <w:tcW w:w="1233" w:type="dxa"/>
          </w:tcPr>
          <w:p>
            <w:pPr>
              <w:pStyle w:val="TableParagraph"/>
              <w:spacing w:before="0" w:line="308" w:lineRule="exact"/>
              <w:ind w:left="50"/>
              <w:rPr>
                <w:sz w:val="27"/>
              </w:rPr>
            </w:pPr>
            <w:r>
              <w:rPr>
                <w:sz w:val="27"/>
              </w:rPr>
              <w:t>辆</w:t>
            </w:r>
          </w:p>
        </w:tc>
        <w:tc>
          <w:tcPr>
            <w:tcW w:w="1372" w:type="dxa"/>
          </w:tcPr>
          <w:p>
            <w:pPr>
              <w:pStyle w:val="TableParagraph"/>
              <w:spacing w:before="0" w:line="308" w:lineRule="exact"/>
              <w:ind w:right="456"/>
              <w:rPr>
                <w:sz w:val="27"/>
              </w:rPr>
            </w:pPr>
            <w:r>
              <w:rPr>
                <w:sz w:val="27"/>
              </w:rPr>
              <w:t>6</w:t>
            </w:r>
          </w:p>
        </w:tc>
        <w:tc>
          <w:tcPr>
            <w:tcW w:w="5828" w:type="dxa"/>
          </w:tcPr>
          <w:p>
            <w:pPr>
              <w:pStyle w:val="TableParagraph"/>
              <w:spacing w:before="0"/>
              <w:jc w:val="left"/>
              <w:rPr>
                <w:rFonts w:ascii="Times New Roman"/>
                <w:sz w:val="34"/>
              </w:rPr>
            </w:pPr>
          </w:p>
        </w:tc>
      </w:tr>
      <w:tr>
        <w:tblPrEx>
          <w:tblW w:w="0" w:type="auto"/>
          <w:jc w:val="left"/>
          <w:tblInd w:w="607" w:type="dxa"/>
          <w:tblLayout w:type="fixed"/>
          <w:tblCellMar>
            <w:top w:w="0" w:type="dxa"/>
            <w:left w:w="0" w:type="dxa"/>
            <w:bottom w:w="0" w:type="dxa"/>
            <w:right w:w="0" w:type="dxa"/>
          </w:tblCellMar>
          <w:tblLook w:val="01E0"/>
        </w:tblPrEx>
        <w:trPr>
          <w:trHeight w:val="734"/>
          <w:jc w:val="left"/>
        </w:trPr>
        <w:tc>
          <w:tcPr>
            <w:tcW w:w="544" w:type="dxa"/>
          </w:tcPr>
          <w:p>
            <w:pPr>
              <w:pStyle w:val="TableParagraph"/>
              <w:ind w:left="50"/>
              <w:jc w:val="left"/>
              <w:rPr>
                <w:sz w:val="27"/>
              </w:rPr>
            </w:pPr>
            <w:r>
              <w:rPr>
                <w:sz w:val="27"/>
              </w:rPr>
              <w:t>4</w:t>
            </w:r>
          </w:p>
        </w:tc>
        <w:tc>
          <w:tcPr>
            <w:tcW w:w="2283" w:type="dxa"/>
          </w:tcPr>
          <w:p>
            <w:pPr>
              <w:pStyle w:val="TableParagraph"/>
              <w:ind w:left="665"/>
              <w:jc w:val="left"/>
              <w:rPr>
                <w:sz w:val="27"/>
              </w:rPr>
            </w:pPr>
            <w:r>
              <w:rPr>
                <w:sz w:val="27"/>
              </w:rPr>
              <w:t>塑料薄膜</w:t>
            </w:r>
          </w:p>
        </w:tc>
        <w:tc>
          <w:tcPr>
            <w:tcW w:w="1552" w:type="dxa"/>
          </w:tcPr>
          <w:p>
            <w:pPr>
              <w:pStyle w:val="TableParagraph"/>
              <w:spacing w:before="0"/>
              <w:jc w:val="left"/>
              <w:rPr>
                <w:rFonts w:ascii="Times New Roman"/>
                <w:sz w:val="34"/>
              </w:rPr>
            </w:pPr>
          </w:p>
        </w:tc>
        <w:tc>
          <w:tcPr>
            <w:tcW w:w="1233" w:type="dxa"/>
          </w:tcPr>
          <w:p>
            <w:pPr>
              <w:pStyle w:val="TableParagraph"/>
              <w:ind w:left="50"/>
              <w:rPr>
                <w:sz w:val="27"/>
              </w:rPr>
            </w:pPr>
            <w:r>
              <w:rPr>
                <w:sz w:val="27"/>
              </w:rPr>
              <w:t>卷</w:t>
            </w:r>
          </w:p>
        </w:tc>
        <w:tc>
          <w:tcPr>
            <w:tcW w:w="1372" w:type="dxa"/>
          </w:tcPr>
          <w:p>
            <w:pPr>
              <w:pStyle w:val="TableParagraph"/>
              <w:ind w:left="164" w:right="623"/>
              <w:rPr>
                <w:sz w:val="27"/>
              </w:rPr>
            </w:pPr>
            <w:r>
              <w:rPr>
                <w:sz w:val="27"/>
              </w:rPr>
              <w:t>30</w:t>
            </w:r>
          </w:p>
        </w:tc>
        <w:tc>
          <w:tcPr>
            <w:tcW w:w="5828" w:type="dxa"/>
          </w:tcPr>
          <w:p>
            <w:pPr>
              <w:pStyle w:val="TableParagraph"/>
              <w:ind w:left="670" w:right="74"/>
              <w:rPr>
                <w:sz w:val="27"/>
              </w:rPr>
            </w:pPr>
            <w:r>
              <w:rPr>
                <w:sz w:val="27"/>
              </w:rPr>
              <w:t>混凝土表面覆盖保湿用</w:t>
            </w:r>
          </w:p>
        </w:tc>
      </w:tr>
      <w:tr>
        <w:tblPrEx>
          <w:tblW w:w="0" w:type="auto"/>
          <w:jc w:val="left"/>
          <w:tblInd w:w="607" w:type="dxa"/>
          <w:tblLayout w:type="fixed"/>
          <w:tblCellMar>
            <w:top w:w="0" w:type="dxa"/>
            <w:left w:w="0" w:type="dxa"/>
            <w:bottom w:w="0" w:type="dxa"/>
            <w:right w:w="0" w:type="dxa"/>
          </w:tblCellMar>
          <w:tblLook w:val="01E0"/>
        </w:tblPrEx>
        <w:trPr>
          <w:trHeight w:val="734"/>
          <w:jc w:val="left"/>
        </w:trPr>
        <w:tc>
          <w:tcPr>
            <w:tcW w:w="544" w:type="dxa"/>
          </w:tcPr>
          <w:p>
            <w:pPr>
              <w:pStyle w:val="TableParagraph"/>
              <w:ind w:left="50"/>
              <w:jc w:val="left"/>
              <w:rPr>
                <w:sz w:val="27"/>
              </w:rPr>
            </w:pPr>
            <w:r>
              <w:rPr>
                <w:sz w:val="27"/>
              </w:rPr>
              <w:t>5</w:t>
            </w:r>
          </w:p>
        </w:tc>
        <w:tc>
          <w:tcPr>
            <w:tcW w:w="2283" w:type="dxa"/>
          </w:tcPr>
          <w:p>
            <w:pPr>
              <w:pStyle w:val="TableParagraph"/>
              <w:ind w:left="877"/>
              <w:jc w:val="left"/>
              <w:rPr>
                <w:sz w:val="27"/>
              </w:rPr>
            </w:pPr>
            <w:r>
              <w:rPr>
                <w:sz w:val="27"/>
              </w:rPr>
              <w:t>黑心棉</w:t>
            </w:r>
          </w:p>
        </w:tc>
        <w:tc>
          <w:tcPr>
            <w:tcW w:w="1552" w:type="dxa"/>
          </w:tcPr>
          <w:p>
            <w:pPr>
              <w:pStyle w:val="TableParagraph"/>
              <w:spacing w:before="0"/>
              <w:jc w:val="left"/>
              <w:rPr>
                <w:rFonts w:ascii="Times New Roman"/>
                <w:sz w:val="34"/>
              </w:rPr>
            </w:pPr>
          </w:p>
        </w:tc>
        <w:tc>
          <w:tcPr>
            <w:tcW w:w="1233" w:type="dxa"/>
          </w:tcPr>
          <w:p>
            <w:pPr>
              <w:pStyle w:val="TableParagraph"/>
              <w:ind w:left="216" w:right="166"/>
              <w:rPr>
                <w:sz w:val="27"/>
              </w:rPr>
            </w:pPr>
            <w:r>
              <w:rPr>
                <w:sz w:val="27"/>
              </w:rPr>
              <w:t>平方米</w:t>
            </w:r>
          </w:p>
        </w:tc>
        <w:tc>
          <w:tcPr>
            <w:tcW w:w="1372" w:type="dxa"/>
          </w:tcPr>
          <w:p>
            <w:pPr>
              <w:pStyle w:val="TableParagraph"/>
              <w:ind w:left="168" w:right="623"/>
              <w:rPr>
                <w:sz w:val="27"/>
              </w:rPr>
            </w:pPr>
            <w:r>
              <w:rPr>
                <w:sz w:val="27"/>
              </w:rPr>
              <w:t>2826</w:t>
            </w:r>
          </w:p>
        </w:tc>
        <w:tc>
          <w:tcPr>
            <w:tcW w:w="5828" w:type="dxa"/>
          </w:tcPr>
          <w:p>
            <w:pPr>
              <w:pStyle w:val="TableParagraph"/>
              <w:ind w:left="670" w:right="74"/>
              <w:rPr>
                <w:sz w:val="27"/>
              </w:rPr>
            </w:pPr>
            <w:r>
              <w:rPr>
                <w:spacing w:val="-23"/>
                <w:sz w:val="27"/>
              </w:rPr>
              <w:t xml:space="preserve">计划 </w:t>
            </w:r>
            <w:r>
              <w:rPr>
                <w:sz w:val="27"/>
              </w:rPr>
              <w:t>2</w:t>
            </w:r>
            <w:r>
              <w:rPr>
                <w:spacing w:val="-9"/>
                <w:sz w:val="27"/>
              </w:rPr>
              <w:t xml:space="preserve"> 层铺设、备用一层保温，保湿覆盖用</w:t>
            </w:r>
          </w:p>
        </w:tc>
      </w:tr>
      <w:tr>
        <w:tblPrEx>
          <w:tblW w:w="0" w:type="auto"/>
          <w:jc w:val="left"/>
          <w:tblInd w:w="607" w:type="dxa"/>
          <w:tblLayout w:type="fixed"/>
          <w:tblCellMar>
            <w:top w:w="0" w:type="dxa"/>
            <w:left w:w="0" w:type="dxa"/>
            <w:bottom w:w="0" w:type="dxa"/>
            <w:right w:w="0" w:type="dxa"/>
          </w:tblCellMar>
          <w:tblLook w:val="01E0"/>
        </w:tblPrEx>
        <w:trPr>
          <w:trHeight w:val="734"/>
          <w:jc w:val="left"/>
        </w:trPr>
        <w:tc>
          <w:tcPr>
            <w:tcW w:w="544" w:type="dxa"/>
          </w:tcPr>
          <w:p>
            <w:pPr>
              <w:pStyle w:val="TableParagraph"/>
              <w:ind w:left="50"/>
              <w:jc w:val="left"/>
              <w:rPr>
                <w:sz w:val="27"/>
              </w:rPr>
            </w:pPr>
            <w:r>
              <w:rPr>
                <w:sz w:val="27"/>
              </w:rPr>
              <w:t>6</w:t>
            </w:r>
          </w:p>
        </w:tc>
        <w:tc>
          <w:tcPr>
            <w:tcW w:w="2283" w:type="dxa"/>
          </w:tcPr>
          <w:p>
            <w:pPr>
              <w:pStyle w:val="TableParagraph"/>
              <w:ind w:left="358"/>
              <w:jc w:val="left"/>
              <w:rPr>
                <w:sz w:val="27"/>
              </w:rPr>
            </w:pPr>
            <w:r>
              <w:rPr>
                <w:sz w:val="27"/>
              </w:rPr>
              <w:t>ZN50mm 振动棒</w:t>
            </w:r>
          </w:p>
        </w:tc>
        <w:tc>
          <w:tcPr>
            <w:tcW w:w="1552" w:type="dxa"/>
          </w:tcPr>
          <w:p>
            <w:pPr>
              <w:pStyle w:val="TableParagraph"/>
              <w:ind w:left="148" w:right="148"/>
              <w:rPr>
                <w:sz w:val="27"/>
              </w:rPr>
            </w:pPr>
            <w:r>
              <w:rPr>
                <w:sz w:val="27"/>
              </w:rPr>
              <w:t>长度 6 米</w:t>
            </w:r>
          </w:p>
        </w:tc>
        <w:tc>
          <w:tcPr>
            <w:tcW w:w="1233" w:type="dxa"/>
          </w:tcPr>
          <w:p>
            <w:pPr>
              <w:pStyle w:val="TableParagraph"/>
              <w:ind w:left="50"/>
              <w:rPr>
                <w:sz w:val="27"/>
              </w:rPr>
            </w:pPr>
            <w:r>
              <w:rPr>
                <w:sz w:val="27"/>
              </w:rPr>
              <w:t>台</w:t>
            </w:r>
          </w:p>
        </w:tc>
        <w:tc>
          <w:tcPr>
            <w:tcW w:w="1372" w:type="dxa"/>
          </w:tcPr>
          <w:p>
            <w:pPr>
              <w:pStyle w:val="TableParagraph"/>
              <w:ind w:right="456"/>
              <w:rPr>
                <w:sz w:val="27"/>
              </w:rPr>
            </w:pPr>
            <w:r>
              <w:rPr>
                <w:sz w:val="27"/>
              </w:rPr>
              <w:t>7</w:t>
            </w:r>
          </w:p>
        </w:tc>
        <w:tc>
          <w:tcPr>
            <w:tcW w:w="5828" w:type="dxa"/>
          </w:tcPr>
          <w:p>
            <w:pPr>
              <w:pStyle w:val="TableParagraph"/>
              <w:ind w:left="670" w:right="74"/>
              <w:rPr>
                <w:sz w:val="27"/>
              </w:rPr>
            </w:pPr>
            <w:r>
              <w:rPr>
                <w:sz w:val="27"/>
              </w:rPr>
              <w:t>1 台备用</w:t>
            </w:r>
          </w:p>
        </w:tc>
      </w:tr>
      <w:tr>
        <w:tblPrEx>
          <w:tblW w:w="0" w:type="auto"/>
          <w:jc w:val="left"/>
          <w:tblInd w:w="607" w:type="dxa"/>
          <w:tblLayout w:type="fixed"/>
          <w:tblCellMar>
            <w:top w:w="0" w:type="dxa"/>
            <w:left w:w="0" w:type="dxa"/>
            <w:bottom w:w="0" w:type="dxa"/>
            <w:right w:w="0" w:type="dxa"/>
          </w:tblCellMar>
          <w:tblLook w:val="01E0"/>
        </w:tblPrEx>
        <w:trPr>
          <w:trHeight w:val="734"/>
          <w:jc w:val="left"/>
        </w:trPr>
        <w:tc>
          <w:tcPr>
            <w:tcW w:w="544" w:type="dxa"/>
          </w:tcPr>
          <w:p>
            <w:pPr>
              <w:pStyle w:val="TableParagraph"/>
              <w:ind w:left="50"/>
              <w:jc w:val="left"/>
              <w:rPr>
                <w:sz w:val="27"/>
              </w:rPr>
            </w:pPr>
            <w:r>
              <w:rPr>
                <w:sz w:val="27"/>
              </w:rPr>
              <w:t>7</w:t>
            </w:r>
          </w:p>
        </w:tc>
        <w:tc>
          <w:tcPr>
            <w:tcW w:w="2283" w:type="dxa"/>
          </w:tcPr>
          <w:p>
            <w:pPr>
              <w:pStyle w:val="TableParagraph"/>
              <w:ind w:left="915" w:right="788"/>
              <w:rPr>
                <w:sz w:val="27"/>
              </w:rPr>
            </w:pPr>
            <w:r>
              <w:rPr>
                <w:sz w:val="27"/>
              </w:rPr>
              <w:t>塔吊</w:t>
            </w:r>
          </w:p>
        </w:tc>
        <w:tc>
          <w:tcPr>
            <w:tcW w:w="1552" w:type="dxa"/>
          </w:tcPr>
          <w:p>
            <w:pPr>
              <w:pStyle w:val="TableParagraph"/>
              <w:ind w:left="147" w:right="148"/>
              <w:rPr>
                <w:sz w:val="27"/>
              </w:rPr>
            </w:pPr>
            <w:r>
              <w:rPr>
                <w:sz w:val="27"/>
              </w:rPr>
              <w:t>QTZ5013</w:t>
            </w:r>
          </w:p>
        </w:tc>
        <w:tc>
          <w:tcPr>
            <w:tcW w:w="1233" w:type="dxa"/>
          </w:tcPr>
          <w:p>
            <w:pPr>
              <w:pStyle w:val="TableParagraph"/>
              <w:ind w:left="50"/>
              <w:rPr>
                <w:sz w:val="27"/>
              </w:rPr>
            </w:pPr>
            <w:r>
              <w:rPr>
                <w:sz w:val="27"/>
              </w:rPr>
              <w:t>台</w:t>
            </w:r>
          </w:p>
        </w:tc>
        <w:tc>
          <w:tcPr>
            <w:tcW w:w="1372" w:type="dxa"/>
          </w:tcPr>
          <w:p>
            <w:pPr>
              <w:pStyle w:val="TableParagraph"/>
              <w:ind w:right="456"/>
              <w:rPr>
                <w:sz w:val="27"/>
              </w:rPr>
            </w:pPr>
            <w:r>
              <w:rPr>
                <w:sz w:val="27"/>
              </w:rPr>
              <w:t>1</w:t>
            </w:r>
          </w:p>
        </w:tc>
        <w:tc>
          <w:tcPr>
            <w:tcW w:w="5828" w:type="dxa"/>
          </w:tcPr>
          <w:p>
            <w:pPr>
              <w:pStyle w:val="TableParagraph"/>
              <w:ind w:left="670" w:right="73"/>
              <w:rPr>
                <w:sz w:val="27"/>
              </w:rPr>
            </w:pPr>
            <w:r>
              <w:rPr>
                <w:sz w:val="27"/>
              </w:rPr>
              <w:t>最大起吊 6T</w:t>
            </w:r>
          </w:p>
        </w:tc>
      </w:tr>
      <w:tr>
        <w:tblPrEx>
          <w:tblW w:w="0" w:type="auto"/>
          <w:jc w:val="left"/>
          <w:tblInd w:w="607" w:type="dxa"/>
          <w:tblLayout w:type="fixed"/>
          <w:tblCellMar>
            <w:top w:w="0" w:type="dxa"/>
            <w:left w:w="0" w:type="dxa"/>
            <w:bottom w:w="0" w:type="dxa"/>
            <w:right w:w="0" w:type="dxa"/>
          </w:tblCellMar>
          <w:tblLook w:val="01E0"/>
        </w:tblPrEx>
        <w:trPr>
          <w:trHeight w:val="502"/>
          <w:jc w:val="left"/>
        </w:trPr>
        <w:tc>
          <w:tcPr>
            <w:tcW w:w="544" w:type="dxa"/>
          </w:tcPr>
          <w:p>
            <w:pPr>
              <w:pStyle w:val="TableParagraph"/>
              <w:spacing w:line="288" w:lineRule="exact"/>
              <w:ind w:left="50"/>
              <w:jc w:val="left"/>
              <w:rPr>
                <w:sz w:val="27"/>
              </w:rPr>
            </w:pPr>
            <w:r>
              <w:rPr>
                <w:sz w:val="27"/>
              </w:rPr>
              <w:t>8</w:t>
            </w:r>
          </w:p>
        </w:tc>
        <w:tc>
          <w:tcPr>
            <w:tcW w:w="2283" w:type="dxa"/>
          </w:tcPr>
          <w:p>
            <w:pPr>
              <w:pStyle w:val="TableParagraph"/>
              <w:spacing w:line="288" w:lineRule="exact"/>
              <w:ind w:left="607"/>
              <w:jc w:val="left"/>
              <w:rPr>
                <w:sz w:val="27"/>
              </w:rPr>
            </w:pPr>
            <w:r>
              <w:rPr>
                <w:sz w:val="27"/>
              </w:rPr>
              <w:t>喷雾器</w:t>
            </w:r>
          </w:p>
        </w:tc>
        <w:tc>
          <w:tcPr>
            <w:tcW w:w="1552" w:type="dxa"/>
          </w:tcPr>
          <w:p>
            <w:pPr>
              <w:pStyle w:val="TableParagraph"/>
              <w:spacing w:before="0"/>
              <w:jc w:val="left"/>
              <w:rPr>
                <w:rFonts w:ascii="Times New Roman"/>
                <w:sz w:val="34"/>
              </w:rPr>
            </w:pPr>
          </w:p>
        </w:tc>
        <w:tc>
          <w:tcPr>
            <w:tcW w:w="1233" w:type="dxa"/>
          </w:tcPr>
          <w:p>
            <w:pPr>
              <w:pStyle w:val="TableParagraph"/>
              <w:spacing w:line="288" w:lineRule="exact"/>
              <w:ind w:right="5"/>
              <w:rPr>
                <w:sz w:val="27"/>
              </w:rPr>
            </w:pPr>
            <w:r>
              <w:rPr>
                <w:sz w:val="27"/>
              </w:rPr>
              <w:t>台</w:t>
            </w:r>
          </w:p>
        </w:tc>
        <w:tc>
          <w:tcPr>
            <w:tcW w:w="1372" w:type="dxa"/>
          </w:tcPr>
          <w:p>
            <w:pPr>
              <w:pStyle w:val="TableParagraph"/>
              <w:spacing w:line="288" w:lineRule="exact"/>
              <w:ind w:right="456"/>
              <w:rPr>
                <w:sz w:val="27"/>
              </w:rPr>
            </w:pPr>
            <w:r>
              <w:rPr>
                <w:sz w:val="27"/>
              </w:rPr>
              <w:t>2</w:t>
            </w:r>
          </w:p>
        </w:tc>
        <w:tc>
          <w:tcPr>
            <w:tcW w:w="5828" w:type="dxa"/>
          </w:tcPr>
          <w:p>
            <w:pPr>
              <w:pStyle w:val="TableParagraph"/>
              <w:spacing w:line="288" w:lineRule="exact"/>
              <w:ind w:left="670" w:right="74"/>
              <w:rPr>
                <w:sz w:val="27"/>
              </w:rPr>
            </w:pPr>
            <w:r>
              <w:rPr>
                <w:sz w:val="27"/>
              </w:rPr>
              <w:t>用于混凝初凝后的喷雾养护</w:t>
            </w:r>
          </w:p>
        </w:tc>
      </w:tr>
    </w:tbl>
    <w:p>
      <w:pPr>
        <w:pStyle w:val="BodyText"/>
        <w:rPr>
          <w:b/>
          <w:sz w:val="20"/>
        </w:rPr>
      </w:pPr>
    </w:p>
    <w:p>
      <w:pPr>
        <w:pStyle w:val="BodyText"/>
        <w:rPr>
          <w:b/>
          <w:sz w:val="20"/>
        </w:rPr>
      </w:pPr>
    </w:p>
    <w:p>
      <w:pPr>
        <w:pStyle w:val="BodyText"/>
        <w:spacing w:before="7"/>
        <w:rPr>
          <w:b/>
          <w:sz w:val="26"/>
        </w:rPr>
      </w:pPr>
    </w:p>
    <w:p>
      <w:pPr>
        <w:pStyle w:val="Heading1"/>
        <w:spacing w:before="43"/>
      </w:pPr>
      <w:r>
        <w:drawing>
          <wp:anchor distT="0" distB="0" distL="0" distR="0" simplePos="0" relativeHeight="251659264" behindDoc="1" locked="0" layoutInCell="1" allowOverlap="1">
            <wp:simplePos x="0" y="0"/>
            <wp:positionH relativeFrom="page">
              <wp:posOffset>1333500</wp:posOffset>
            </wp:positionH>
            <wp:positionV relativeFrom="paragraph">
              <wp:posOffset>-3329939</wp:posOffset>
            </wp:positionV>
            <wp:extent cx="9133917" cy="2825019"/>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19" cstate="print"/>
                    <a:stretch>
                      <a:fillRect/>
                    </a:stretch>
                  </pic:blipFill>
                  <pic:spPr>
                    <a:xfrm>
                      <a:off x="0" y="0"/>
                      <a:ext cx="9133917" cy="2825019"/>
                    </a:xfrm>
                    <a:prstGeom prst="rect">
                      <a:avLst/>
                    </a:prstGeom>
                  </pic:spPr>
                </pic:pic>
              </a:graphicData>
            </a:graphic>
          </wp:anchor>
        </w:drawing>
      </w:r>
      <w:bookmarkStart w:id="4" w:name="_TOC_250014"/>
      <w:bookmarkEnd w:id="4"/>
      <w:r>
        <w:t>四、大体积混凝土温度和温度应力</w:t>
      </w:r>
    </w:p>
    <w:p>
      <w:pPr>
        <w:pStyle w:val="BodyText"/>
        <w:spacing w:before="370" w:line="364" w:lineRule="auto"/>
        <w:ind w:left="124" w:right="330" w:firstLine="720"/>
      </w:pPr>
      <w:r>
        <w:t>1、根据设计要求，对基础底板混凝土进行温度检测；基础底板混凝土中部中心点的温升高峰值，该温升值一般略小于绝热温升值。规范规定，对大体积混凝土养护，应根据气候条件采取控温措施，并按需要测定浇筑后的混凝土表面和内部温度，将温差控制在设计要求的范围内。表面温度的控制可采取调整保温层的厚度，混凝土浇筑温度满足以下几点要求（1） 在入模温度基础上的温升值不宜大于 50℃.（2）基础筏板混凝土的内外温差不宜大于 25℃.</w:t>
      </w:r>
    </w:p>
    <w:p>
      <w:pPr>
        <w:pStyle w:val="BodyText"/>
        <w:spacing w:before="5"/>
        <w:ind w:left="124"/>
      </w:pPr>
      <w:r>
        <w:t>（3）</w:t>
      </w:r>
      <w:r>
        <w:rPr>
          <w:spacing w:val="-7"/>
        </w:rPr>
        <w:t xml:space="preserve">基础筏板砼的降温速率不宜大于 </w:t>
      </w:r>
      <w:r>
        <w:t>2.0℃/d</w:t>
      </w:r>
      <w:r>
        <w:rPr>
          <w:spacing w:val="-191"/>
        </w:rPr>
        <w:t>。</w:t>
      </w:r>
      <w:r>
        <w:t>（4）基础筏板砼的表面与大气温差不宜大于</w:t>
      </w:r>
    </w:p>
    <w:p>
      <w:pPr>
        <w:spacing w:before="271"/>
        <w:ind w:left="124" w:right="0" w:firstLine="0"/>
        <w:jc w:val="left"/>
        <w:rPr>
          <w:sz w:val="42"/>
        </w:rPr>
      </w:pPr>
      <w:r>
        <w:rPr>
          <w:sz w:val="36"/>
        </w:rPr>
        <w:t>20℃</w:t>
      </w:r>
      <w:r>
        <w:rPr>
          <w:position w:val="5"/>
          <w:sz w:val="42"/>
        </w:rPr>
        <w:t>，</w:t>
      </w:r>
    </w:p>
    <w:p>
      <w:pPr>
        <w:pStyle w:val="BodyText"/>
        <w:spacing w:before="335"/>
        <w:ind w:left="484"/>
      </w:pPr>
      <w:r>
        <w:t>2、汽车卸煤沟筏板基础测温点布置见平面布置图。</w:t>
      </w:r>
    </w:p>
    <w:p>
      <w:pPr>
        <w:pStyle w:val="BodyText"/>
        <w:spacing w:before="241" w:line="364" w:lineRule="auto"/>
        <w:ind w:left="124" w:right="455"/>
        <w:jc w:val="both"/>
      </w:pPr>
      <w:r>
        <w:rPr>
          <w:spacing w:val="-21"/>
        </w:rPr>
        <w:t>（1）</w:t>
      </w:r>
      <w:r>
        <w:rPr>
          <w:spacing w:val="-3"/>
        </w:rPr>
        <w:t xml:space="preserve">监测点的布置范围应以所选混凝土浇筑体平面图对称轴线的半条轴线为测试区，在测试区内监测点按平面分层布置，在每条测试轴线上，监测点位不宜不少于 </w:t>
      </w:r>
      <w:r>
        <w:t>4</w:t>
      </w:r>
      <w:r>
        <w:rPr>
          <w:spacing w:val="-12"/>
        </w:rPr>
        <w:t xml:space="preserve"> 处、应根据结构的几何尺寸布置。</w:t>
      </w:r>
    </w:p>
    <w:p>
      <w:pPr>
        <w:pStyle w:val="BodyText"/>
        <w:spacing w:before="2" w:line="364" w:lineRule="auto"/>
        <w:ind w:left="124" w:right="512" w:firstLine="180"/>
      </w:pPr>
      <w:r>
        <w:t>（2）沿混凝土浇筑体厚度方向、必须布置外面、底面和中凡温度测点、其余测点宜按测点间距不大于 600MM 布置。</w:t>
      </w:r>
    </w:p>
    <w:p>
      <w:pPr>
        <w:spacing w:after="0" w:line="364" w:lineRule="auto"/>
        <w:sectPr>
          <w:headerReference w:type="default" r:id="rId20"/>
          <w:footerReference w:type="default" r:id="rId21"/>
          <w:pgSz w:w="17860" w:h="25260"/>
          <w:pgMar w:top="1780" w:right="820" w:bottom="2040" w:left="2000" w:header="1024" w:footer="1823"/>
          <w:pgNumType w:start="8"/>
          <w:cols w:space="708"/>
        </w:sectPr>
      </w:pPr>
    </w:p>
    <w:p>
      <w:pPr>
        <w:pStyle w:val="BodyText"/>
        <w:spacing w:before="10"/>
        <w:rPr>
          <w:sz w:val="12"/>
        </w:rPr>
      </w:pPr>
    </w:p>
    <w:p>
      <w:pPr>
        <w:pStyle w:val="BodyText"/>
        <w:ind w:left="5083"/>
        <w:rPr>
          <w:sz w:val="20"/>
        </w:rPr>
      </w:pPr>
      <w:r>
        <w:rPr>
          <w:sz w:val="20"/>
        </w:rPr>
        <w:drawing>
          <wp:inline distT="0" distB="0" distL="0" distR="0">
            <wp:extent cx="2858890" cy="595884"/>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22" cstate="print"/>
                    <a:stretch>
                      <a:fillRect/>
                    </a:stretch>
                  </pic:blipFill>
                  <pic:spPr>
                    <a:xfrm>
                      <a:off x="0" y="0"/>
                      <a:ext cx="2858890" cy="595884"/>
                    </a:xfrm>
                    <a:prstGeom prst="rect">
                      <a:avLst/>
                    </a:prstGeom>
                  </pic:spPr>
                </pic:pic>
              </a:graphicData>
            </a:graphic>
          </wp:inline>
        </w:drawing>
      </w:r>
    </w:p>
    <w:p>
      <w:pPr>
        <w:spacing w:after="0"/>
        <w:rPr>
          <w:sz w:val="20"/>
        </w:rPr>
        <w:sectPr>
          <w:headerReference w:type="default" r:id="rId23"/>
          <w:footerReference w:type="default" r:id="rId24"/>
          <w:pgSz w:w="17860" w:h="25260"/>
          <w:pgMar w:top="1780" w:right="820" w:bottom="2040" w:left="2000" w:header="1024" w:footer="1823"/>
          <w:pgNumType w:start="9"/>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3"/>
        </w:rPr>
      </w:pPr>
    </w:p>
    <w:p>
      <w:pPr>
        <w:pStyle w:val="BodyText"/>
        <w:ind w:left="574"/>
        <w:rPr>
          <w:sz w:val="20"/>
        </w:rPr>
      </w:pPr>
      <w:r>
        <w:rPr>
          <w:sz w:val="20"/>
        </w:rPr>
        <w:drawing>
          <wp:inline distT="0" distB="0" distL="0" distR="0">
            <wp:extent cx="8881044" cy="612648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25" cstate="print"/>
                    <a:stretch>
                      <a:fillRect/>
                    </a:stretch>
                  </pic:blipFill>
                  <pic:spPr>
                    <a:xfrm>
                      <a:off x="0" y="0"/>
                      <a:ext cx="8881044" cy="6126480"/>
                    </a:xfrm>
                    <a:prstGeom prst="rect">
                      <a:avLst/>
                    </a:prstGeom>
                  </pic:spPr>
                </pic:pic>
              </a:graphicData>
            </a:graphic>
          </wp:inline>
        </w:drawing>
      </w:r>
    </w:p>
    <w:p>
      <w:pPr>
        <w:spacing w:after="0"/>
        <w:rPr>
          <w:sz w:val="20"/>
        </w:rPr>
        <w:sectPr>
          <w:headerReference w:type="default" r:id="rId26"/>
          <w:footerReference w:type="default" r:id="rId27"/>
          <w:pgSz w:w="17860" w:h="25260"/>
          <w:pgMar w:top="1780" w:right="820" w:bottom="2040" w:left="2000" w:header="1024" w:footer="1823"/>
          <w:pgNumType w:start="10"/>
          <w:cols w:space="708"/>
        </w:sectPr>
      </w:pPr>
    </w:p>
    <w:p>
      <w:pPr>
        <w:pStyle w:val="BodyText"/>
        <w:spacing w:before="10" w:after="1"/>
        <w:rPr>
          <w:sz w:val="21"/>
        </w:rPr>
      </w:pPr>
    </w:p>
    <w:p>
      <w:pPr>
        <w:pStyle w:val="BodyText"/>
        <w:ind w:left="5124"/>
        <w:rPr>
          <w:sz w:val="20"/>
        </w:rPr>
      </w:pPr>
      <w:r>
        <w:rPr>
          <w:sz w:val="20"/>
        </w:rPr>
        <w:drawing>
          <wp:inline distT="0" distB="0" distL="0" distR="0">
            <wp:extent cx="3162161" cy="750093"/>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pic:nvPicPr>
                  <pic:blipFill>
                    <a:blip xmlns:r="http://schemas.openxmlformats.org/officeDocument/2006/relationships" r:embed="rId28" cstate="print"/>
                    <a:stretch>
                      <a:fillRect/>
                    </a:stretch>
                  </pic:blipFill>
                  <pic:spPr>
                    <a:xfrm>
                      <a:off x="0" y="0"/>
                      <a:ext cx="3162161" cy="750093"/>
                    </a:xfrm>
                    <a:prstGeom prst="rect">
                      <a:avLst/>
                    </a:prstGeom>
                  </pic:spPr>
                </pic:pic>
              </a:graphicData>
            </a:graphic>
          </wp:inline>
        </w:drawing>
      </w:r>
    </w:p>
    <w:p>
      <w:pPr>
        <w:spacing w:after="0"/>
        <w:rPr>
          <w:sz w:val="20"/>
        </w:rPr>
        <w:sectPr>
          <w:headerReference w:type="default" r:id="rId29"/>
          <w:footerReference w:type="default" r:id="rId30"/>
          <w:pgSz w:w="17860" w:h="25260"/>
          <w:pgMar w:top="1780" w:right="820" w:bottom="2040" w:left="2000" w:header="1024" w:footer="1823"/>
          <w:pgNumType w:start="11"/>
          <w:cols w:space="708"/>
        </w:sectPr>
      </w:pPr>
    </w:p>
    <w:p>
      <w:pPr>
        <w:pStyle w:val="BodyText"/>
        <w:spacing w:before="9"/>
        <w:rPr>
          <w:sz w:val="9"/>
        </w:rPr>
      </w:pPr>
    </w:p>
    <w:p>
      <w:pPr>
        <w:pStyle w:val="Heading1"/>
        <w:spacing w:before="42"/>
      </w:pPr>
      <w:bookmarkStart w:id="5" w:name="_TOC_250013"/>
      <w:bookmarkEnd w:id="5"/>
      <w:r>
        <w:t>五、大体积混凝土施工</w:t>
      </w:r>
    </w:p>
    <w:p>
      <w:pPr>
        <w:pStyle w:val="Heading2"/>
        <w:numPr>
          <w:ilvl w:val="1"/>
          <w:numId w:val="13"/>
        </w:numPr>
        <w:tabs>
          <w:tab w:val="left" w:pos="672"/>
        </w:tabs>
        <w:spacing w:before="370" w:after="0" w:line="240" w:lineRule="auto"/>
        <w:ind w:left="672" w:right="0" w:hanging="548"/>
        <w:jc w:val="left"/>
      </w:pPr>
      <w:bookmarkStart w:id="6" w:name="_TOC_250012"/>
      <w:bookmarkEnd w:id="6"/>
      <w:r>
        <w:t>、混凝土浇筑</w:t>
      </w:r>
    </w:p>
    <w:p>
      <w:pPr>
        <w:pStyle w:val="ListParagraph"/>
        <w:numPr>
          <w:ilvl w:val="2"/>
          <w:numId w:val="13"/>
        </w:numPr>
        <w:tabs>
          <w:tab w:val="left" w:pos="1746"/>
        </w:tabs>
        <w:spacing w:before="241" w:after="0" w:line="240" w:lineRule="auto"/>
        <w:ind w:left="1745" w:right="0" w:hanging="902"/>
        <w:jc w:val="left"/>
        <w:rPr>
          <w:sz w:val="36"/>
        </w:rPr>
      </w:pPr>
      <w:r>
        <w:rPr>
          <w:spacing w:val="-12"/>
          <w:sz w:val="36"/>
        </w:rPr>
        <w:t>混凝土采用自建搅拌站混凝土，混凝土运输车运到现场，砼汽车用输送泵输送浇注。</w:t>
      </w:r>
    </w:p>
    <w:p>
      <w:pPr>
        <w:pStyle w:val="ListParagraph"/>
        <w:numPr>
          <w:ilvl w:val="2"/>
          <w:numId w:val="13"/>
        </w:numPr>
        <w:tabs>
          <w:tab w:val="left" w:pos="1746"/>
        </w:tabs>
        <w:spacing w:before="241" w:after="0" w:line="364" w:lineRule="auto"/>
        <w:ind w:left="124" w:right="334" w:firstLine="720"/>
        <w:jc w:val="left"/>
        <w:rPr>
          <w:sz w:val="36"/>
        </w:rPr>
      </w:pPr>
      <w:r>
        <w:rPr>
          <w:spacing w:val="-1"/>
          <w:sz w:val="36"/>
        </w:rPr>
        <w:t>大体积混凝土整体连续浇筑具有结构整体性好、施工周期短和抗渗性好等优点，但</w:t>
      </w:r>
      <w:r>
        <w:rPr>
          <w:spacing w:val="-9"/>
          <w:sz w:val="36"/>
        </w:rPr>
        <w:t xml:space="preserve">浇筑的混凝土厚度超过 </w:t>
      </w:r>
      <w:r>
        <w:rPr>
          <w:sz w:val="36"/>
        </w:rPr>
        <w:t>1.3</w:t>
      </w:r>
      <w:r>
        <w:rPr>
          <w:spacing w:val="-9"/>
          <w:sz w:val="36"/>
        </w:rPr>
        <w:t xml:space="preserve"> 米时，应采取分层浇筑，分层厚度宜为</w:t>
      </w:r>
      <w:r>
        <w:rPr>
          <w:sz w:val="36"/>
        </w:rPr>
        <w:t>0.3～0.5</w:t>
      </w:r>
      <w:r>
        <w:rPr>
          <w:spacing w:val="-13"/>
          <w:sz w:val="36"/>
        </w:rPr>
        <w:t xml:space="preserve"> 米。本次浇筑的</w:t>
      </w:r>
      <w:r>
        <w:rPr>
          <w:spacing w:val="-19"/>
          <w:sz w:val="36"/>
        </w:rPr>
        <w:t xml:space="preserve">汽车卸煤沟筏板基础厚度为 </w:t>
      </w:r>
      <w:r>
        <w:rPr>
          <w:sz w:val="36"/>
        </w:rPr>
        <w:t>1.5</w:t>
      </w:r>
      <w:r>
        <w:rPr>
          <w:spacing w:val="-15"/>
          <w:sz w:val="36"/>
        </w:rPr>
        <w:t xml:space="preserve"> 米，浇筑时根据伸缩缝将筏板划分为 </w:t>
      </w:r>
      <w:r>
        <w:rPr>
          <w:sz w:val="36"/>
        </w:rPr>
        <w:t>4</w:t>
      </w:r>
      <w:r>
        <w:rPr>
          <w:spacing w:val="-11"/>
          <w:sz w:val="36"/>
        </w:rPr>
        <w:t xml:space="preserve"> 段分别独立采用分层</w:t>
      </w:r>
      <w:r>
        <w:rPr>
          <w:spacing w:val="-16"/>
          <w:sz w:val="36"/>
        </w:rPr>
        <w:t xml:space="preserve">连续浇筑施工工艺、每层浇筑厚度为 </w:t>
      </w:r>
      <w:r>
        <w:rPr>
          <w:sz w:val="36"/>
        </w:rPr>
        <w:t>0.5</w:t>
      </w:r>
      <w:r>
        <w:rPr>
          <w:spacing w:val="-10"/>
          <w:sz w:val="36"/>
        </w:rPr>
        <w:t xml:space="preserve"> 米，天气温度高时浇筑间歇时间要缩短，振动器的</w:t>
      </w:r>
      <w:r>
        <w:rPr>
          <w:spacing w:val="-24"/>
          <w:sz w:val="36"/>
        </w:rPr>
        <w:t xml:space="preserve">插点间距为 </w:t>
      </w:r>
      <w:r>
        <w:rPr>
          <w:sz w:val="36"/>
        </w:rPr>
        <w:t>1.5</w:t>
      </w:r>
      <w:r>
        <w:rPr>
          <w:spacing w:val="-15"/>
          <w:sz w:val="36"/>
        </w:rPr>
        <w:t xml:space="preserve"> 倍的振动有效半径、振捣间距不大于 </w:t>
      </w:r>
      <w:r>
        <w:rPr>
          <w:sz w:val="36"/>
        </w:rPr>
        <w:t>40CM，振点梅花形布置，防止漏振。振</w:t>
      </w:r>
      <w:r>
        <w:rPr>
          <w:spacing w:val="-7"/>
          <w:sz w:val="36"/>
        </w:rPr>
        <w:t xml:space="preserve">捣时振捣器应插入下层混凝土 </w:t>
      </w:r>
      <w:r>
        <w:rPr>
          <w:sz w:val="36"/>
        </w:rPr>
        <w:t>5CM—10CM,以加强上下层混凝土的结合，混凝土振捣时应按照垂直插入、快插、慢拔以免在混凝土中留下空隙，振捣时做到三不靠、一指振捣时不要碰到</w:t>
      </w:r>
      <w:r>
        <w:rPr>
          <w:spacing w:val="-4"/>
          <w:sz w:val="36"/>
        </w:rPr>
        <w:t xml:space="preserve">模板、二是钢筋和预埋件，每次插入振捣的时间为 </w:t>
      </w:r>
      <w:r>
        <w:rPr>
          <w:sz w:val="36"/>
        </w:rPr>
        <w:t>20—30</w:t>
      </w:r>
      <w:r>
        <w:rPr>
          <w:spacing w:val="-22"/>
          <w:sz w:val="36"/>
        </w:rPr>
        <w:t xml:space="preserve"> 秒左右、不少于 </w:t>
      </w:r>
      <w:r>
        <w:rPr>
          <w:sz w:val="36"/>
        </w:rPr>
        <w:t>10S， 并以混凝土不再显著下沉，不出现气泡，开始泛浆时为准。振捣时间不宜过久，太久会出现砂与水泥浆分离，石子下沉，并在混凝土表面形成砂层，影响混凝土质量。依据伸缩缝的位置，划定 4</w:t>
      </w:r>
      <w:r>
        <w:rPr>
          <w:spacing w:val="-15"/>
          <w:sz w:val="36"/>
        </w:rPr>
        <w:t xml:space="preserve"> 个独立浇筑区域。确保每层混凝土之间的浇筑间歇时间不超过混凝土初凝时间。</w:t>
      </w:r>
      <w:r>
        <w:rPr>
          <w:sz w:val="36"/>
        </w:rPr>
        <w:t>（3）混凝</w:t>
      </w:r>
      <w:r>
        <w:rPr>
          <w:spacing w:val="-19"/>
          <w:sz w:val="36"/>
        </w:rPr>
        <w:t xml:space="preserve">土浇筑时 </w:t>
      </w:r>
      <w:r>
        <w:rPr>
          <w:sz w:val="36"/>
        </w:rPr>
        <w:t>4</w:t>
      </w:r>
      <w:r>
        <w:rPr>
          <w:spacing w:val="-21"/>
          <w:sz w:val="36"/>
        </w:rPr>
        <w:t xml:space="preserve"> 个施工段分别独立分层浇筑，因为混凝土的坍落度比较大、分段面积小分别是 </w:t>
      </w:r>
      <w:r>
        <w:rPr>
          <w:sz w:val="36"/>
        </w:rPr>
        <w:t>11M</w:t>
      </w:r>
    </w:p>
    <w:p>
      <w:pPr>
        <w:pStyle w:val="BodyText"/>
        <w:spacing w:before="12"/>
        <w:ind w:left="124"/>
      </w:pPr>
      <w:r>
        <w:t>×25.707M</w:t>
      </w:r>
      <w:r>
        <w:rPr>
          <w:spacing w:val="-32"/>
        </w:rPr>
        <w:t xml:space="preserve"> 混凝土量 </w:t>
      </w:r>
      <w:r>
        <w:t>419.7</w:t>
      </w:r>
      <w:r>
        <w:rPr>
          <w:spacing w:val="-22"/>
        </w:rPr>
        <w:t xml:space="preserve"> 立方米、</w:t>
      </w:r>
      <w:r>
        <w:t>11M×27.07M</w:t>
      </w:r>
      <w:r>
        <w:rPr>
          <w:spacing w:val="-31"/>
        </w:rPr>
        <w:t xml:space="preserve"> 混凝土量 </w:t>
      </w:r>
      <w:r>
        <w:t>446.655</w:t>
      </w:r>
      <w:r>
        <w:rPr>
          <w:spacing w:val="-22"/>
        </w:rPr>
        <w:t xml:space="preserve"> 立方米、</w:t>
      </w:r>
      <w:r>
        <w:t>20.57M×11M</w:t>
      </w:r>
      <w:r>
        <w:rPr>
          <w:spacing w:val="-45"/>
        </w:rPr>
        <w:t xml:space="preserve"> 混</w:t>
      </w:r>
    </w:p>
    <w:p>
      <w:pPr>
        <w:pStyle w:val="BodyText"/>
        <w:spacing w:before="241" w:line="364" w:lineRule="auto"/>
        <w:ind w:left="124" w:right="435"/>
        <w:jc w:val="both"/>
      </w:pPr>
      <w:r>
        <w:rPr>
          <w:spacing w:val="-23"/>
        </w:rPr>
        <w:t xml:space="preserve">凝土量 </w:t>
      </w:r>
      <w:r>
        <w:t>339.405</w:t>
      </w:r>
      <w:r>
        <w:rPr>
          <w:spacing w:val="-22"/>
        </w:rPr>
        <w:t xml:space="preserve"> 立方米、</w:t>
      </w:r>
      <w:r>
        <w:t>10.435M×11.8M</w:t>
      </w:r>
      <w:r>
        <w:rPr>
          <w:spacing w:val="-31"/>
        </w:rPr>
        <w:t xml:space="preserve"> 混凝土量 </w:t>
      </w:r>
      <w:r>
        <w:t>206.613</w:t>
      </w:r>
      <w:r>
        <w:rPr>
          <w:spacing w:val="-11"/>
        </w:rPr>
        <w:t xml:space="preserve"> 立方米，在分层浇筑时厚度控制</w:t>
      </w:r>
      <w:r>
        <w:rPr>
          <w:spacing w:val="-45"/>
        </w:rPr>
        <w:t xml:space="preserve">在 </w:t>
      </w:r>
      <w:r>
        <w:t>0.5</w:t>
      </w:r>
      <w:r>
        <w:rPr>
          <w:spacing w:val="-17"/>
        </w:rPr>
        <w:t xml:space="preserve"> 米厚，一、二施工段分别按 </w:t>
      </w:r>
      <w:r>
        <w:t>6</w:t>
      </w:r>
      <w:r>
        <w:rPr>
          <w:spacing w:val="-14"/>
        </w:rPr>
        <w:t xml:space="preserve"> 名振捣工计算，从两端向中间浇筑、每边 </w:t>
      </w:r>
      <w:r>
        <w:t>3</w:t>
      </w:r>
      <w:r>
        <w:rPr>
          <w:spacing w:val="-16"/>
        </w:rPr>
        <w:t xml:space="preserve"> 名振捣工， </w:t>
      </w:r>
      <w:r>
        <w:rPr>
          <w:spacing w:val="-24"/>
        </w:rPr>
        <w:t xml:space="preserve">三、四施工段分别按 </w:t>
      </w:r>
      <w:r>
        <w:t>3</w:t>
      </w:r>
      <w:r>
        <w:rPr>
          <w:spacing w:val="-10"/>
        </w:rPr>
        <w:t xml:space="preserve"> 名振捣工计算，从北面向南面浇筑，振捣工分别负责各自区域混凝土振捣，并记录各自的振捣部位。</w:t>
      </w:r>
    </w:p>
    <w:p>
      <w:pPr>
        <w:pStyle w:val="ListParagraph"/>
        <w:numPr>
          <w:ilvl w:val="0"/>
          <w:numId w:val="12"/>
        </w:numPr>
        <w:tabs>
          <w:tab w:val="left" w:pos="1746"/>
        </w:tabs>
        <w:spacing w:before="4" w:after="0" w:line="364" w:lineRule="auto"/>
        <w:ind w:left="124" w:right="334" w:firstLine="720"/>
        <w:jc w:val="left"/>
        <w:rPr>
          <w:sz w:val="36"/>
        </w:rPr>
      </w:pPr>
      <w:r>
        <w:rPr>
          <w:spacing w:val="-1"/>
          <w:sz w:val="36"/>
        </w:rPr>
        <w:t>由于混凝土坍落度比较大，会在钢筋表面下部产生水分，或在钢筋表层上部的混凝</w:t>
      </w:r>
      <w:r>
        <w:rPr>
          <w:sz w:val="36"/>
        </w:rPr>
        <w:t>土产生细小裂缝。为了防止出现这种裂缝，在混凝土浇筑到顶部位，初凝前和混凝土预沉后</w:t>
      </w:r>
      <w:r>
        <w:rPr>
          <w:spacing w:val="-5"/>
          <w:sz w:val="36"/>
        </w:rPr>
        <w:t xml:space="preserve">采取表面混凝土二次抹面拉毛压平、压抹不少于 </w:t>
      </w:r>
      <w:r>
        <w:rPr>
          <w:sz w:val="36"/>
        </w:rPr>
        <w:t>3</w:t>
      </w:r>
      <w:r>
        <w:rPr>
          <w:spacing w:val="-10"/>
          <w:sz w:val="36"/>
        </w:rPr>
        <w:t xml:space="preserve"> 遍，终凝前必须再拉毛压平一次，确保工程施工质量。</w:t>
      </w:r>
    </w:p>
    <w:p>
      <w:pPr>
        <w:pStyle w:val="ListParagraph"/>
        <w:numPr>
          <w:ilvl w:val="0"/>
          <w:numId w:val="12"/>
        </w:numPr>
        <w:tabs>
          <w:tab w:val="left" w:pos="1746"/>
        </w:tabs>
        <w:spacing w:before="4" w:after="0" w:line="364" w:lineRule="auto"/>
        <w:ind w:left="124" w:right="419" w:firstLine="720"/>
        <w:jc w:val="both"/>
        <w:rPr>
          <w:sz w:val="36"/>
        </w:rPr>
      </w:pPr>
      <w:r>
        <w:rPr>
          <w:spacing w:val="5"/>
          <w:sz w:val="36"/>
        </w:rPr>
        <w:t>现场按抗渗混凝土每浇筑</w:t>
      </w:r>
      <w:r>
        <w:rPr>
          <w:sz w:val="36"/>
        </w:rPr>
        <w:t>500</w:t>
      </w:r>
      <w:r>
        <w:rPr>
          <w:spacing w:val="-23"/>
          <w:sz w:val="36"/>
        </w:rPr>
        <w:t xml:space="preserve"> 立方米</w:t>
      </w:r>
      <w:r>
        <w:rPr>
          <w:sz w:val="36"/>
        </w:rPr>
        <w:t>（或一个台班）</w:t>
      </w:r>
      <w:r>
        <w:rPr>
          <w:spacing w:val="33"/>
          <w:sz w:val="36"/>
        </w:rPr>
        <w:t>做</w:t>
      </w:r>
      <w:r>
        <w:rPr>
          <w:sz w:val="36"/>
        </w:rPr>
        <w:t>1</w:t>
      </w:r>
      <w:r>
        <w:rPr>
          <w:spacing w:val="-16"/>
          <w:sz w:val="36"/>
        </w:rPr>
        <w:t xml:space="preserve"> 组抗渗试块</w:t>
      </w:r>
      <w:r>
        <w:rPr>
          <w:sz w:val="36"/>
        </w:rPr>
        <w:t>（</w:t>
      </w:r>
      <w:r>
        <w:rPr>
          <w:spacing w:val="-4"/>
          <w:sz w:val="36"/>
        </w:rPr>
        <w:t>共做抗渗试</w:t>
      </w:r>
      <w:r>
        <w:rPr>
          <w:spacing w:val="-45"/>
          <w:sz w:val="36"/>
        </w:rPr>
        <w:t xml:space="preserve">块 </w:t>
      </w:r>
      <w:r>
        <w:rPr>
          <w:sz w:val="36"/>
        </w:rPr>
        <w:t>4</w:t>
      </w:r>
      <w:r>
        <w:rPr>
          <w:spacing w:val="-45"/>
          <w:sz w:val="36"/>
        </w:rPr>
        <w:t xml:space="preserve"> 组</w:t>
      </w:r>
      <w:r>
        <w:rPr>
          <w:spacing w:val="-180"/>
          <w:sz w:val="36"/>
        </w:rPr>
        <w:t>）</w:t>
      </w:r>
      <w:r>
        <w:rPr>
          <w:spacing w:val="-12"/>
          <w:sz w:val="36"/>
        </w:rPr>
        <w:t xml:space="preserve">，抗压标准养护 </w:t>
      </w:r>
      <w:r>
        <w:rPr>
          <w:sz w:val="36"/>
        </w:rPr>
        <w:t>200</w:t>
      </w:r>
      <w:r>
        <w:rPr>
          <w:spacing w:val="-31"/>
          <w:sz w:val="36"/>
        </w:rPr>
        <w:t xml:space="preserve"> 立方米做 </w:t>
      </w:r>
      <w:r>
        <w:rPr>
          <w:sz w:val="36"/>
        </w:rPr>
        <w:t>1</w:t>
      </w:r>
      <w:r>
        <w:rPr>
          <w:spacing w:val="-16"/>
          <w:sz w:val="36"/>
        </w:rPr>
        <w:t xml:space="preserve"> 组抗压试块</w:t>
      </w:r>
      <w:r>
        <w:rPr>
          <w:sz w:val="36"/>
        </w:rPr>
        <w:t>（</w:t>
      </w:r>
      <w:r>
        <w:rPr>
          <w:spacing w:val="-9"/>
          <w:sz w:val="36"/>
        </w:rPr>
        <w:t xml:space="preserve">共做标准养护抗压试块 </w:t>
      </w:r>
      <w:r>
        <w:rPr>
          <w:sz w:val="36"/>
        </w:rPr>
        <w:t>8</w:t>
      </w:r>
      <w:r>
        <w:rPr>
          <w:spacing w:val="-45"/>
          <w:sz w:val="36"/>
        </w:rPr>
        <w:t xml:space="preserve"> 组</w:t>
      </w:r>
      <w:r>
        <w:rPr>
          <w:spacing w:val="-180"/>
          <w:sz w:val="36"/>
        </w:rPr>
        <w:t>）</w:t>
      </w:r>
      <w:r>
        <w:rPr>
          <w:sz w:val="36"/>
        </w:rPr>
        <w:t>，同条件</w:t>
      </w:r>
      <w:r>
        <w:rPr>
          <w:spacing w:val="-13"/>
          <w:sz w:val="36"/>
        </w:rPr>
        <w:t xml:space="preserve">养护抗压试块 </w:t>
      </w:r>
      <w:r>
        <w:rPr>
          <w:sz w:val="36"/>
        </w:rPr>
        <w:t>400</w:t>
      </w:r>
      <w:r>
        <w:rPr>
          <w:spacing w:val="-31"/>
          <w:sz w:val="36"/>
        </w:rPr>
        <w:t xml:space="preserve"> 立方米做 </w:t>
      </w:r>
      <w:r>
        <w:rPr>
          <w:sz w:val="36"/>
        </w:rPr>
        <w:t>1</w:t>
      </w:r>
      <w:r>
        <w:rPr>
          <w:spacing w:val="-27"/>
          <w:sz w:val="36"/>
        </w:rPr>
        <w:t xml:space="preserve"> 组抗压试块</w:t>
      </w:r>
      <w:r>
        <w:rPr>
          <w:sz w:val="36"/>
        </w:rPr>
        <w:t>（</w:t>
      </w:r>
      <w:r>
        <w:rPr>
          <w:spacing w:val="-8"/>
          <w:sz w:val="36"/>
        </w:rPr>
        <w:t xml:space="preserve">共做同条件养护抗压试块 </w:t>
      </w:r>
      <w:r>
        <w:rPr>
          <w:sz w:val="36"/>
        </w:rPr>
        <w:t>4</w:t>
      </w:r>
      <w:r>
        <w:rPr>
          <w:spacing w:val="-45"/>
          <w:sz w:val="36"/>
        </w:rPr>
        <w:t xml:space="preserve"> 组</w:t>
      </w:r>
      <w:r>
        <w:rPr>
          <w:spacing w:val="-121"/>
          <w:sz w:val="36"/>
        </w:rPr>
        <w:t>）</w:t>
      </w:r>
      <w:r>
        <w:rPr>
          <w:spacing w:val="-16"/>
          <w:sz w:val="36"/>
        </w:rPr>
        <w:t>，抗冻试块方共做4</w:t>
      </w:r>
      <w:r>
        <w:rPr>
          <w:spacing w:val="-30"/>
          <w:sz w:val="36"/>
        </w:rPr>
        <w:t xml:space="preserve"> 组。</w:t>
      </w:r>
    </w:p>
    <w:p>
      <w:pPr>
        <w:pStyle w:val="ListParagraph"/>
        <w:numPr>
          <w:ilvl w:val="0"/>
          <w:numId w:val="12"/>
        </w:numPr>
        <w:tabs>
          <w:tab w:val="left" w:pos="1746"/>
        </w:tabs>
        <w:spacing w:before="4" w:after="0" w:line="364" w:lineRule="auto"/>
        <w:ind w:left="124" w:right="334" w:firstLine="720"/>
        <w:jc w:val="left"/>
        <w:rPr>
          <w:sz w:val="36"/>
        </w:rPr>
      </w:pPr>
      <w:r>
        <w:rPr>
          <w:spacing w:val="-1"/>
          <w:sz w:val="36"/>
        </w:rPr>
        <w:t>炎热天气浇筑混凝土时，宜采用遮盖、洒水、拌冰屑等降低混凝土原材料温度的措</w:t>
      </w:r>
      <w:r>
        <w:rPr>
          <w:spacing w:val="4"/>
          <w:sz w:val="36"/>
        </w:rPr>
        <w:t>施，混凝土入模温度宜控制在</w:t>
      </w:r>
      <w:r>
        <w:rPr>
          <w:sz w:val="36"/>
        </w:rPr>
        <w:t>30</w:t>
      </w:r>
      <w:r>
        <w:rPr>
          <w:spacing w:val="-10"/>
          <w:sz w:val="36"/>
        </w:rPr>
        <w:t xml:space="preserve"> 度以下、混凝土浇筑后、应及时进行保湿保温养护，条件许</w:t>
      </w:r>
    </w:p>
    <w:p>
      <w:pPr>
        <w:spacing w:after="0" w:line="364" w:lineRule="auto"/>
        <w:jc w:val="left"/>
        <w:rPr>
          <w:sz w:val="36"/>
        </w:rPr>
        <w:sectPr>
          <w:headerReference w:type="default" r:id="rId31"/>
          <w:footerReference w:type="default" r:id="rId32"/>
          <w:pgSz w:w="17860" w:h="25260"/>
          <w:pgMar w:top="1780" w:right="820" w:bottom="2040" w:left="2000" w:header="1024" w:footer="1823"/>
          <w:pgNumType w:start="12"/>
          <w:cols w:space="708"/>
        </w:sectPr>
      </w:pPr>
    </w:p>
    <w:p>
      <w:pPr>
        <w:pStyle w:val="BodyText"/>
        <w:spacing w:before="138"/>
        <w:ind w:left="124"/>
      </w:pPr>
      <w:r>
        <w:t>可时，应避开高温时段浇筑混凝土。</w:t>
      </w:r>
    </w:p>
    <w:p>
      <w:pPr>
        <w:pStyle w:val="ListParagraph"/>
        <w:numPr>
          <w:ilvl w:val="0"/>
          <w:numId w:val="20"/>
        </w:numPr>
        <w:tabs>
          <w:tab w:val="left" w:pos="1746"/>
        </w:tabs>
        <w:spacing w:before="242" w:after="0" w:line="364" w:lineRule="auto"/>
        <w:ind w:left="124" w:right="436" w:firstLine="720"/>
        <w:jc w:val="left"/>
        <w:rPr>
          <w:sz w:val="36"/>
        </w:rPr>
      </w:pPr>
      <w:r>
        <w:rPr>
          <w:spacing w:val="-8"/>
          <w:sz w:val="36"/>
        </w:rPr>
        <w:t xml:space="preserve">保湿养护的持续时间不得少于 </w:t>
      </w:r>
      <w:r>
        <w:rPr>
          <w:sz w:val="36"/>
        </w:rPr>
        <w:t>14d，</w:t>
      </w:r>
      <w:r>
        <w:rPr>
          <w:spacing w:val="-1"/>
          <w:sz w:val="36"/>
        </w:rPr>
        <w:t>应经常检查塑料薄膜或养护覆盖材料的完整情</w:t>
      </w:r>
      <w:r>
        <w:rPr>
          <w:sz w:val="36"/>
        </w:rPr>
        <w:t>况，保持混凝土表面湿润。</w:t>
      </w:r>
    </w:p>
    <w:p>
      <w:pPr>
        <w:pStyle w:val="ListParagraph"/>
        <w:numPr>
          <w:ilvl w:val="0"/>
          <w:numId w:val="20"/>
        </w:numPr>
        <w:tabs>
          <w:tab w:val="left" w:pos="1746"/>
        </w:tabs>
        <w:spacing w:before="1" w:after="0" w:line="240" w:lineRule="auto"/>
        <w:ind w:left="1745" w:right="0" w:hanging="902"/>
        <w:jc w:val="left"/>
        <w:rPr>
          <w:sz w:val="36"/>
        </w:rPr>
      </w:pPr>
      <w:r>
        <w:rPr>
          <w:spacing w:val="-4"/>
          <w:sz w:val="36"/>
        </w:rPr>
        <w:t xml:space="preserve">砼浇筑前搅拌运输车应进行快速搅拌，搅拌时间应不小于 </w:t>
      </w:r>
      <w:r>
        <w:rPr>
          <w:sz w:val="36"/>
        </w:rPr>
        <w:t>120S。</w:t>
      </w:r>
    </w:p>
    <w:p>
      <w:pPr>
        <w:pStyle w:val="ListParagraph"/>
        <w:numPr>
          <w:ilvl w:val="0"/>
          <w:numId w:val="20"/>
        </w:numPr>
        <w:tabs>
          <w:tab w:val="left" w:pos="1746"/>
        </w:tabs>
        <w:spacing w:before="241" w:after="0" w:line="364" w:lineRule="auto"/>
        <w:ind w:left="124" w:right="334" w:firstLine="720"/>
        <w:jc w:val="left"/>
        <w:rPr>
          <w:sz w:val="36"/>
        </w:rPr>
      </w:pPr>
      <w:r>
        <w:rPr>
          <w:spacing w:val="-1"/>
          <w:sz w:val="36"/>
        </w:rPr>
        <w:t>运输过程中严禁向拌合物中加水，运输过程中塌落度损失或离析严重，经补充外加</w:t>
      </w:r>
      <w:r>
        <w:rPr>
          <w:sz w:val="36"/>
        </w:rPr>
        <w:t>剂或快速搅拌已无法恢复混凝土拌合物的工艺性能时，不得浇筑入模。</w:t>
      </w:r>
    </w:p>
    <w:p>
      <w:pPr>
        <w:pStyle w:val="ListParagraph"/>
        <w:numPr>
          <w:ilvl w:val="0"/>
          <w:numId w:val="20"/>
        </w:numPr>
        <w:tabs>
          <w:tab w:val="left" w:pos="1926"/>
        </w:tabs>
        <w:spacing w:before="2" w:after="0" w:line="240" w:lineRule="auto"/>
        <w:ind w:left="1925" w:right="0" w:hanging="1082"/>
        <w:jc w:val="left"/>
        <w:rPr>
          <w:sz w:val="36"/>
        </w:rPr>
      </w:pPr>
      <w:r>
        <w:rPr>
          <w:sz w:val="36"/>
        </w:rPr>
        <w:t>混凝土罐车停止供灰时，要慢速运转保证混凝土搅拌均匀。</w:t>
      </w:r>
    </w:p>
    <w:p>
      <w:pPr>
        <w:pStyle w:val="ListParagraph"/>
        <w:numPr>
          <w:ilvl w:val="0"/>
          <w:numId w:val="20"/>
        </w:numPr>
        <w:tabs>
          <w:tab w:val="left" w:pos="1926"/>
        </w:tabs>
        <w:spacing w:before="241" w:after="0" w:line="240" w:lineRule="auto"/>
        <w:ind w:left="1925" w:right="0" w:hanging="1082"/>
        <w:jc w:val="left"/>
        <w:rPr>
          <w:sz w:val="36"/>
        </w:rPr>
      </w:pPr>
      <w:r>
        <w:rPr>
          <w:spacing w:val="-3"/>
          <w:sz w:val="36"/>
        </w:rPr>
        <w:t>混凝土现场浇筑时对每一车混凝土进行塌落度抽检实验室，并做好实验表格记录。</w:t>
      </w:r>
    </w:p>
    <w:p>
      <w:pPr>
        <w:spacing w:after="0" w:line="240" w:lineRule="auto"/>
        <w:jc w:val="left"/>
        <w:rPr>
          <w:sz w:val="36"/>
        </w:rPr>
        <w:sectPr>
          <w:headerReference w:type="default" r:id="rId33"/>
          <w:footerReference w:type="default" r:id="rId34"/>
          <w:pgSz w:w="17860" w:h="25260"/>
          <w:pgMar w:top="1780" w:right="820" w:bottom="2040" w:left="2000" w:header="1024" w:footer="1823"/>
          <w:pgNumType w:start="13"/>
          <w:cols w:space="708"/>
        </w:sectPr>
      </w:pPr>
    </w:p>
    <w:p>
      <w:pPr>
        <w:pStyle w:val="BodyText"/>
        <w:spacing w:before="9"/>
        <w:rPr>
          <w:sz w:val="22"/>
        </w:rPr>
      </w:pPr>
    </w:p>
    <w:p>
      <w:pPr>
        <w:pStyle w:val="BodyText"/>
        <w:ind w:left="5328"/>
        <w:rPr>
          <w:sz w:val="20"/>
        </w:rPr>
      </w:pPr>
      <w:r>
        <w:rPr>
          <w:sz w:val="20"/>
        </w:rPr>
        <w:drawing>
          <wp:inline distT="0" distB="0" distL="0" distR="0">
            <wp:extent cx="2898615" cy="598074"/>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xmlns:r="http://schemas.openxmlformats.org/officeDocument/2006/relationships" r:embed="rId35" cstate="print"/>
                    <a:stretch>
                      <a:fillRect/>
                    </a:stretch>
                  </pic:blipFill>
                  <pic:spPr>
                    <a:xfrm>
                      <a:off x="0" y="0"/>
                      <a:ext cx="2898615" cy="598074"/>
                    </a:xfrm>
                    <a:prstGeom prst="rect">
                      <a:avLst/>
                    </a:prstGeom>
                  </pic:spPr>
                </pic:pic>
              </a:graphicData>
            </a:graphic>
          </wp:inline>
        </w:drawing>
      </w:r>
    </w:p>
    <w:p>
      <w:pPr>
        <w:spacing w:after="0"/>
        <w:rPr>
          <w:sz w:val="20"/>
        </w:rPr>
      </w:pPr>
      <w:r>
        <w:rPr>
          <w:sz w:val="20"/>
        </w:rPr>
        <w:br/>
      </w:r>
      <w:r>
        <w:rPr>
          <w:sz w:val="2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6" w:history="1">
        <w:r>
          <w:rPr>
            <w:rFonts w:ascii="SimSun" w:eastAsia="SimSun" w:hAnsi="SimSun" w:cs="SimSun"/>
            <w:b/>
            <w:bCs/>
            <w:color w:val="0000EE"/>
            <w:sz w:val="30"/>
            <w:szCs w:val="30"/>
            <w:u w:val="single" w:color="0000EE"/>
          </w:rPr>
          <w:t>https://d.book118.com/327062013043006033</w:t>
        </w:r>
      </w:hyperlink>
    </w:p>
    <w:p>
      <w:pPr>
        <w:spacing w:after="0"/>
        <w:rPr>
          <w:sz w:val="20"/>
        </w:rPr>
      </w:pPr>
    </w:p>
    <w:sectPr>
      <w:headerReference w:type="default" r:id="rId37"/>
      <w:footerReference w:type="default" r:id="rId38"/>
      <w:pgSz w:w="17860" w:h="25260"/>
      <w:pgMar w:top="1780" w:right="820" w:bottom="2040" w:left="2000" w:header="1024" w:footer="1823"/>
      <w:pgNumType w:start="1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Arial Narrow">
    <w:altName w:val="Arial Narrow"/>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4pt;height:15.5pt;margin-top:1159.34pt;margin-left:134.04pt;mso-position-horizontal-relative:page;mso-position-vertical-relative:page;position:absolute;z-index:-25165824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4pt;height:16.35pt;margin-top:1160.71pt;margin-left:105.24pt;mso-position-horizontal-relative:page;mso-position-vertical-relative:page;position:absolute;z-index:-251649024"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4pt;height:16.35pt;margin-top:1160.71pt;margin-left:105.24pt;mso-position-horizontal-relative:page;mso-position-vertical-relative:page;position:absolute;z-index:-251648000"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4pt;height:16.35pt;margin-top:1160.71pt;margin-left:105.24pt;mso-position-horizontal-relative:page;mso-position-vertical-relative:page;position:absolute;z-index:-251646976"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4pt;height:16.35pt;margin-top:1160.71pt;margin-left:105.24pt;mso-position-horizontal-relative:page;mso-position-vertical-relative:page;position:absolute;z-index:-251645952"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4pt;height:16.35pt;margin-top:1160.71pt;margin-left:105.24pt;mso-position-horizontal-relative:page;mso-position-vertical-relative:page;position:absolute;z-index:-251644928"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4pt;height:15.5pt;margin-top:1159.34pt;margin-left:134.04pt;mso-position-horizontal-relative:page;mso-position-vertical-relative:page;position:absolute;z-index:-25165721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4pt;height:15.5pt;margin-top:1159.34pt;margin-left:134.04pt;mso-position-horizontal-relative:page;mso-position-vertical-relative:page;position:absolute;z-index:-25165619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4pt;height:16.35pt;margin-top:1160.71pt;margin-left:105.24pt;mso-position-horizontal-relative:page;mso-position-vertical-relative:page;position:absolute;z-index:-251655168"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4pt;height:16.35pt;margin-top:1160.71pt;margin-left:105.24pt;mso-position-horizontal-relative:page;mso-position-vertical-relative:page;position:absolute;z-index:-251654144"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4pt;height:16.35pt;margin-top:1160.71pt;margin-left:105.24pt;mso-position-horizontal-relative:page;mso-position-vertical-relative:page;position:absolute;z-index:-251653120"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4pt;height:16.35pt;margin-top:1160.71pt;margin-left:105.24pt;mso-position-horizontal-relative:page;mso-position-vertical-relative:page;position:absolute;z-index:-251652096"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4pt;height:16.35pt;margin-top:1160.71pt;margin-left:105.24pt;mso-position-horizontal-relative:page;mso-position-vertical-relative:page;position:absolute;z-index:-251651072"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4pt;height:16.35pt;margin-top:1160.71pt;margin-left:105.24pt;mso-position-horizontal-relative:page;mso-position-vertical-relative:page;position:absolute;z-index:-251650048" filled="f" stroked="f">
          <v:textbox inset="0,0,0,0">
            <w:txbxContent>
              <w:p>
                <w:pPr>
                  <w:spacing w:before="7"/>
                  <w:ind w:left="20" w:right="0" w:firstLine="0"/>
                  <w:jc w:val="left"/>
                  <w:rPr>
                    <w:rFonts w:ascii="Times New Roman"/>
                    <w:sz w:val="27"/>
                  </w:rPr>
                </w:pPr>
                <w:r>
                  <w:rPr>
                    <w:rFonts w:ascii="Times New Roman"/>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5.4pt;height:15.5pt;margin-top:50.21pt;margin-left:443.86pt;mso-position-horizontal-relative:page;mso-position-vertical-relative:page;position:absolute;z-index:-25165721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5944274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27455"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5.4pt;height:15.5pt;margin-top:50.21pt;margin-left:464.92pt;mso-position-horizontal-relative:page;mso-position-vertical-relative:page;position:absolute;z-index:-25163878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20281602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60235"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4pt;height:15.5pt;margin-top:50.21pt;margin-left:464.92pt;mso-position-horizontal-relative:page;mso-position-vertical-relative:page;position:absolute;z-index:-25163673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15826363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36317"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5.4pt;height:15.5pt;margin-top:50.21pt;margin-left:464.92pt;mso-position-horizontal-relative:page;mso-position-vertical-relative:page;position:absolute;z-index:-25163468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4530670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67051"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5.4pt;height:15.5pt;margin-top:50.21pt;margin-left:464.92pt;mso-position-horizontal-relative:page;mso-position-vertical-relative:page;position:absolute;z-index:-25163264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1264786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86117"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5.4pt;height:15.5pt;margin-top:50.21pt;margin-left:464.92pt;mso-position-horizontal-relative:page;mso-position-vertical-relative:page;position:absolute;z-index:-25163059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20429566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5662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5.4pt;height:15.5pt;margin-top:50.21pt;margin-left:443.86pt;mso-position-horizontal-relative:page;mso-position-vertical-relative:page;position:absolute;z-index:-25165516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3350483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4830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5.4pt;height:15.5pt;margin-top:50.21pt;margin-left:443.86pt;mso-position-horizontal-relative:page;mso-position-vertical-relative:page;position:absolute;z-index:-25165312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5.4pt;height:15.5pt;margin-top:50.21pt;margin-left:464.92pt;mso-position-horizontal-relative:page;mso-position-vertical-relative:page;position:absolute;z-index:-25165107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17863735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73501"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5.4pt;height:15.5pt;margin-top:50.21pt;margin-left:464.92pt;mso-position-horizontal-relative:page;mso-position-vertical-relative:page;position:absolute;z-index:-25164902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14460726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72624"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5.4pt;height:15.5pt;margin-top:50.21pt;margin-left:464.92pt;mso-position-horizontal-relative:page;mso-position-vertical-relative:page;position:absolute;z-index:-25164697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897799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9935"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5.4pt;height:15.5pt;margin-top:50.21pt;margin-left:464.92pt;mso-position-horizontal-relative:page;mso-position-vertical-relative:page;position:absolute;z-index:-25164492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2201030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03009"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5.4pt;height:15.5pt;margin-top:50.21pt;margin-left:464.92pt;mso-position-horizontal-relative:page;mso-position-vertical-relative:page;position:absolute;z-index:-25164288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1320800</wp:posOffset>
          </wp:positionH>
          <wp:positionV relativeFrom="page">
            <wp:posOffset>825500</wp:posOffset>
          </wp:positionV>
          <wp:extent cx="9258300" cy="38100"/>
          <wp:effectExtent l="0" t="0" r="0" b="0"/>
          <wp:wrapNone/>
          <wp:docPr id="15580185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8518" name="image2.png"/>
                  <pic:cNvPicPr/>
                </pic:nvPicPr>
                <pic:blipFill>
                  <a:blip xmlns:r="http://schemas.openxmlformats.org/officeDocument/2006/relationships" r:embed="rId1" cstate="print"/>
                  <a:stretch>
                    <a:fillRect/>
                  </a:stretch>
                </pic:blipFill>
                <pic:spPr>
                  <a:xfrm>
                    <a:off x="0" y="0"/>
                    <a:ext cx="9258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5.4pt;height:15.5pt;margin-top:50.21pt;margin-left:464.92pt;mso-position-horizontal-relative:page;mso-position-vertical-relative:page;position:absolute;z-index:-25164083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6491"/>
    <w:multiLevelType w:val="hybridMultilevel"/>
    <w:tmpl w:val="00000000"/>
    <w:lvl w:ilvl="0">
      <w:start w:val="9"/>
      <w:numFmt w:val="decimal"/>
      <w:lvlText w:val="%1"/>
      <w:lvlJc w:val="left"/>
      <w:pPr>
        <w:ind w:left="1295" w:hanging="541"/>
        <w:jc w:val="left"/>
      </w:pPr>
      <w:rPr>
        <w:rFonts w:hint="default"/>
      </w:rPr>
    </w:lvl>
    <w:lvl w:ilvl="1">
      <w:start w:val="1"/>
      <w:numFmt w:val="decimal"/>
      <w:lvlText w:val="%1.%2"/>
      <w:lvlJc w:val="left"/>
      <w:pPr>
        <w:ind w:left="1295" w:hanging="541"/>
        <w:jc w:val="left"/>
      </w:pPr>
      <w:rPr>
        <w:rFonts w:ascii="宋体" w:eastAsia="宋体" w:hAnsi="宋体" w:cs="宋体" w:hint="default"/>
        <w:spacing w:val="-1"/>
        <w:w w:val="100"/>
        <w:sz w:val="34"/>
        <w:szCs w:val="34"/>
      </w:rPr>
    </w:lvl>
    <w:lvl w:ilvl="2">
      <w:start w:val="0"/>
      <w:numFmt w:val="bullet"/>
      <w:lvlText w:val="•"/>
      <w:lvlJc w:val="left"/>
      <w:pPr>
        <w:ind w:left="4047" w:hanging="541"/>
      </w:pPr>
      <w:rPr>
        <w:rFonts w:hint="default"/>
      </w:rPr>
    </w:lvl>
    <w:lvl w:ilvl="3">
      <w:start w:val="0"/>
      <w:numFmt w:val="bullet"/>
      <w:lvlText w:val="•"/>
      <w:lvlJc w:val="left"/>
      <w:pPr>
        <w:ind w:left="5421" w:hanging="541"/>
      </w:pPr>
      <w:rPr>
        <w:rFonts w:hint="default"/>
      </w:rPr>
    </w:lvl>
    <w:lvl w:ilvl="4">
      <w:start w:val="0"/>
      <w:numFmt w:val="bullet"/>
      <w:lvlText w:val="•"/>
      <w:lvlJc w:val="left"/>
      <w:pPr>
        <w:ind w:left="6795" w:hanging="541"/>
      </w:pPr>
      <w:rPr>
        <w:rFonts w:hint="default"/>
      </w:rPr>
    </w:lvl>
    <w:lvl w:ilvl="5">
      <w:start w:val="0"/>
      <w:numFmt w:val="bullet"/>
      <w:lvlText w:val="•"/>
      <w:lvlJc w:val="left"/>
      <w:pPr>
        <w:ind w:left="8169" w:hanging="541"/>
      </w:pPr>
      <w:rPr>
        <w:rFonts w:hint="default"/>
      </w:rPr>
    </w:lvl>
    <w:lvl w:ilvl="6">
      <w:start w:val="0"/>
      <w:numFmt w:val="bullet"/>
      <w:lvlText w:val="•"/>
      <w:lvlJc w:val="left"/>
      <w:pPr>
        <w:ind w:left="9543" w:hanging="541"/>
      </w:pPr>
      <w:rPr>
        <w:rFonts w:hint="default"/>
      </w:rPr>
    </w:lvl>
    <w:lvl w:ilvl="7">
      <w:start w:val="0"/>
      <w:numFmt w:val="bullet"/>
      <w:lvlText w:val="•"/>
      <w:lvlJc w:val="left"/>
      <w:pPr>
        <w:ind w:left="10917" w:hanging="541"/>
      </w:pPr>
      <w:rPr>
        <w:rFonts w:hint="default"/>
      </w:rPr>
    </w:lvl>
    <w:lvl w:ilvl="8">
      <w:start w:val="0"/>
      <w:numFmt w:val="bullet"/>
      <w:lvlText w:val="•"/>
      <w:lvlJc w:val="left"/>
      <w:pPr>
        <w:ind w:left="12291" w:hanging="541"/>
      </w:pPr>
      <w:rPr>
        <w:rFonts w:hint="default"/>
      </w:rPr>
    </w:lvl>
  </w:abstractNum>
  <w:abstractNum w:abstractNumId="1">
    <w:nsid w:val="0F8BE7ED"/>
    <w:multiLevelType w:val="hybridMultilevel"/>
    <w:tmpl w:val="00000000"/>
    <w:lvl w:ilvl="0">
      <w:start w:val="1"/>
      <w:numFmt w:val="decimal"/>
      <w:lvlText w:val="（%1）"/>
      <w:lvlJc w:val="left"/>
      <w:pPr>
        <w:ind w:left="124" w:hanging="901"/>
        <w:jc w:val="left"/>
      </w:pPr>
      <w:rPr>
        <w:rFonts w:ascii="宋体" w:eastAsia="宋体" w:hAnsi="宋体" w:cs="宋体" w:hint="default"/>
        <w:spacing w:val="-1"/>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2">
    <w:nsid w:val="1569CEC5"/>
    <w:multiLevelType w:val="hybridMultilevel"/>
    <w:tmpl w:val="00000000"/>
    <w:lvl w:ilvl="0">
      <w:start w:val="1"/>
      <w:numFmt w:val="decimal"/>
      <w:lvlText w:val="%1)"/>
      <w:lvlJc w:val="left"/>
      <w:pPr>
        <w:ind w:left="2464" w:hanging="900"/>
        <w:jc w:val="left"/>
      </w:pPr>
      <w:rPr>
        <w:rFonts w:ascii="宋体" w:eastAsia="宋体" w:hAnsi="宋体" w:cs="宋体" w:hint="default"/>
        <w:w w:val="100"/>
        <w:sz w:val="36"/>
        <w:szCs w:val="36"/>
      </w:rPr>
    </w:lvl>
    <w:lvl w:ilvl="1">
      <w:start w:val="0"/>
      <w:numFmt w:val="bullet"/>
      <w:lvlText w:val="•"/>
      <w:lvlJc w:val="left"/>
      <w:pPr>
        <w:ind w:left="3717" w:hanging="900"/>
      </w:pPr>
      <w:rPr>
        <w:rFonts w:hint="default"/>
      </w:rPr>
    </w:lvl>
    <w:lvl w:ilvl="2">
      <w:start w:val="0"/>
      <w:numFmt w:val="bullet"/>
      <w:lvlText w:val="•"/>
      <w:lvlJc w:val="left"/>
      <w:pPr>
        <w:ind w:left="4975" w:hanging="900"/>
      </w:pPr>
      <w:rPr>
        <w:rFonts w:hint="default"/>
      </w:rPr>
    </w:lvl>
    <w:lvl w:ilvl="3">
      <w:start w:val="0"/>
      <w:numFmt w:val="bullet"/>
      <w:lvlText w:val="•"/>
      <w:lvlJc w:val="left"/>
      <w:pPr>
        <w:ind w:left="6233" w:hanging="900"/>
      </w:pPr>
      <w:rPr>
        <w:rFonts w:hint="default"/>
      </w:rPr>
    </w:lvl>
    <w:lvl w:ilvl="4">
      <w:start w:val="0"/>
      <w:numFmt w:val="bullet"/>
      <w:lvlText w:val="•"/>
      <w:lvlJc w:val="left"/>
      <w:pPr>
        <w:ind w:left="7491" w:hanging="900"/>
      </w:pPr>
      <w:rPr>
        <w:rFonts w:hint="default"/>
      </w:rPr>
    </w:lvl>
    <w:lvl w:ilvl="5">
      <w:start w:val="0"/>
      <w:numFmt w:val="bullet"/>
      <w:lvlText w:val="•"/>
      <w:lvlJc w:val="left"/>
      <w:pPr>
        <w:ind w:left="8749" w:hanging="900"/>
      </w:pPr>
      <w:rPr>
        <w:rFonts w:hint="default"/>
      </w:rPr>
    </w:lvl>
    <w:lvl w:ilvl="6">
      <w:start w:val="0"/>
      <w:numFmt w:val="bullet"/>
      <w:lvlText w:val="•"/>
      <w:lvlJc w:val="left"/>
      <w:pPr>
        <w:ind w:left="10007" w:hanging="900"/>
      </w:pPr>
      <w:rPr>
        <w:rFonts w:hint="default"/>
      </w:rPr>
    </w:lvl>
    <w:lvl w:ilvl="7">
      <w:start w:val="0"/>
      <w:numFmt w:val="bullet"/>
      <w:lvlText w:val="•"/>
      <w:lvlJc w:val="left"/>
      <w:pPr>
        <w:ind w:left="11265" w:hanging="900"/>
      </w:pPr>
      <w:rPr>
        <w:rFonts w:hint="default"/>
      </w:rPr>
    </w:lvl>
    <w:lvl w:ilvl="8">
      <w:start w:val="0"/>
      <w:numFmt w:val="bullet"/>
      <w:lvlText w:val="•"/>
      <w:lvlJc w:val="left"/>
      <w:pPr>
        <w:ind w:left="12523" w:hanging="900"/>
      </w:pPr>
      <w:rPr>
        <w:rFonts w:hint="default"/>
      </w:rPr>
    </w:lvl>
  </w:abstractNum>
  <w:abstractNum w:abstractNumId="3">
    <w:nsid w:val="223A6E89"/>
    <w:multiLevelType w:val="hybridMultilevel"/>
    <w:tmpl w:val="00000000"/>
    <w:lvl w:ilvl="0">
      <w:start w:val="9"/>
      <w:numFmt w:val="decimal"/>
      <w:lvlText w:val="%1"/>
      <w:lvlJc w:val="left"/>
      <w:pPr>
        <w:ind w:left="672" w:hanging="548"/>
        <w:jc w:val="left"/>
      </w:pPr>
      <w:rPr>
        <w:rFonts w:hint="default"/>
      </w:rPr>
    </w:lvl>
    <w:lvl w:ilvl="1">
      <w:start w:val="1"/>
      <w:numFmt w:val="decimal"/>
      <w:lvlText w:val="%1.%2"/>
      <w:lvlJc w:val="left"/>
      <w:pPr>
        <w:ind w:left="672" w:hanging="548"/>
        <w:jc w:val="left"/>
      </w:pPr>
      <w:rPr>
        <w:rFonts w:ascii="宋体" w:eastAsia="宋体" w:hAnsi="宋体" w:cs="宋体" w:hint="default"/>
        <w:b/>
        <w:bCs/>
        <w:w w:val="99"/>
        <w:sz w:val="34"/>
        <w:szCs w:val="34"/>
      </w:rPr>
    </w:lvl>
    <w:lvl w:ilvl="2">
      <w:start w:val="1"/>
      <w:numFmt w:val="decimal"/>
      <w:lvlText w:val="%3)"/>
      <w:lvlJc w:val="left"/>
      <w:pPr>
        <w:ind w:left="1744" w:hanging="900"/>
        <w:jc w:val="left"/>
      </w:pPr>
      <w:rPr>
        <w:rFonts w:ascii="宋体" w:eastAsia="宋体" w:hAnsi="宋体" w:cs="宋体" w:hint="default"/>
        <w:w w:val="100"/>
        <w:sz w:val="36"/>
        <w:szCs w:val="36"/>
      </w:rPr>
    </w:lvl>
    <w:lvl w:ilvl="3">
      <w:start w:val="0"/>
      <w:numFmt w:val="bullet"/>
      <w:lvlText w:val="•"/>
      <w:lvlJc w:val="left"/>
      <w:pPr>
        <w:ind w:left="3560" w:hanging="900"/>
      </w:pPr>
      <w:rPr>
        <w:rFonts w:hint="default"/>
      </w:rPr>
    </w:lvl>
    <w:lvl w:ilvl="4">
      <w:start w:val="0"/>
      <w:numFmt w:val="bullet"/>
      <w:lvlText w:val="•"/>
      <w:lvlJc w:val="left"/>
      <w:pPr>
        <w:ind w:left="4220" w:hanging="900"/>
      </w:pPr>
      <w:rPr>
        <w:rFonts w:hint="default"/>
      </w:rPr>
    </w:lvl>
    <w:lvl w:ilvl="5">
      <w:start w:val="0"/>
      <w:numFmt w:val="bullet"/>
      <w:lvlText w:val="•"/>
      <w:lvlJc w:val="left"/>
      <w:pPr>
        <w:ind w:left="6023" w:hanging="900"/>
      </w:pPr>
      <w:rPr>
        <w:rFonts w:hint="default"/>
      </w:rPr>
    </w:lvl>
    <w:lvl w:ilvl="6">
      <w:start w:val="0"/>
      <w:numFmt w:val="bullet"/>
      <w:lvlText w:val="•"/>
      <w:lvlJc w:val="left"/>
      <w:pPr>
        <w:ind w:left="7826" w:hanging="900"/>
      </w:pPr>
      <w:rPr>
        <w:rFonts w:hint="default"/>
      </w:rPr>
    </w:lvl>
    <w:lvl w:ilvl="7">
      <w:start w:val="0"/>
      <w:numFmt w:val="bullet"/>
      <w:lvlText w:val="•"/>
      <w:lvlJc w:val="left"/>
      <w:pPr>
        <w:ind w:left="9629" w:hanging="900"/>
      </w:pPr>
      <w:rPr>
        <w:rFonts w:hint="default"/>
      </w:rPr>
    </w:lvl>
    <w:lvl w:ilvl="8">
      <w:start w:val="0"/>
      <w:numFmt w:val="bullet"/>
      <w:lvlText w:val="•"/>
      <w:lvlJc w:val="left"/>
      <w:pPr>
        <w:ind w:left="11433" w:hanging="900"/>
      </w:pPr>
      <w:rPr>
        <w:rFonts w:hint="default"/>
      </w:rPr>
    </w:lvl>
  </w:abstractNum>
  <w:abstractNum w:abstractNumId="4">
    <w:nsid w:val="2526514D"/>
    <w:multiLevelType w:val="hybridMultilevel"/>
    <w:tmpl w:val="00000000"/>
    <w:lvl w:ilvl="0">
      <w:start w:val="1"/>
      <w:numFmt w:val="decimal"/>
      <w:lvlText w:val="（%1）"/>
      <w:lvlJc w:val="left"/>
      <w:pPr>
        <w:ind w:left="124" w:hanging="901"/>
        <w:jc w:val="left"/>
      </w:pPr>
      <w:rPr>
        <w:rFonts w:ascii="宋体" w:eastAsia="宋体" w:hAnsi="宋体" w:cs="宋体" w:hint="default"/>
        <w:spacing w:val="-1"/>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5">
    <w:nsid w:val="2B31839E"/>
    <w:multiLevelType w:val="hybridMultilevel"/>
    <w:tmpl w:val="00000000"/>
    <w:lvl w:ilvl="0">
      <w:start w:val="3"/>
      <w:numFmt w:val="decimal"/>
      <w:lvlText w:val="%1"/>
      <w:lvlJc w:val="left"/>
      <w:pPr>
        <w:ind w:left="672" w:hanging="548"/>
        <w:jc w:val="left"/>
      </w:pPr>
      <w:rPr>
        <w:rFonts w:hint="default"/>
      </w:rPr>
    </w:lvl>
    <w:lvl w:ilvl="1">
      <w:start w:val="3"/>
      <w:numFmt w:val="decimal"/>
      <w:lvlText w:val="%1.%2"/>
      <w:lvlJc w:val="left"/>
      <w:pPr>
        <w:ind w:left="672" w:hanging="548"/>
        <w:jc w:val="left"/>
      </w:pPr>
      <w:rPr>
        <w:rFonts w:ascii="宋体" w:eastAsia="宋体" w:hAnsi="宋体" w:cs="宋体" w:hint="default"/>
        <w:b/>
        <w:bCs/>
        <w:w w:val="99"/>
        <w:sz w:val="34"/>
        <w:szCs w:val="34"/>
      </w:rPr>
    </w:lvl>
    <w:lvl w:ilvl="2">
      <w:start w:val="1"/>
      <w:numFmt w:val="decimal"/>
      <w:lvlText w:val="（%3）"/>
      <w:lvlJc w:val="left"/>
      <w:pPr>
        <w:ind w:left="1745" w:hanging="901"/>
        <w:jc w:val="left"/>
      </w:pPr>
      <w:rPr>
        <w:rFonts w:ascii="宋体" w:eastAsia="宋体" w:hAnsi="宋体" w:cs="宋体" w:hint="default"/>
        <w:spacing w:val="-1"/>
        <w:w w:val="100"/>
        <w:sz w:val="34"/>
        <w:szCs w:val="34"/>
      </w:rPr>
    </w:lvl>
    <w:lvl w:ilvl="3">
      <w:start w:val="0"/>
      <w:numFmt w:val="bullet"/>
      <w:lvlText w:val="•"/>
      <w:lvlJc w:val="left"/>
      <w:pPr>
        <w:ind w:left="4695" w:hanging="901"/>
      </w:pPr>
      <w:rPr>
        <w:rFonts w:hint="default"/>
      </w:rPr>
    </w:lvl>
    <w:lvl w:ilvl="4">
      <w:start w:val="0"/>
      <w:numFmt w:val="bullet"/>
      <w:lvlText w:val="•"/>
      <w:lvlJc w:val="left"/>
      <w:pPr>
        <w:ind w:left="6173" w:hanging="901"/>
      </w:pPr>
      <w:rPr>
        <w:rFonts w:hint="default"/>
      </w:rPr>
    </w:lvl>
    <w:lvl w:ilvl="5">
      <w:start w:val="0"/>
      <w:numFmt w:val="bullet"/>
      <w:lvlText w:val="•"/>
      <w:lvlJc w:val="left"/>
      <w:pPr>
        <w:ind w:left="7650" w:hanging="901"/>
      </w:pPr>
      <w:rPr>
        <w:rFonts w:hint="default"/>
      </w:rPr>
    </w:lvl>
    <w:lvl w:ilvl="6">
      <w:start w:val="0"/>
      <w:numFmt w:val="bullet"/>
      <w:lvlText w:val="•"/>
      <w:lvlJc w:val="left"/>
      <w:pPr>
        <w:ind w:left="9128" w:hanging="901"/>
      </w:pPr>
      <w:rPr>
        <w:rFonts w:hint="default"/>
      </w:rPr>
    </w:lvl>
    <w:lvl w:ilvl="7">
      <w:start w:val="0"/>
      <w:numFmt w:val="bullet"/>
      <w:lvlText w:val="•"/>
      <w:lvlJc w:val="left"/>
      <w:pPr>
        <w:ind w:left="10606" w:hanging="901"/>
      </w:pPr>
      <w:rPr>
        <w:rFonts w:hint="default"/>
      </w:rPr>
    </w:lvl>
    <w:lvl w:ilvl="8">
      <w:start w:val="0"/>
      <w:numFmt w:val="bullet"/>
      <w:lvlText w:val="•"/>
      <w:lvlJc w:val="left"/>
      <w:pPr>
        <w:ind w:left="12084" w:hanging="901"/>
      </w:pPr>
      <w:rPr>
        <w:rFonts w:hint="default"/>
      </w:rPr>
    </w:lvl>
  </w:abstractNum>
  <w:abstractNum w:abstractNumId="6">
    <w:nsid w:val="2D7E0797"/>
    <w:multiLevelType w:val="hybridMultilevel"/>
    <w:tmpl w:val="00000000"/>
    <w:lvl w:ilvl="0">
      <w:start w:val="1"/>
      <w:numFmt w:val="decimal"/>
      <w:lvlText w:val="%1)"/>
      <w:lvlJc w:val="left"/>
      <w:pPr>
        <w:ind w:left="1744" w:hanging="900"/>
        <w:jc w:val="left"/>
      </w:pPr>
      <w:rPr>
        <w:rFonts w:ascii="宋体" w:eastAsia="宋体" w:hAnsi="宋体" w:cs="宋体" w:hint="default"/>
        <w:w w:val="100"/>
        <w:sz w:val="36"/>
        <w:szCs w:val="36"/>
      </w:rPr>
    </w:lvl>
    <w:lvl w:ilvl="1">
      <w:start w:val="0"/>
      <w:numFmt w:val="bullet"/>
      <w:lvlText w:val="•"/>
      <w:lvlJc w:val="left"/>
      <w:pPr>
        <w:ind w:left="4220" w:hanging="900"/>
      </w:pPr>
      <w:rPr>
        <w:rFonts w:hint="default"/>
      </w:rPr>
    </w:lvl>
    <w:lvl w:ilvl="2">
      <w:start w:val="0"/>
      <w:numFmt w:val="bullet"/>
      <w:lvlText w:val="•"/>
      <w:lvlJc w:val="left"/>
      <w:pPr>
        <w:ind w:left="5422" w:hanging="900"/>
      </w:pPr>
      <w:rPr>
        <w:rFonts w:hint="default"/>
      </w:rPr>
    </w:lvl>
    <w:lvl w:ilvl="3">
      <w:start w:val="0"/>
      <w:numFmt w:val="bullet"/>
      <w:lvlText w:val="•"/>
      <w:lvlJc w:val="left"/>
      <w:pPr>
        <w:ind w:left="6624" w:hanging="900"/>
      </w:pPr>
      <w:rPr>
        <w:rFonts w:hint="default"/>
      </w:rPr>
    </w:lvl>
    <w:lvl w:ilvl="4">
      <w:start w:val="0"/>
      <w:numFmt w:val="bullet"/>
      <w:lvlText w:val="•"/>
      <w:lvlJc w:val="left"/>
      <w:pPr>
        <w:ind w:left="7826" w:hanging="900"/>
      </w:pPr>
      <w:rPr>
        <w:rFonts w:hint="default"/>
      </w:rPr>
    </w:lvl>
    <w:lvl w:ilvl="5">
      <w:start w:val="0"/>
      <w:numFmt w:val="bullet"/>
      <w:lvlText w:val="•"/>
      <w:lvlJc w:val="left"/>
      <w:pPr>
        <w:ind w:left="9028" w:hanging="900"/>
      </w:pPr>
      <w:rPr>
        <w:rFonts w:hint="default"/>
      </w:rPr>
    </w:lvl>
    <w:lvl w:ilvl="6">
      <w:start w:val="0"/>
      <w:numFmt w:val="bullet"/>
      <w:lvlText w:val="•"/>
      <w:lvlJc w:val="left"/>
      <w:pPr>
        <w:ind w:left="10230" w:hanging="900"/>
      </w:pPr>
      <w:rPr>
        <w:rFonts w:hint="default"/>
      </w:rPr>
    </w:lvl>
    <w:lvl w:ilvl="7">
      <w:start w:val="0"/>
      <w:numFmt w:val="bullet"/>
      <w:lvlText w:val="•"/>
      <w:lvlJc w:val="left"/>
      <w:pPr>
        <w:ind w:left="11433" w:hanging="900"/>
      </w:pPr>
      <w:rPr>
        <w:rFonts w:hint="default"/>
      </w:rPr>
    </w:lvl>
    <w:lvl w:ilvl="8">
      <w:start w:val="0"/>
      <w:numFmt w:val="bullet"/>
      <w:lvlText w:val="•"/>
      <w:lvlJc w:val="left"/>
      <w:pPr>
        <w:ind w:left="12635" w:hanging="900"/>
      </w:pPr>
      <w:rPr>
        <w:rFonts w:hint="default"/>
      </w:rPr>
    </w:lvl>
  </w:abstractNum>
  <w:abstractNum w:abstractNumId="7">
    <w:nsid w:val="30663B1F"/>
    <w:multiLevelType w:val="hybridMultilevel"/>
    <w:tmpl w:val="00000000"/>
    <w:lvl w:ilvl="0">
      <w:start w:val="1"/>
      <w:numFmt w:val="decimal"/>
      <w:lvlText w:val="%1)"/>
      <w:lvlJc w:val="left"/>
      <w:pPr>
        <w:ind w:left="1744" w:hanging="900"/>
        <w:jc w:val="left"/>
      </w:pPr>
      <w:rPr>
        <w:rFonts w:ascii="宋体" w:eastAsia="宋体" w:hAnsi="宋体" w:cs="宋体" w:hint="default"/>
        <w:w w:val="100"/>
        <w:sz w:val="36"/>
        <w:szCs w:val="36"/>
      </w:rPr>
    </w:lvl>
    <w:lvl w:ilvl="1">
      <w:start w:val="0"/>
      <w:numFmt w:val="bullet"/>
      <w:lvlText w:val="•"/>
      <w:lvlJc w:val="left"/>
      <w:pPr>
        <w:ind w:left="3069" w:hanging="900"/>
      </w:pPr>
      <w:rPr>
        <w:rFonts w:hint="default"/>
      </w:rPr>
    </w:lvl>
    <w:lvl w:ilvl="2">
      <w:start w:val="0"/>
      <w:numFmt w:val="bullet"/>
      <w:lvlText w:val="•"/>
      <w:lvlJc w:val="left"/>
      <w:pPr>
        <w:ind w:left="4399" w:hanging="900"/>
      </w:pPr>
      <w:rPr>
        <w:rFonts w:hint="default"/>
      </w:rPr>
    </w:lvl>
    <w:lvl w:ilvl="3">
      <w:start w:val="0"/>
      <w:numFmt w:val="bullet"/>
      <w:lvlText w:val="•"/>
      <w:lvlJc w:val="left"/>
      <w:pPr>
        <w:ind w:left="5729" w:hanging="900"/>
      </w:pPr>
      <w:rPr>
        <w:rFonts w:hint="default"/>
      </w:rPr>
    </w:lvl>
    <w:lvl w:ilvl="4">
      <w:start w:val="0"/>
      <w:numFmt w:val="bullet"/>
      <w:lvlText w:val="•"/>
      <w:lvlJc w:val="left"/>
      <w:pPr>
        <w:ind w:left="7059" w:hanging="900"/>
      </w:pPr>
      <w:rPr>
        <w:rFonts w:hint="default"/>
      </w:rPr>
    </w:lvl>
    <w:lvl w:ilvl="5">
      <w:start w:val="0"/>
      <w:numFmt w:val="bullet"/>
      <w:lvlText w:val="•"/>
      <w:lvlJc w:val="left"/>
      <w:pPr>
        <w:ind w:left="8389" w:hanging="900"/>
      </w:pPr>
      <w:rPr>
        <w:rFonts w:hint="default"/>
      </w:rPr>
    </w:lvl>
    <w:lvl w:ilvl="6">
      <w:start w:val="0"/>
      <w:numFmt w:val="bullet"/>
      <w:lvlText w:val="•"/>
      <w:lvlJc w:val="left"/>
      <w:pPr>
        <w:ind w:left="9719" w:hanging="900"/>
      </w:pPr>
      <w:rPr>
        <w:rFonts w:hint="default"/>
      </w:rPr>
    </w:lvl>
    <w:lvl w:ilvl="7">
      <w:start w:val="0"/>
      <w:numFmt w:val="bullet"/>
      <w:lvlText w:val="•"/>
      <w:lvlJc w:val="left"/>
      <w:pPr>
        <w:ind w:left="11049" w:hanging="900"/>
      </w:pPr>
      <w:rPr>
        <w:rFonts w:hint="default"/>
      </w:rPr>
    </w:lvl>
    <w:lvl w:ilvl="8">
      <w:start w:val="0"/>
      <w:numFmt w:val="bullet"/>
      <w:lvlText w:val="•"/>
      <w:lvlJc w:val="left"/>
      <w:pPr>
        <w:ind w:left="12379" w:hanging="900"/>
      </w:pPr>
      <w:rPr>
        <w:rFonts w:hint="default"/>
      </w:rPr>
    </w:lvl>
  </w:abstractNum>
  <w:abstractNum w:abstractNumId="8">
    <w:nsid w:val="33A55796"/>
    <w:multiLevelType w:val="hybridMultilevel"/>
    <w:tmpl w:val="00000000"/>
    <w:lvl w:ilvl="0">
      <w:start w:val="1"/>
      <w:numFmt w:val="decimal"/>
      <w:lvlText w:val="（%1）"/>
      <w:lvlJc w:val="left"/>
      <w:pPr>
        <w:ind w:left="124" w:hanging="901"/>
        <w:jc w:val="right"/>
      </w:pPr>
      <w:rPr>
        <w:rFonts w:ascii="宋体" w:eastAsia="宋体" w:hAnsi="宋体" w:cs="宋体" w:hint="default"/>
        <w:spacing w:val="-62"/>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9">
    <w:nsid w:val="33A60437"/>
    <w:multiLevelType w:val="hybridMultilevel"/>
    <w:tmpl w:val="00000000"/>
    <w:lvl w:ilvl="0">
      <w:start w:val="1"/>
      <w:numFmt w:val="decimal"/>
      <w:lvlText w:val="（%1）"/>
      <w:lvlJc w:val="left"/>
      <w:pPr>
        <w:ind w:left="124" w:hanging="901"/>
        <w:jc w:val="left"/>
      </w:pPr>
      <w:rPr>
        <w:rFonts w:ascii="宋体" w:eastAsia="宋体" w:hAnsi="宋体" w:cs="宋体" w:hint="default"/>
        <w:spacing w:val="-152"/>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10">
    <w:nsid w:val="362E20A2"/>
    <w:multiLevelType w:val="hybridMultilevel"/>
    <w:tmpl w:val="00000000"/>
    <w:lvl w:ilvl="0">
      <w:start w:val="1"/>
      <w:numFmt w:val="decimal"/>
      <w:lvlText w:val="%1)"/>
      <w:lvlJc w:val="left"/>
      <w:pPr>
        <w:ind w:left="1744" w:hanging="900"/>
        <w:jc w:val="left"/>
      </w:pPr>
      <w:rPr>
        <w:rFonts w:ascii="宋体" w:eastAsia="宋体" w:hAnsi="宋体" w:cs="宋体" w:hint="default"/>
        <w:w w:val="100"/>
        <w:sz w:val="36"/>
        <w:szCs w:val="36"/>
      </w:rPr>
    </w:lvl>
    <w:lvl w:ilvl="1">
      <w:start w:val="0"/>
      <w:numFmt w:val="bullet"/>
      <w:lvlText w:val="•"/>
      <w:lvlJc w:val="left"/>
      <w:pPr>
        <w:ind w:left="3069" w:hanging="900"/>
      </w:pPr>
      <w:rPr>
        <w:rFonts w:hint="default"/>
      </w:rPr>
    </w:lvl>
    <w:lvl w:ilvl="2">
      <w:start w:val="0"/>
      <w:numFmt w:val="bullet"/>
      <w:lvlText w:val="•"/>
      <w:lvlJc w:val="left"/>
      <w:pPr>
        <w:ind w:left="4399" w:hanging="900"/>
      </w:pPr>
      <w:rPr>
        <w:rFonts w:hint="default"/>
      </w:rPr>
    </w:lvl>
    <w:lvl w:ilvl="3">
      <w:start w:val="0"/>
      <w:numFmt w:val="bullet"/>
      <w:lvlText w:val="•"/>
      <w:lvlJc w:val="left"/>
      <w:pPr>
        <w:ind w:left="5729" w:hanging="900"/>
      </w:pPr>
      <w:rPr>
        <w:rFonts w:hint="default"/>
      </w:rPr>
    </w:lvl>
    <w:lvl w:ilvl="4">
      <w:start w:val="0"/>
      <w:numFmt w:val="bullet"/>
      <w:lvlText w:val="•"/>
      <w:lvlJc w:val="left"/>
      <w:pPr>
        <w:ind w:left="7059" w:hanging="900"/>
      </w:pPr>
      <w:rPr>
        <w:rFonts w:hint="default"/>
      </w:rPr>
    </w:lvl>
    <w:lvl w:ilvl="5">
      <w:start w:val="0"/>
      <w:numFmt w:val="bullet"/>
      <w:lvlText w:val="•"/>
      <w:lvlJc w:val="left"/>
      <w:pPr>
        <w:ind w:left="8389" w:hanging="900"/>
      </w:pPr>
      <w:rPr>
        <w:rFonts w:hint="default"/>
      </w:rPr>
    </w:lvl>
    <w:lvl w:ilvl="6">
      <w:start w:val="0"/>
      <w:numFmt w:val="bullet"/>
      <w:lvlText w:val="•"/>
      <w:lvlJc w:val="left"/>
      <w:pPr>
        <w:ind w:left="9719" w:hanging="900"/>
      </w:pPr>
      <w:rPr>
        <w:rFonts w:hint="default"/>
      </w:rPr>
    </w:lvl>
    <w:lvl w:ilvl="7">
      <w:start w:val="0"/>
      <w:numFmt w:val="bullet"/>
      <w:lvlText w:val="•"/>
      <w:lvlJc w:val="left"/>
      <w:pPr>
        <w:ind w:left="11049" w:hanging="900"/>
      </w:pPr>
      <w:rPr>
        <w:rFonts w:hint="default"/>
      </w:rPr>
    </w:lvl>
    <w:lvl w:ilvl="8">
      <w:start w:val="0"/>
      <w:numFmt w:val="bullet"/>
      <w:lvlText w:val="•"/>
      <w:lvlJc w:val="left"/>
      <w:pPr>
        <w:ind w:left="12379" w:hanging="900"/>
      </w:pPr>
      <w:rPr>
        <w:rFonts w:hint="default"/>
      </w:rPr>
    </w:lvl>
  </w:abstractNum>
  <w:abstractNum w:abstractNumId="11">
    <w:nsid w:val="3E8E9E66"/>
    <w:multiLevelType w:val="hybridMultilevel"/>
    <w:tmpl w:val="00000000"/>
    <w:lvl w:ilvl="0">
      <w:start w:val="3"/>
      <w:numFmt w:val="decimal"/>
      <w:lvlText w:val="%1)"/>
      <w:lvlJc w:val="left"/>
      <w:pPr>
        <w:ind w:left="2644" w:hanging="1080"/>
        <w:jc w:val="left"/>
      </w:pPr>
      <w:rPr>
        <w:rFonts w:ascii="宋体" w:eastAsia="宋体" w:hAnsi="宋体" w:cs="宋体" w:hint="default"/>
        <w:w w:val="100"/>
        <w:sz w:val="36"/>
        <w:szCs w:val="36"/>
      </w:rPr>
    </w:lvl>
    <w:lvl w:ilvl="1">
      <w:start w:val="0"/>
      <w:numFmt w:val="bullet"/>
      <w:lvlText w:val="•"/>
      <w:lvlJc w:val="left"/>
      <w:pPr>
        <w:ind w:left="3879" w:hanging="1080"/>
      </w:pPr>
      <w:rPr>
        <w:rFonts w:hint="default"/>
      </w:rPr>
    </w:lvl>
    <w:lvl w:ilvl="2">
      <w:start w:val="0"/>
      <w:numFmt w:val="bullet"/>
      <w:lvlText w:val="•"/>
      <w:lvlJc w:val="left"/>
      <w:pPr>
        <w:ind w:left="5119" w:hanging="1080"/>
      </w:pPr>
      <w:rPr>
        <w:rFonts w:hint="default"/>
      </w:rPr>
    </w:lvl>
    <w:lvl w:ilvl="3">
      <w:start w:val="0"/>
      <w:numFmt w:val="bullet"/>
      <w:lvlText w:val="•"/>
      <w:lvlJc w:val="left"/>
      <w:pPr>
        <w:ind w:left="6359" w:hanging="1080"/>
      </w:pPr>
      <w:rPr>
        <w:rFonts w:hint="default"/>
      </w:rPr>
    </w:lvl>
    <w:lvl w:ilvl="4">
      <w:start w:val="0"/>
      <w:numFmt w:val="bullet"/>
      <w:lvlText w:val="•"/>
      <w:lvlJc w:val="left"/>
      <w:pPr>
        <w:ind w:left="7599" w:hanging="1080"/>
      </w:pPr>
      <w:rPr>
        <w:rFonts w:hint="default"/>
      </w:rPr>
    </w:lvl>
    <w:lvl w:ilvl="5">
      <w:start w:val="0"/>
      <w:numFmt w:val="bullet"/>
      <w:lvlText w:val="•"/>
      <w:lvlJc w:val="left"/>
      <w:pPr>
        <w:ind w:left="8839" w:hanging="1080"/>
      </w:pPr>
      <w:rPr>
        <w:rFonts w:hint="default"/>
      </w:rPr>
    </w:lvl>
    <w:lvl w:ilvl="6">
      <w:start w:val="0"/>
      <w:numFmt w:val="bullet"/>
      <w:lvlText w:val="•"/>
      <w:lvlJc w:val="left"/>
      <w:pPr>
        <w:ind w:left="10079" w:hanging="1080"/>
      </w:pPr>
      <w:rPr>
        <w:rFonts w:hint="default"/>
      </w:rPr>
    </w:lvl>
    <w:lvl w:ilvl="7">
      <w:start w:val="0"/>
      <w:numFmt w:val="bullet"/>
      <w:lvlText w:val="•"/>
      <w:lvlJc w:val="left"/>
      <w:pPr>
        <w:ind w:left="11319" w:hanging="1080"/>
      </w:pPr>
      <w:rPr>
        <w:rFonts w:hint="default"/>
      </w:rPr>
    </w:lvl>
    <w:lvl w:ilvl="8">
      <w:start w:val="0"/>
      <w:numFmt w:val="bullet"/>
      <w:lvlText w:val="•"/>
      <w:lvlJc w:val="left"/>
      <w:pPr>
        <w:ind w:left="12559" w:hanging="1080"/>
      </w:pPr>
      <w:rPr>
        <w:rFonts w:hint="default"/>
      </w:rPr>
    </w:lvl>
  </w:abstractNum>
  <w:abstractNum w:abstractNumId="12">
    <w:nsid w:val="3F6697CE"/>
    <w:multiLevelType w:val="hybridMultilevel"/>
    <w:tmpl w:val="00000000"/>
    <w:lvl w:ilvl="0">
      <w:start w:val="4"/>
      <w:numFmt w:val="decimal"/>
      <w:lvlText w:val="（%1）"/>
      <w:lvlJc w:val="left"/>
      <w:pPr>
        <w:ind w:left="124" w:hanging="901"/>
        <w:jc w:val="left"/>
      </w:pPr>
      <w:rPr>
        <w:rFonts w:ascii="宋体" w:eastAsia="宋体" w:hAnsi="宋体" w:cs="宋体" w:hint="default"/>
        <w:spacing w:val="-1"/>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13">
    <w:nsid w:val="54024843"/>
    <w:multiLevelType w:val="hybridMultilevel"/>
    <w:tmpl w:val="00000000"/>
    <w:lvl w:ilvl="0">
      <w:start w:val="5"/>
      <w:numFmt w:val="decimal"/>
      <w:lvlText w:val="%1"/>
      <w:lvlJc w:val="left"/>
      <w:pPr>
        <w:ind w:left="1295" w:hanging="541"/>
        <w:jc w:val="left"/>
      </w:pPr>
      <w:rPr>
        <w:rFonts w:hint="default"/>
      </w:rPr>
    </w:lvl>
    <w:lvl w:ilvl="1">
      <w:start w:val="1"/>
      <w:numFmt w:val="decimal"/>
      <w:lvlText w:val="%1.%2"/>
      <w:lvlJc w:val="left"/>
      <w:pPr>
        <w:ind w:left="1295" w:hanging="541"/>
        <w:jc w:val="left"/>
      </w:pPr>
      <w:rPr>
        <w:rFonts w:ascii="宋体" w:eastAsia="宋体" w:hAnsi="宋体" w:cs="宋体" w:hint="default"/>
        <w:spacing w:val="-1"/>
        <w:w w:val="100"/>
        <w:sz w:val="34"/>
        <w:szCs w:val="34"/>
      </w:rPr>
    </w:lvl>
    <w:lvl w:ilvl="2">
      <w:start w:val="0"/>
      <w:numFmt w:val="bullet"/>
      <w:lvlText w:val="•"/>
      <w:lvlJc w:val="left"/>
      <w:pPr>
        <w:ind w:left="4047" w:hanging="541"/>
      </w:pPr>
      <w:rPr>
        <w:rFonts w:hint="default"/>
      </w:rPr>
    </w:lvl>
    <w:lvl w:ilvl="3">
      <w:start w:val="0"/>
      <w:numFmt w:val="bullet"/>
      <w:lvlText w:val="•"/>
      <w:lvlJc w:val="left"/>
      <w:pPr>
        <w:ind w:left="5421" w:hanging="541"/>
      </w:pPr>
      <w:rPr>
        <w:rFonts w:hint="default"/>
      </w:rPr>
    </w:lvl>
    <w:lvl w:ilvl="4">
      <w:start w:val="0"/>
      <w:numFmt w:val="bullet"/>
      <w:lvlText w:val="•"/>
      <w:lvlJc w:val="left"/>
      <w:pPr>
        <w:ind w:left="6795" w:hanging="541"/>
      </w:pPr>
      <w:rPr>
        <w:rFonts w:hint="default"/>
      </w:rPr>
    </w:lvl>
    <w:lvl w:ilvl="5">
      <w:start w:val="0"/>
      <w:numFmt w:val="bullet"/>
      <w:lvlText w:val="•"/>
      <w:lvlJc w:val="left"/>
      <w:pPr>
        <w:ind w:left="8169" w:hanging="541"/>
      </w:pPr>
      <w:rPr>
        <w:rFonts w:hint="default"/>
      </w:rPr>
    </w:lvl>
    <w:lvl w:ilvl="6">
      <w:start w:val="0"/>
      <w:numFmt w:val="bullet"/>
      <w:lvlText w:val="•"/>
      <w:lvlJc w:val="left"/>
      <w:pPr>
        <w:ind w:left="9543" w:hanging="541"/>
      </w:pPr>
      <w:rPr>
        <w:rFonts w:hint="default"/>
      </w:rPr>
    </w:lvl>
    <w:lvl w:ilvl="7">
      <w:start w:val="0"/>
      <w:numFmt w:val="bullet"/>
      <w:lvlText w:val="•"/>
      <w:lvlJc w:val="left"/>
      <w:pPr>
        <w:ind w:left="10917" w:hanging="541"/>
      </w:pPr>
      <w:rPr>
        <w:rFonts w:hint="default"/>
      </w:rPr>
    </w:lvl>
    <w:lvl w:ilvl="8">
      <w:start w:val="0"/>
      <w:numFmt w:val="bullet"/>
      <w:lvlText w:val="•"/>
      <w:lvlJc w:val="left"/>
      <w:pPr>
        <w:ind w:left="12291" w:hanging="541"/>
      </w:pPr>
      <w:rPr>
        <w:rFonts w:hint="default"/>
      </w:rPr>
    </w:lvl>
  </w:abstractNum>
  <w:abstractNum w:abstractNumId="14">
    <w:nsid w:val="5700FEA0"/>
    <w:multiLevelType w:val="hybridMultilevel"/>
    <w:tmpl w:val="00000000"/>
    <w:lvl w:ilvl="0">
      <w:start w:val="1"/>
      <w:numFmt w:val="decimal"/>
      <w:lvlText w:val="（%1）"/>
      <w:lvlJc w:val="left"/>
      <w:pPr>
        <w:ind w:left="124" w:hanging="901"/>
        <w:jc w:val="left"/>
      </w:pPr>
      <w:rPr>
        <w:rFonts w:ascii="宋体" w:eastAsia="宋体" w:hAnsi="宋体" w:cs="宋体" w:hint="default"/>
        <w:spacing w:val="-1"/>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15">
    <w:nsid w:val="6BC4EC16"/>
    <w:multiLevelType w:val="hybridMultilevel"/>
    <w:tmpl w:val="00000000"/>
    <w:lvl w:ilvl="0">
      <w:start w:val="3"/>
      <w:numFmt w:val="decimal"/>
      <w:lvlText w:val="%1"/>
      <w:lvlJc w:val="left"/>
      <w:pPr>
        <w:ind w:left="1295" w:hanging="541"/>
        <w:jc w:val="left"/>
      </w:pPr>
      <w:rPr>
        <w:rFonts w:hint="default"/>
      </w:rPr>
    </w:lvl>
    <w:lvl w:ilvl="1">
      <w:start w:val="1"/>
      <w:numFmt w:val="decimal"/>
      <w:lvlText w:val="%1.%2"/>
      <w:lvlJc w:val="left"/>
      <w:pPr>
        <w:ind w:left="1295" w:hanging="541"/>
        <w:jc w:val="left"/>
      </w:pPr>
      <w:rPr>
        <w:rFonts w:ascii="宋体" w:eastAsia="宋体" w:hAnsi="宋体" w:cs="宋体" w:hint="default"/>
        <w:spacing w:val="-1"/>
        <w:w w:val="100"/>
        <w:sz w:val="34"/>
        <w:szCs w:val="34"/>
      </w:rPr>
    </w:lvl>
    <w:lvl w:ilvl="2">
      <w:start w:val="0"/>
      <w:numFmt w:val="bullet"/>
      <w:lvlText w:val="•"/>
      <w:lvlJc w:val="left"/>
      <w:pPr>
        <w:ind w:left="4047" w:hanging="541"/>
      </w:pPr>
      <w:rPr>
        <w:rFonts w:hint="default"/>
      </w:rPr>
    </w:lvl>
    <w:lvl w:ilvl="3">
      <w:start w:val="0"/>
      <w:numFmt w:val="bullet"/>
      <w:lvlText w:val="•"/>
      <w:lvlJc w:val="left"/>
      <w:pPr>
        <w:ind w:left="5421" w:hanging="541"/>
      </w:pPr>
      <w:rPr>
        <w:rFonts w:hint="default"/>
      </w:rPr>
    </w:lvl>
    <w:lvl w:ilvl="4">
      <w:start w:val="0"/>
      <w:numFmt w:val="bullet"/>
      <w:lvlText w:val="•"/>
      <w:lvlJc w:val="left"/>
      <w:pPr>
        <w:ind w:left="6795" w:hanging="541"/>
      </w:pPr>
      <w:rPr>
        <w:rFonts w:hint="default"/>
      </w:rPr>
    </w:lvl>
    <w:lvl w:ilvl="5">
      <w:start w:val="0"/>
      <w:numFmt w:val="bullet"/>
      <w:lvlText w:val="•"/>
      <w:lvlJc w:val="left"/>
      <w:pPr>
        <w:ind w:left="8169" w:hanging="541"/>
      </w:pPr>
      <w:rPr>
        <w:rFonts w:hint="default"/>
      </w:rPr>
    </w:lvl>
    <w:lvl w:ilvl="6">
      <w:start w:val="0"/>
      <w:numFmt w:val="bullet"/>
      <w:lvlText w:val="•"/>
      <w:lvlJc w:val="left"/>
      <w:pPr>
        <w:ind w:left="9543" w:hanging="541"/>
      </w:pPr>
      <w:rPr>
        <w:rFonts w:hint="default"/>
      </w:rPr>
    </w:lvl>
    <w:lvl w:ilvl="7">
      <w:start w:val="0"/>
      <w:numFmt w:val="bullet"/>
      <w:lvlText w:val="•"/>
      <w:lvlJc w:val="left"/>
      <w:pPr>
        <w:ind w:left="10917" w:hanging="541"/>
      </w:pPr>
      <w:rPr>
        <w:rFonts w:hint="default"/>
      </w:rPr>
    </w:lvl>
    <w:lvl w:ilvl="8">
      <w:start w:val="0"/>
      <w:numFmt w:val="bullet"/>
      <w:lvlText w:val="•"/>
      <w:lvlJc w:val="left"/>
      <w:pPr>
        <w:ind w:left="12291" w:hanging="541"/>
      </w:pPr>
      <w:rPr>
        <w:rFonts w:hint="default"/>
      </w:rPr>
    </w:lvl>
  </w:abstractNum>
  <w:abstractNum w:abstractNumId="16">
    <w:nsid w:val="6D844F0E"/>
    <w:multiLevelType w:val="hybridMultilevel"/>
    <w:tmpl w:val="00000000"/>
    <w:lvl w:ilvl="0">
      <w:start w:val="5"/>
      <w:numFmt w:val="decimal"/>
      <w:lvlText w:val="%1"/>
      <w:lvlJc w:val="left"/>
      <w:pPr>
        <w:ind w:left="672" w:hanging="548"/>
        <w:jc w:val="left"/>
      </w:pPr>
      <w:rPr>
        <w:rFonts w:hint="default"/>
      </w:rPr>
    </w:lvl>
    <w:lvl w:ilvl="1">
      <w:start w:val="1"/>
      <w:numFmt w:val="decimal"/>
      <w:lvlText w:val="%1.%2"/>
      <w:lvlJc w:val="left"/>
      <w:pPr>
        <w:ind w:left="672" w:hanging="548"/>
        <w:jc w:val="left"/>
      </w:pPr>
      <w:rPr>
        <w:rFonts w:ascii="宋体" w:eastAsia="宋体" w:hAnsi="宋体" w:cs="宋体" w:hint="default"/>
        <w:b/>
        <w:bCs/>
        <w:w w:val="99"/>
        <w:sz w:val="34"/>
        <w:szCs w:val="34"/>
      </w:rPr>
    </w:lvl>
    <w:lvl w:ilvl="2">
      <w:start w:val="1"/>
      <w:numFmt w:val="decimal"/>
      <w:lvlText w:val="（%3）"/>
      <w:lvlJc w:val="left"/>
      <w:pPr>
        <w:ind w:left="1745" w:hanging="901"/>
        <w:jc w:val="left"/>
      </w:pPr>
      <w:rPr>
        <w:rFonts w:ascii="宋体" w:eastAsia="宋体" w:hAnsi="宋体" w:cs="宋体" w:hint="default"/>
        <w:spacing w:val="-101"/>
        <w:w w:val="100"/>
        <w:sz w:val="34"/>
        <w:szCs w:val="34"/>
      </w:rPr>
    </w:lvl>
    <w:lvl w:ilvl="3">
      <w:start w:val="0"/>
      <w:numFmt w:val="bullet"/>
      <w:lvlText w:val="•"/>
      <w:lvlJc w:val="left"/>
      <w:pPr>
        <w:ind w:left="4695" w:hanging="901"/>
      </w:pPr>
      <w:rPr>
        <w:rFonts w:hint="default"/>
      </w:rPr>
    </w:lvl>
    <w:lvl w:ilvl="4">
      <w:start w:val="0"/>
      <w:numFmt w:val="bullet"/>
      <w:lvlText w:val="•"/>
      <w:lvlJc w:val="left"/>
      <w:pPr>
        <w:ind w:left="6173" w:hanging="901"/>
      </w:pPr>
      <w:rPr>
        <w:rFonts w:hint="default"/>
      </w:rPr>
    </w:lvl>
    <w:lvl w:ilvl="5">
      <w:start w:val="0"/>
      <w:numFmt w:val="bullet"/>
      <w:lvlText w:val="•"/>
      <w:lvlJc w:val="left"/>
      <w:pPr>
        <w:ind w:left="7650" w:hanging="901"/>
      </w:pPr>
      <w:rPr>
        <w:rFonts w:hint="default"/>
      </w:rPr>
    </w:lvl>
    <w:lvl w:ilvl="6">
      <w:start w:val="0"/>
      <w:numFmt w:val="bullet"/>
      <w:lvlText w:val="•"/>
      <w:lvlJc w:val="left"/>
      <w:pPr>
        <w:ind w:left="9128" w:hanging="901"/>
      </w:pPr>
      <w:rPr>
        <w:rFonts w:hint="default"/>
      </w:rPr>
    </w:lvl>
    <w:lvl w:ilvl="7">
      <w:start w:val="0"/>
      <w:numFmt w:val="bullet"/>
      <w:lvlText w:val="•"/>
      <w:lvlJc w:val="left"/>
      <w:pPr>
        <w:ind w:left="10606" w:hanging="901"/>
      </w:pPr>
      <w:rPr>
        <w:rFonts w:hint="default"/>
      </w:rPr>
    </w:lvl>
    <w:lvl w:ilvl="8">
      <w:start w:val="0"/>
      <w:numFmt w:val="bullet"/>
      <w:lvlText w:val="•"/>
      <w:lvlJc w:val="left"/>
      <w:pPr>
        <w:ind w:left="12084" w:hanging="901"/>
      </w:pPr>
      <w:rPr>
        <w:rFonts w:hint="default"/>
      </w:rPr>
    </w:lvl>
  </w:abstractNum>
  <w:abstractNum w:abstractNumId="17">
    <w:nsid w:val="70BB6FDF"/>
    <w:multiLevelType w:val="hybridMultilevel"/>
    <w:tmpl w:val="00000000"/>
    <w:lvl w:ilvl="0">
      <w:start w:val="4"/>
      <w:numFmt w:val="decimal"/>
      <w:lvlText w:val="（%1）"/>
      <w:lvlJc w:val="left"/>
      <w:pPr>
        <w:ind w:left="124" w:hanging="901"/>
        <w:jc w:val="left"/>
      </w:pPr>
      <w:rPr>
        <w:rFonts w:ascii="宋体" w:eastAsia="宋体" w:hAnsi="宋体" w:cs="宋体" w:hint="default"/>
        <w:spacing w:val="-1"/>
        <w:w w:val="100"/>
        <w:sz w:val="34"/>
        <w:szCs w:val="34"/>
      </w:rPr>
    </w:lvl>
    <w:lvl w:ilvl="1">
      <w:start w:val="0"/>
      <w:numFmt w:val="bullet"/>
      <w:lvlText w:val="•"/>
      <w:lvlJc w:val="left"/>
      <w:pPr>
        <w:ind w:left="1611" w:hanging="901"/>
      </w:pPr>
      <w:rPr>
        <w:rFonts w:hint="default"/>
      </w:rPr>
    </w:lvl>
    <w:lvl w:ilvl="2">
      <w:start w:val="0"/>
      <w:numFmt w:val="bullet"/>
      <w:lvlText w:val="•"/>
      <w:lvlJc w:val="left"/>
      <w:pPr>
        <w:ind w:left="3103" w:hanging="901"/>
      </w:pPr>
      <w:rPr>
        <w:rFonts w:hint="default"/>
      </w:rPr>
    </w:lvl>
    <w:lvl w:ilvl="3">
      <w:start w:val="0"/>
      <w:numFmt w:val="bullet"/>
      <w:lvlText w:val="•"/>
      <w:lvlJc w:val="left"/>
      <w:pPr>
        <w:ind w:left="4595" w:hanging="901"/>
      </w:pPr>
      <w:rPr>
        <w:rFonts w:hint="default"/>
      </w:rPr>
    </w:lvl>
    <w:lvl w:ilvl="4">
      <w:start w:val="0"/>
      <w:numFmt w:val="bullet"/>
      <w:lvlText w:val="•"/>
      <w:lvlJc w:val="left"/>
      <w:pPr>
        <w:ind w:left="6087" w:hanging="901"/>
      </w:pPr>
      <w:rPr>
        <w:rFonts w:hint="default"/>
      </w:rPr>
    </w:lvl>
    <w:lvl w:ilvl="5">
      <w:start w:val="0"/>
      <w:numFmt w:val="bullet"/>
      <w:lvlText w:val="•"/>
      <w:lvlJc w:val="left"/>
      <w:pPr>
        <w:ind w:left="7579" w:hanging="901"/>
      </w:pPr>
      <w:rPr>
        <w:rFonts w:hint="default"/>
      </w:rPr>
    </w:lvl>
    <w:lvl w:ilvl="6">
      <w:start w:val="0"/>
      <w:numFmt w:val="bullet"/>
      <w:lvlText w:val="•"/>
      <w:lvlJc w:val="left"/>
      <w:pPr>
        <w:ind w:left="9071" w:hanging="901"/>
      </w:pPr>
      <w:rPr>
        <w:rFonts w:hint="default"/>
      </w:rPr>
    </w:lvl>
    <w:lvl w:ilvl="7">
      <w:start w:val="0"/>
      <w:numFmt w:val="bullet"/>
      <w:lvlText w:val="•"/>
      <w:lvlJc w:val="left"/>
      <w:pPr>
        <w:ind w:left="10563" w:hanging="901"/>
      </w:pPr>
      <w:rPr>
        <w:rFonts w:hint="default"/>
      </w:rPr>
    </w:lvl>
    <w:lvl w:ilvl="8">
      <w:start w:val="0"/>
      <w:numFmt w:val="bullet"/>
      <w:lvlText w:val="•"/>
      <w:lvlJc w:val="left"/>
      <w:pPr>
        <w:ind w:left="12055" w:hanging="901"/>
      </w:pPr>
      <w:rPr>
        <w:rFonts w:hint="default"/>
      </w:rPr>
    </w:lvl>
  </w:abstractNum>
  <w:abstractNum w:abstractNumId="18">
    <w:nsid w:val="7375D3C8"/>
    <w:multiLevelType w:val="hybridMultilevel"/>
    <w:tmpl w:val="00000000"/>
    <w:lvl w:ilvl="0">
      <w:start w:val="3"/>
      <w:numFmt w:val="decimal"/>
      <w:lvlText w:val="%1"/>
      <w:lvlJc w:val="left"/>
      <w:pPr>
        <w:ind w:left="1295" w:hanging="541"/>
        <w:jc w:val="left"/>
      </w:pPr>
      <w:rPr>
        <w:rFonts w:hint="default"/>
      </w:rPr>
    </w:lvl>
    <w:lvl w:ilvl="1">
      <w:start w:val="1"/>
      <w:numFmt w:val="decimal"/>
      <w:lvlText w:val="%1.%2"/>
      <w:lvlJc w:val="left"/>
      <w:pPr>
        <w:ind w:left="1295" w:hanging="541"/>
        <w:jc w:val="left"/>
      </w:pPr>
      <w:rPr>
        <w:rFonts w:ascii="宋体" w:eastAsia="宋体" w:hAnsi="宋体" w:cs="宋体" w:hint="default"/>
        <w:spacing w:val="-1"/>
        <w:w w:val="100"/>
        <w:sz w:val="34"/>
        <w:szCs w:val="34"/>
      </w:rPr>
    </w:lvl>
    <w:lvl w:ilvl="2">
      <w:start w:val="0"/>
      <w:numFmt w:val="bullet"/>
      <w:lvlText w:val="•"/>
      <w:lvlJc w:val="left"/>
      <w:pPr>
        <w:ind w:left="4047" w:hanging="541"/>
      </w:pPr>
      <w:rPr>
        <w:rFonts w:hint="default"/>
      </w:rPr>
    </w:lvl>
    <w:lvl w:ilvl="3">
      <w:start w:val="0"/>
      <w:numFmt w:val="bullet"/>
      <w:lvlText w:val="•"/>
      <w:lvlJc w:val="left"/>
      <w:pPr>
        <w:ind w:left="5421" w:hanging="541"/>
      </w:pPr>
      <w:rPr>
        <w:rFonts w:hint="default"/>
      </w:rPr>
    </w:lvl>
    <w:lvl w:ilvl="4">
      <w:start w:val="0"/>
      <w:numFmt w:val="bullet"/>
      <w:lvlText w:val="•"/>
      <w:lvlJc w:val="left"/>
      <w:pPr>
        <w:ind w:left="6795" w:hanging="541"/>
      </w:pPr>
      <w:rPr>
        <w:rFonts w:hint="default"/>
      </w:rPr>
    </w:lvl>
    <w:lvl w:ilvl="5">
      <w:start w:val="0"/>
      <w:numFmt w:val="bullet"/>
      <w:lvlText w:val="•"/>
      <w:lvlJc w:val="left"/>
      <w:pPr>
        <w:ind w:left="8169" w:hanging="541"/>
      </w:pPr>
      <w:rPr>
        <w:rFonts w:hint="default"/>
      </w:rPr>
    </w:lvl>
    <w:lvl w:ilvl="6">
      <w:start w:val="0"/>
      <w:numFmt w:val="bullet"/>
      <w:lvlText w:val="•"/>
      <w:lvlJc w:val="left"/>
      <w:pPr>
        <w:ind w:left="9543" w:hanging="541"/>
      </w:pPr>
      <w:rPr>
        <w:rFonts w:hint="default"/>
      </w:rPr>
    </w:lvl>
    <w:lvl w:ilvl="7">
      <w:start w:val="0"/>
      <w:numFmt w:val="bullet"/>
      <w:lvlText w:val="•"/>
      <w:lvlJc w:val="left"/>
      <w:pPr>
        <w:ind w:left="10917" w:hanging="541"/>
      </w:pPr>
      <w:rPr>
        <w:rFonts w:hint="default"/>
      </w:rPr>
    </w:lvl>
    <w:lvl w:ilvl="8">
      <w:start w:val="0"/>
      <w:numFmt w:val="bullet"/>
      <w:lvlText w:val="•"/>
      <w:lvlJc w:val="left"/>
      <w:pPr>
        <w:ind w:left="12291" w:hanging="541"/>
      </w:pPr>
      <w:rPr>
        <w:rFonts w:hint="default"/>
      </w:rPr>
    </w:lvl>
  </w:abstractNum>
  <w:abstractNum w:abstractNumId="19">
    <w:nsid w:val="7F89D639"/>
    <w:multiLevelType w:val="hybridMultilevel"/>
    <w:tmpl w:val="00000000"/>
    <w:lvl w:ilvl="0">
      <w:start w:val="1"/>
      <w:numFmt w:val="decimal"/>
      <w:lvlText w:val="(%1)"/>
      <w:lvlJc w:val="left"/>
      <w:pPr>
        <w:ind w:left="1384" w:hanging="900"/>
        <w:jc w:val="left"/>
      </w:pPr>
      <w:rPr>
        <w:rFonts w:ascii="宋体" w:eastAsia="宋体" w:hAnsi="宋体" w:cs="宋体" w:hint="default"/>
        <w:w w:val="100"/>
        <w:sz w:val="36"/>
        <w:szCs w:val="36"/>
      </w:rPr>
    </w:lvl>
    <w:lvl w:ilvl="1">
      <w:start w:val="0"/>
      <w:numFmt w:val="bullet"/>
      <w:lvlText w:val="•"/>
      <w:lvlJc w:val="left"/>
      <w:pPr>
        <w:ind w:left="2745" w:hanging="900"/>
      </w:pPr>
      <w:rPr>
        <w:rFonts w:hint="default"/>
      </w:rPr>
    </w:lvl>
    <w:lvl w:ilvl="2">
      <w:start w:val="0"/>
      <w:numFmt w:val="bullet"/>
      <w:lvlText w:val="•"/>
      <w:lvlJc w:val="left"/>
      <w:pPr>
        <w:ind w:left="4111" w:hanging="900"/>
      </w:pPr>
      <w:rPr>
        <w:rFonts w:hint="default"/>
      </w:rPr>
    </w:lvl>
    <w:lvl w:ilvl="3">
      <w:start w:val="0"/>
      <w:numFmt w:val="bullet"/>
      <w:lvlText w:val="•"/>
      <w:lvlJc w:val="left"/>
      <w:pPr>
        <w:ind w:left="5477" w:hanging="900"/>
      </w:pPr>
      <w:rPr>
        <w:rFonts w:hint="default"/>
      </w:rPr>
    </w:lvl>
    <w:lvl w:ilvl="4">
      <w:start w:val="0"/>
      <w:numFmt w:val="bullet"/>
      <w:lvlText w:val="•"/>
      <w:lvlJc w:val="left"/>
      <w:pPr>
        <w:ind w:left="6843" w:hanging="900"/>
      </w:pPr>
      <w:rPr>
        <w:rFonts w:hint="default"/>
      </w:rPr>
    </w:lvl>
    <w:lvl w:ilvl="5">
      <w:start w:val="0"/>
      <w:numFmt w:val="bullet"/>
      <w:lvlText w:val="•"/>
      <w:lvlJc w:val="left"/>
      <w:pPr>
        <w:ind w:left="8209" w:hanging="900"/>
      </w:pPr>
      <w:rPr>
        <w:rFonts w:hint="default"/>
      </w:rPr>
    </w:lvl>
    <w:lvl w:ilvl="6">
      <w:start w:val="0"/>
      <w:numFmt w:val="bullet"/>
      <w:lvlText w:val="•"/>
      <w:lvlJc w:val="left"/>
      <w:pPr>
        <w:ind w:left="9575" w:hanging="900"/>
      </w:pPr>
      <w:rPr>
        <w:rFonts w:hint="default"/>
      </w:rPr>
    </w:lvl>
    <w:lvl w:ilvl="7">
      <w:start w:val="0"/>
      <w:numFmt w:val="bullet"/>
      <w:lvlText w:val="•"/>
      <w:lvlJc w:val="left"/>
      <w:pPr>
        <w:ind w:left="10941" w:hanging="900"/>
      </w:pPr>
      <w:rPr>
        <w:rFonts w:hint="default"/>
      </w:rPr>
    </w:lvl>
    <w:lvl w:ilvl="8">
      <w:start w:val="0"/>
      <w:numFmt w:val="bullet"/>
      <w:lvlText w:val="•"/>
      <w:lvlJc w:val="left"/>
      <w:pPr>
        <w:ind w:left="12307" w:hanging="900"/>
      </w:pPr>
      <w:rPr>
        <w:rFonts w:hint="default"/>
      </w:rPr>
    </w:lvl>
  </w:abstractNum>
  <w:num w:numId="1">
    <w:abstractNumId w:val="2"/>
  </w:num>
  <w:num w:numId="2">
    <w:abstractNumId w:val="4"/>
  </w:num>
  <w:num w:numId="3">
    <w:abstractNumId w:val="19"/>
  </w:num>
  <w:num w:numId="4">
    <w:abstractNumId w:val="11"/>
  </w:num>
  <w:num w:numId="5">
    <w:abstractNumId w:val="10"/>
  </w:num>
  <w:num w:numId="6">
    <w:abstractNumId w:val="7"/>
  </w:num>
  <w:num w:numId="7">
    <w:abstractNumId w:val="6"/>
  </w:num>
  <w:num w:numId="8">
    <w:abstractNumId w:val="3"/>
  </w:num>
  <w:num w:numId="9">
    <w:abstractNumId w:val="9"/>
  </w:num>
  <w:num w:numId="10">
    <w:abstractNumId w:val="1"/>
  </w:num>
  <w:num w:numId="11">
    <w:abstractNumId w:val="8"/>
  </w:num>
  <w:num w:numId="12">
    <w:abstractNumId w:val="17"/>
  </w:num>
  <w:num w:numId="13">
    <w:abstractNumId w:val="16"/>
  </w:num>
  <w:num w:numId="14">
    <w:abstractNumId w:val="5"/>
  </w:num>
  <w:num w:numId="15">
    <w:abstractNumId w:val="14"/>
  </w:num>
  <w:num w:numId="16">
    <w:abstractNumId w:val="0"/>
  </w:num>
  <w:num w:numId="17">
    <w:abstractNumId w:val="13"/>
  </w:num>
  <w:num w:numId="18">
    <w:abstractNumId w:val="18"/>
  </w:num>
  <w:num w:numId="19">
    <w:abstractNumId w:val="15"/>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24"/>
      <w:outlineLvl w:val="0"/>
    </w:pPr>
    <w:rPr>
      <w:rFonts w:ascii="宋体" w:eastAsia="宋体" w:hAnsi="宋体" w:cs="宋体"/>
      <w:b/>
      <w:bCs/>
      <w:sz w:val="42"/>
      <w:szCs w:val="42"/>
    </w:rPr>
  </w:style>
  <w:style w:type="paragraph" w:styleId="Heading2">
    <w:name w:val="heading 2"/>
    <w:basedOn w:val="Normal"/>
    <w:uiPriority w:val="1"/>
    <w:qFormat/>
    <w:pPr>
      <w:ind w:left="672" w:hanging="548"/>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1"/>
      <w:ind w:right="331"/>
      <w:jc w:val="center"/>
    </w:pPr>
    <w:rPr>
      <w:rFonts w:ascii="宋体" w:eastAsia="宋体" w:hAnsi="宋体" w:cs="宋体"/>
      <w:b/>
      <w:bCs/>
      <w:sz w:val="36"/>
      <w:szCs w:val="36"/>
    </w:rPr>
  </w:style>
  <w:style w:type="paragraph" w:styleId="TOC2">
    <w:name w:val="toc 2"/>
    <w:basedOn w:val="Normal"/>
    <w:uiPriority w:val="1"/>
    <w:qFormat/>
    <w:pPr>
      <w:spacing w:before="241"/>
      <w:ind w:left="1295" w:hanging="542"/>
    </w:pPr>
    <w:rPr>
      <w:rFonts w:ascii="宋体" w:eastAsia="宋体" w:hAnsi="宋体" w:cs="宋体"/>
      <w:sz w:val="36"/>
      <w:szCs w:val="36"/>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line="991" w:lineRule="exact"/>
      <w:ind w:right="1203"/>
      <w:jc w:val="center"/>
    </w:pPr>
    <w:rPr>
      <w:rFonts w:ascii="宋体" w:eastAsia="宋体" w:hAnsi="宋体" w:cs="宋体"/>
      <w:b/>
      <w:bCs/>
      <w:sz w:val="78"/>
      <w:szCs w:val="78"/>
    </w:rPr>
  </w:style>
  <w:style w:type="paragraph" w:styleId="ListParagraph">
    <w:name w:val="List Paragraph"/>
    <w:basedOn w:val="Normal"/>
    <w:uiPriority w:val="1"/>
    <w:qFormat/>
    <w:pPr>
      <w:spacing w:before="241"/>
      <w:ind w:left="124" w:firstLine="720"/>
    </w:pPr>
    <w:rPr>
      <w:rFonts w:ascii="宋体" w:eastAsia="宋体" w:hAnsi="宋体" w:cs="宋体"/>
    </w:rPr>
  </w:style>
  <w:style w:type="paragraph" w:customStyle="1" w:styleId="TableParagraph">
    <w:name w:val="Table Paragraph"/>
    <w:basedOn w:val="Normal"/>
    <w:uiPriority w:val="1"/>
    <w:qFormat/>
    <w:pPr>
      <w:spacing w:before="194"/>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image" Target="media/image3.png"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image" Target="media/image4.png"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image" Target="media/image5.png"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image" Target="media/image6.png" /><Relationship Id="rId26" Type="http://schemas.openxmlformats.org/officeDocument/2006/relationships/header" Target="header10.xml" /><Relationship Id="rId27" Type="http://schemas.openxmlformats.org/officeDocument/2006/relationships/footer" Target="footer10.xml" /><Relationship Id="rId28" Type="http://schemas.openxmlformats.org/officeDocument/2006/relationships/image" Target="media/image7.png"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eader" Target="header13.xml" /><Relationship Id="rId34" Type="http://schemas.openxmlformats.org/officeDocument/2006/relationships/footer" Target="footer13.xml" /><Relationship Id="rId35" Type="http://schemas.openxmlformats.org/officeDocument/2006/relationships/image" Target="media/image8.png" /><Relationship Id="rId36" Type="http://schemas.openxmlformats.org/officeDocument/2006/relationships/hyperlink" Target="https://d.book118.com/327062013043006033" TargetMode="External" /><Relationship Id="rId37" Type="http://schemas.openxmlformats.org/officeDocument/2006/relationships/header" Target="header14.xml" /><Relationship Id="rId38" Type="http://schemas.openxmlformats.org/officeDocument/2006/relationships/footer" Target="footer14.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2024-01-08T04:13:32Z</dcterms:created>
  <dcterms:modified xsi:type="dcterms:W3CDTF">2024-01-08T04:13:32Z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LastSaved">
    <vt:filetime>2024-01-08T00:00:00Z</vt:filetime>
  </property>
</Properties>
</file>