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57A9D" w:rsidP="00757A9D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57A9D">
        <w:rPr>
          <w:rFonts w:ascii="华文中宋" w:eastAsia="华文中宋" w:hAnsi="华文中宋"/>
          <w:b/>
          <w:sz w:val="30"/>
        </w:rPr>
        <w:t>2023</w:t>
      </w:r>
      <w:r w:rsidRPr="00757A9D">
        <w:rPr>
          <w:rFonts w:ascii="华文中宋" w:eastAsia="华文中宋" w:hAnsi="华文中宋"/>
          <w:b/>
          <w:sz w:val="30"/>
        </w:rPr>
        <w:t>年深圳市鲲鹏股权投资管理有限公司人员招聘考试试题及答案解析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https://d.book118.com/327062021053006030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7A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57A9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57A9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7A9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57A9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7A9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57A9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7A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57A9D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0DCA4F3"/>
  <w15:docId w15:val="{D458D127-9796-4A71-BF9B-52D4063FA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57A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57A9D"/>
    <w:rPr>
      <w:sz w:val="18"/>
      <w:szCs w:val="18"/>
    </w:rPr>
  </w:style>
  <w:style w:type="paragraph" w:styleId="Footer">
    <w:name w:val="footer"/>
    <w:basedOn w:val="Normal"/>
    <w:link w:val="a0"/>
    <w:unhideWhenUsed/>
    <w:rsid w:val="00757A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57A9D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57A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7062021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4082</Words>
  <Characters>23273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