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9"/>
        <w:ind w:left="1176"/>
        <w:rPr>
          <w:rFonts w:ascii="黑体"/>
        </w:rPr>
      </w:pPr>
      <w:r>
        <w:rPr>
          <w:rFonts w:ascii="黑体"/>
        </w:rPr>
        <w:t>ICS 01.080.10</w:t>
      </w:r>
    </w:p>
    <w:p>
      <w:pPr>
        <w:pStyle w:val="BodyText"/>
        <w:spacing w:before="4"/>
        <w:ind w:left="1197"/>
        <w:rPr>
          <w:rFonts w:ascii="黑体"/>
        </w:rPr>
      </w:pPr>
      <w:r>
        <w:rPr>
          <w:rFonts w:ascii="黑体"/>
        </w:rPr>
        <w:t>CCS Q 85</w:t>
      </w:r>
    </w:p>
    <w:p>
      <w:pPr>
        <w:pStyle w:val="Title"/>
      </w:pPr>
      <w:r>
        <w:rPr>
          <w:b w:val="0"/>
        </w:rPr>
        <w:br w:type="column"/>
      </w:r>
      <w:r>
        <w:rPr>
          <w:w w:val="130"/>
        </w:rPr>
        <w:t>DB4201</w:t>
      </w:r>
    </w:p>
    <w:p>
      <w:pPr>
        <w:spacing w:after="0"/>
        <w:sectPr>
          <w:type w:val="continuous"/>
          <w:pgSz w:w="11910" w:h="16840"/>
          <w:pgMar w:top="500" w:right="160" w:bottom="280" w:left="240" w:header="708" w:footer="708"/>
          <w:cols w:num="2" w:space="708" w:equalWidth="0">
            <w:col w:w="2585" w:space="2335"/>
            <w:col w:w="6590" w:space="0"/>
          </w:cols>
        </w:sectPr>
      </w:pPr>
    </w:p>
    <w:p>
      <w:pPr>
        <w:pStyle w:val="BodyText"/>
        <w:spacing w:before="6"/>
        <w:rPr>
          <w:rFonts w:ascii="Times New Roman"/>
          <w:b/>
          <w:sz w:val="18"/>
        </w:rPr>
      </w:pPr>
    </w:p>
    <w:p>
      <w:pPr>
        <w:tabs>
          <w:tab w:val="left" w:pos="1779"/>
          <w:tab w:val="left" w:pos="3272"/>
          <w:tab w:val="left" w:pos="4765"/>
          <w:tab w:val="left" w:pos="6258"/>
          <w:tab w:val="left" w:pos="7751"/>
          <w:tab w:val="left" w:pos="9243"/>
        </w:tabs>
        <w:spacing w:before="33"/>
        <w:ind w:left="287" w:right="0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武</w:t>
        <w:tab/>
        <w:t>汉</w:t>
        <w:tab/>
        <w:t>市</w:t>
        <w:tab/>
        <w:t>地</w:t>
        <w:tab/>
        <w:t>方</w:t>
        <w:tab/>
        <w:t>标</w:t>
        <w:tab/>
        <w:t>准</w:t>
      </w:r>
    </w:p>
    <w:p>
      <w:pPr>
        <w:spacing w:before="307"/>
        <w:ind w:left="0" w:right="1062" w:firstLine="0"/>
        <w:jc w:val="right"/>
        <w:rPr>
          <w:rFonts w:ascii="黑体"/>
          <w:sz w:val="28"/>
        </w:rPr>
      </w:pPr>
      <w:r>
        <w:rPr>
          <w:rFonts w:ascii="黑体"/>
          <w:sz w:val="28"/>
        </w:rPr>
        <w:t>DB4201/T</w:t>
      </w:r>
      <w:r>
        <w:rPr>
          <w:rFonts w:ascii="黑体"/>
          <w:spacing w:val="-6"/>
          <w:sz w:val="28"/>
        </w:rPr>
        <w:t xml:space="preserve"> </w:t>
      </w:r>
      <w:r>
        <w:rPr>
          <w:rFonts w:ascii="黑体"/>
          <w:sz w:val="28"/>
        </w:rPr>
        <w:t>619-2020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23"/>
        </w:rPr>
      </w:pPr>
      <w:r>
        <w:pict>
          <v:shape id="_x0000_s1025" style="width:481.9pt;height:0.1pt;margin-top:17.64pt;margin-left:67.8pt;mso-position-horizontal-relative:page;mso-wrap-distance-left:0;mso-wrap-distance-right:0;position:absolute;z-index:-251657216" coordorigin="1356,353" coordsize="9638,0" path="m1356,353l10994,353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spacing w:before="11"/>
        <w:rPr>
          <w:rFonts w:ascii="黑体"/>
          <w:sz w:val="31"/>
        </w:rPr>
      </w:pPr>
    </w:p>
    <w:p>
      <w:pPr>
        <w:spacing w:before="0"/>
        <w:ind w:left="200" w:right="0" w:firstLine="0"/>
        <w:jc w:val="center"/>
        <w:rPr>
          <w:rFonts w:ascii="黑体" w:eastAsia="黑体" w:hint="eastAsia"/>
          <w:sz w:val="52"/>
        </w:rPr>
      </w:pPr>
      <w:r>
        <w:rPr>
          <w:rFonts w:ascii="黑体" w:eastAsia="黑体" w:hint="eastAsia"/>
          <w:sz w:val="52"/>
        </w:rPr>
        <w:t>城市道路路名牌设置技术规范</w:t>
      </w:r>
    </w:p>
    <w:p>
      <w:pPr>
        <w:pStyle w:val="Heading1"/>
        <w:spacing w:before="152"/>
        <w:ind w:left="195"/>
      </w:pPr>
      <w:r>
        <w:pict>
          <v:group id="_x0000_s1026" style="width:560pt;height:384pt;margin-top:58.78pt;margin-left:17pt;mso-position-horizontal-relative:page;position:absolute;z-index:251658240" coordorigin="340,1176" coordsize="11200,7680">
            <v:line id="_x0000_s1027" style="position:absolute" from="1417,7502" to="11055,7502" stroked="t" strokecolor="black" strokeweight="0.7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200;height:7680;left:340;position:absolute;top:1175" stroked="f">
              <v:imagedata r:id="rId4" o:title=""/>
            </v:shape>
          </v:group>
        </w:pict>
      </w:r>
      <w:r>
        <w:t>Technical Specification for Setting of City Road Name Plates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029" style="width:484.25pt;height:71.55pt;margin-top:10.67pt;margin-left:70.92pt;mso-position-horizontal-relative:page;mso-wrap-distance-left:0;mso-wrap-distance-right:0;position:absolute;z-index:-251656192" coordorigin="1418,213" coordsize="9685,143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2195;height:300;left:1418;position:absolute;top:213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sz w:val="30"/>
                      </w:rPr>
                      <w:t>2020-05-15</w:t>
                    </w:r>
                    <w:r>
                      <w:rPr>
                        <w:rFonts w:ascii="黑体" w:eastAsia="黑体" w:hint="eastAsia"/>
                        <w:spacing w:val="-27"/>
                        <w:sz w:val="30"/>
                      </w:rPr>
                      <w:t xml:space="preserve"> 发布</w:t>
                    </w:r>
                  </w:p>
                </w:txbxContent>
              </v:textbox>
            </v:shape>
            <v:shape id="_x0000_s1031" type="#_x0000_t202" style="width:2195;height:300;left:8908;position:absolute;top:213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sz w:val="30"/>
                      </w:rPr>
                      <w:t>2020-06-15</w:t>
                    </w:r>
                    <w:r>
                      <w:rPr>
                        <w:rFonts w:ascii="黑体" w:eastAsia="黑体" w:hint="eastAsia"/>
                        <w:spacing w:val="-27"/>
                        <w:sz w:val="30"/>
                      </w:rPr>
                      <w:t xml:space="preserve"> 实施</w:t>
                    </w:r>
                  </w:p>
                </w:txbxContent>
              </v:textbox>
            </v:shape>
            <v:shape id="_x0000_s1032" type="#_x0000_t202" style="width:4414;height:300;left:3228;position:absolute;top:1343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w w:val="135"/>
                        <w:sz w:val="30"/>
                      </w:rPr>
                      <w:t>武汉市市场监督管理局</w:t>
                    </w:r>
                  </w:p>
                </w:txbxContent>
              </v:textbox>
            </v:shape>
            <v:shape id="_x0000_s1033" type="#_x0000_t202" style="width:791;height:300;left:8064;position:absolute;top:1312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sz w:val="30"/>
                      </w:rPr>
                      <w:t>发 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type w:val="continuous"/>
          <w:pgSz w:w="11910" w:h="16840"/>
          <w:pgMar w:top="500" w:right="160" w:bottom="280" w:left="24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1910" w:h="16840"/>
          <w:pgMar w:top="1580" w:right="160" w:bottom="280" w:left="240" w:header="708" w:footer="708"/>
          <w:pgNumType w:start="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1910" w:h="16840"/>
          <w:pgMar w:top="1580" w:right="160" w:bottom="280" w:left="240" w:header="708" w:footer="708"/>
          <w:pgNumType w:start="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1910" w:h="16840"/>
          <w:pgMar w:top="1580" w:right="160" w:bottom="280" w:left="240" w:header="708" w:footer="708"/>
          <w:pgNumType w:start="5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tabs>
          <w:tab w:val="left" w:pos="1158"/>
        </w:tabs>
        <w:spacing w:before="55"/>
        <w:ind w:left="198" w:right="0" w:firstLine="0"/>
        <w:jc w:val="center"/>
        <w:rPr>
          <w:rFonts w:ascii="黑体" w:eastAsia="黑体" w:hint="eastAsia"/>
          <w:sz w:val="32"/>
        </w:rPr>
      </w:pPr>
      <w:bookmarkStart w:id="0" w:name="目    录"/>
      <w:bookmarkEnd w:id="0"/>
      <w:r>
        <w:rPr>
          <w:rFonts w:ascii="黑体" w:eastAsia="黑体" w:hint="eastAsia"/>
          <w:sz w:val="32"/>
        </w:rPr>
        <w:t>目</w:t>
        <w:tab/>
        <w:t>录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12"/>
        <w:rPr>
          <w:rFonts w:ascii="黑体"/>
          <w:sz w:val="27"/>
        </w:rPr>
      </w:pP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9556"/>
        </w:tabs>
        <w:spacing w:before="0" w:after="0" w:line="240" w:lineRule="auto"/>
        <w:ind w:left="1387" w:right="0" w:hanging="1188"/>
        <w:jc w:val="left"/>
        <w:rPr>
          <w:rFonts w:ascii="Times New Roman" w:eastAsia="Times New Roman"/>
          <w:sz w:val="21"/>
        </w:rPr>
      </w:pPr>
      <w:r>
        <w:rPr>
          <w:sz w:val="21"/>
        </w:rPr>
        <w:t>范围</w:t>
      </w:r>
      <w:r>
        <w:rPr>
          <w:rFonts w:ascii="Times New Roman" w:eastAsia="Times New Roman"/>
          <w:sz w:val="21"/>
        </w:rPr>
        <w:tab/>
        <w:t>1</w:t>
      </w: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10531"/>
        </w:tabs>
        <w:spacing w:before="139" w:after="0" w:line="240" w:lineRule="auto"/>
        <w:ind w:left="1387" w:right="0" w:hanging="212"/>
        <w:jc w:val="left"/>
        <w:rPr>
          <w:rFonts w:ascii="Times New Roman" w:eastAsia="Times New Roman"/>
          <w:sz w:val="21"/>
        </w:rPr>
      </w:pPr>
      <w:r>
        <w:rPr>
          <w:sz w:val="21"/>
        </w:rPr>
        <w:t>规</w:t>
      </w:r>
      <w:r>
        <w:rPr>
          <w:spacing w:val="-3"/>
          <w:sz w:val="21"/>
        </w:rPr>
        <w:t>范</w:t>
      </w:r>
      <w:r>
        <w:rPr>
          <w:sz w:val="21"/>
        </w:rPr>
        <w:t>性</w:t>
      </w:r>
      <w:r>
        <w:rPr>
          <w:spacing w:val="-3"/>
          <w:sz w:val="21"/>
        </w:rPr>
        <w:t>引</w:t>
      </w:r>
      <w:r>
        <w:rPr>
          <w:sz w:val="21"/>
        </w:rPr>
        <w:t>用</w:t>
      </w:r>
      <w:r>
        <w:rPr>
          <w:spacing w:val="-3"/>
          <w:sz w:val="21"/>
        </w:rPr>
        <w:t>文件</w:t>
      </w:r>
      <w:r>
        <w:rPr>
          <w:rFonts w:ascii="Times New Roman" w:eastAsia="Times New Roman"/>
          <w:spacing w:val="-3"/>
          <w:sz w:val="21"/>
        </w:rPr>
        <w:tab/>
      </w:r>
      <w:r>
        <w:rPr>
          <w:rFonts w:ascii="Times New Roman" w:eastAsia="Times New Roman"/>
          <w:sz w:val="21"/>
        </w:rPr>
        <w:t>1</w:t>
      </w: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10531"/>
        </w:tabs>
        <w:spacing w:before="139" w:after="0" w:line="240" w:lineRule="auto"/>
        <w:ind w:left="1387" w:right="0" w:hanging="212"/>
        <w:jc w:val="left"/>
        <w:rPr>
          <w:rFonts w:ascii="Times New Roman" w:eastAsia="Times New Roman"/>
          <w:sz w:val="21"/>
        </w:rPr>
      </w:pPr>
      <w:r>
        <w:rPr>
          <w:sz w:val="21"/>
        </w:rPr>
        <w:t>术</w:t>
      </w:r>
      <w:r>
        <w:rPr>
          <w:spacing w:val="-3"/>
          <w:sz w:val="21"/>
        </w:rPr>
        <w:t>语</w:t>
      </w:r>
      <w:r>
        <w:rPr>
          <w:sz w:val="21"/>
        </w:rPr>
        <w:t>和</w:t>
      </w:r>
      <w:r>
        <w:rPr>
          <w:spacing w:val="-3"/>
          <w:sz w:val="21"/>
        </w:rPr>
        <w:t>定义</w:t>
      </w:r>
      <w:r>
        <w:rPr>
          <w:rFonts w:ascii="Times New Roman" w:eastAsia="Times New Roman"/>
          <w:spacing w:val="-3"/>
          <w:sz w:val="21"/>
        </w:rPr>
        <w:tab/>
      </w:r>
      <w:r>
        <w:rPr>
          <w:rFonts w:ascii="Times New Roman" w:eastAsia="Times New Roman"/>
          <w:sz w:val="21"/>
        </w:rPr>
        <w:t>1</w:t>
      </w: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10531"/>
        </w:tabs>
        <w:spacing w:before="142" w:after="0" w:line="240" w:lineRule="auto"/>
        <w:ind w:left="1387" w:right="0" w:hanging="212"/>
        <w:jc w:val="left"/>
        <w:rPr>
          <w:rFonts w:ascii="Times New Roman" w:eastAsia="Times New Roman"/>
          <w:sz w:val="21"/>
        </w:rPr>
      </w:pPr>
      <w:r>
        <w:rPr>
          <w:sz w:val="21"/>
        </w:rPr>
        <w:t>基</w:t>
      </w:r>
      <w:r>
        <w:rPr>
          <w:spacing w:val="-3"/>
          <w:sz w:val="21"/>
        </w:rPr>
        <w:t>本</w:t>
      </w:r>
      <w:r>
        <w:rPr>
          <w:sz w:val="21"/>
        </w:rPr>
        <w:t>规定</w:t>
      </w:r>
      <w:r>
        <w:rPr>
          <w:rFonts w:ascii="Times New Roman" w:eastAsia="Times New Roman"/>
          <w:sz w:val="21"/>
        </w:rPr>
        <w:tab/>
        <w:t>2</w:t>
      </w: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10531"/>
        </w:tabs>
        <w:spacing w:before="139" w:after="0" w:line="240" w:lineRule="auto"/>
        <w:ind w:left="1387" w:right="0" w:hanging="212"/>
        <w:jc w:val="left"/>
        <w:rPr>
          <w:rFonts w:ascii="Times New Roman" w:eastAsia="Times New Roman"/>
          <w:sz w:val="21"/>
        </w:rPr>
      </w:pPr>
      <w:r>
        <w:rPr>
          <w:sz w:val="21"/>
        </w:rPr>
        <w:t>路</w:t>
      </w:r>
      <w:r>
        <w:rPr>
          <w:spacing w:val="-3"/>
          <w:sz w:val="21"/>
        </w:rPr>
        <w:t>名</w:t>
      </w:r>
      <w:r>
        <w:rPr>
          <w:sz w:val="21"/>
        </w:rPr>
        <w:t>牌</w:t>
      </w:r>
      <w:r>
        <w:rPr>
          <w:spacing w:val="-3"/>
          <w:sz w:val="21"/>
        </w:rPr>
        <w:t>式</w:t>
      </w:r>
      <w:r>
        <w:rPr>
          <w:sz w:val="21"/>
        </w:rPr>
        <w:t>样</w:t>
      </w:r>
      <w:r>
        <w:rPr>
          <w:spacing w:val="-3"/>
          <w:sz w:val="21"/>
        </w:rPr>
        <w:t>和</w:t>
      </w:r>
      <w:r>
        <w:rPr>
          <w:sz w:val="21"/>
        </w:rPr>
        <w:t>选用</w:t>
      </w:r>
      <w:r>
        <w:rPr>
          <w:rFonts w:ascii="Times New Roman" w:eastAsia="Times New Roman"/>
          <w:sz w:val="21"/>
        </w:rPr>
        <w:tab/>
        <w:t>2</w:t>
      </w:r>
    </w:p>
    <w:p>
      <w:pPr>
        <w:pStyle w:val="ListParagraph"/>
        <w:numPr>
          <w:ilvl w:val="0"/>
          <w:numId w:val="23"/>
        </w:numPr>
        <w:tabs>
          <w:tab w:val="left" w:pos="1388"/>
          <w:tab w:val="right" w:leader="dot" w:pos="10531"/>
        </w:tabs>
        <w:spacing w:before="139" w:after="0" w:line="240" w:lineRule="auto"/>
        <w:ind w:left="1387" w:right="0" w:hanging="212"/>
        <w:jc w:val="left"/>
        <w:rPr>
          <w:rFonts w:ascii="Times New Roman" w:eastAsia="Times New Roman"/>
          <w:sz w:val="21"/>
        </w:rPr>
      </w:pPr>
      <w:r>
        <w:rPr>
          <w:sz w:val="21"/>
        </w:rPr>
        <w:t>路</w:t>
      </w:r>
      <w:r>
        <w:rPr>
          <w:spacing w:val="-3"/>
          <w:sz w:val="21"/>
        </w:rPr>
        <w:t>名</w:t>
      </w:r>
      <w:r>
        <w:rPr>
          <w:sz w:val="21"/>
        </w:rPr>
        <w:t>牌</w:t>
      </w:r>
      <w:r>
        <w:rPr>
          <w:spacing w:val="-3"/>
          <w:sz w:val="21"/>
        </w:rPr>
        <w:t>安</w:t>
      </w:r>
      <w:r>
        <w:rPr>
          <w:sz w:val="21"/>
        </w:rPr>
        <w:t>装</w:t>
      </w:r>
      <w:r>
        <w:rPr>
          <w:spacing w:val="-3"/>
          <w:sz w:val="21"/>
        </w:rPr>
        <w:t>和</w:t>
      </w:r>
      <w:r>
        <w:rPr>
          <w:sz w:val="21"/>
        </w:rPr>
        <w:t>设置</w:t>
      </w:r>
      <w:r>
        <w:rPr>
          <w:rFonts w:ascii="Times New Roman" w:eastAsia="Times New Roman"/>
          <w:sz w:val="21"/>
        </w:rPr>
        <w:tab/>
        <w:t>7</w:t>
      </w:r>
    </w:p>
    <w:p>
      <w:pPr>
        <w:pStyle w:val="BodyText"/>
        <w:tabs>
          <w:tab w:val="right" w:leader="dot" w:pos="10531"/>
        </w:tabs>
        <w:spacing w:before="138"/>
        <w:ind w:left="1176"/>
        <w:rPr>
          <w:rFonts w:ascii="Times New Roman" w:eastAsia="Times New Roman"/>
        </w:rPr>
      </w:pPr>
      <w:r>
        <w:t>附</w:t>
      </w:r>
      <w:r>
        <w:rPr>
          <w:spacing w:val="50"/>
        </w:rPr>
        <w:t>录</w:t>
      </w:r>
      <w:r>
        <w:rPr>
          <w:rFonts w:ascii="Times New Roman" w:eastAsia="Times New Roman"/>
        </w:rPr>
        <w:t xml:space="preserve">A  </w:t>
      </w:r>
      <w:r>
        <w:rPr>
          <w:rFonts w:ascii="Times New Roman" w:eastAsia="Times New Roman"/>
          <w:spacing w:val="40"/>
        </w:rPr>
        <w:t xml:space="preserve"> </w:t>
      </w:r>
      <w:r>
        <w:t>路</w:t>
      </w:r>
      <w:r>
        <w:rPr>
          <w:spacing w:val="-3"/>
        </w:rPr>
        <w:t>名</w:t>
      </w:r>
      <w:r>
        <w:t>牌</w:t>
      </w:r>
      <w:r>
        <w:rPr>
          <w:spacing w:val="-3"/>
        </w:rPr>
        <w:t>式</w:t>
      </w:r>
      <w:r>
        <w:t>样</w:t>
      </w:r>
      <w:r>
        <w:rPr>
          <w:spacing w:val="-3"/>
        </w:rPr>
        <w:t>版面</w:t>
      </w:r>
      <w:r>
        <w:t>型号</w:t>
      </w:r>
      <w:r>
        <w:rPr>
          <w:spacing w:val="-3"/>
        </w:rPr>
        <w:t>效</w:t>
      </w:r>
      <w:r>
        <w:t>果图</w:t>
      </w:r>
      <w:r>
        <w:rPr>
          <w:rFonts w:ascii="Times New Roman" w:eastAsia="Times New Roman"/>
        </w:rPr>
        <w:tab/>
        <w:t>10</w:t>
      </w:r>
    </w:p>
    <w:p>
      <w:pPr>
        <w:pStyle w:val="BodyText"/>
        <w:tabs>
          <w:tab w:val="left" w:pos="1975"/>
          <w:tab w:val="right" w:leader="dot" w:pos="10531"/>
        </w:tabs>
        <w:spacing w:before="139"/>
        <w:ind w:left="1176"/>
        <w:rPr>
          <w:rFonts w:ascii="Times New Roman" w:eastAsia="Times New Roman"/>
        </w:rPr>
      </w:pPr>
      <w:r>
        <w:t>附</w:t>
      </w:r>
      <w:r>
        <w:rPr>
          <w:spacing w:val="26"/>
        </w:rPr>
        <w:t>录</w:t>
      </w:r>
      <w:r>
        <w:rPr>
          <w:rFonts w:ascii="Times New Roman" w:eastAsia="Times New Roman"/>
        </w:rPr>
        <w:t>B</w:t>
        <w:tab/>
      </w:r>
      <w:r>
        <w:rPr>
          <w:spacing w:val="-3"/>
        </w:rPr>
        <w:t>路</w:t>
      </w:r>
      <w:r>
        <w:t>名</w:t>
      </w:r>
      <w:r>
        <w:rPr>
          <w:spacing w:val="-3"/>
        </w:rPr>
        <w:t>牌</w:t>
      </w:r>
      <w:r>
        <w:t>设</w:t>
      </w:r>
      <w:r>
        <w:rPr>
          <w:spacing w:val="-3"/>
        </w:rPr>
        <w:t>置</w:t>
      </w:r>
      <w:r>
        <w:t>示例</w:t>
      </w:r>
      <w:r>
        <w:rPr>
          <w:rFonts w:ascii="Times New Roman" w:eastAsia="Times New Roman"/>
        </w:rPr>
        <w:tab/>
        <w:t>15</w:t>
      </w:r>
    </w:p>
    <w:p>
      <w:pPr>
        <w:pStyle w:val="BodyText"/>
        <w:tabs>
          <w:tab w:val="left" w:pos="2000"/>
          <w:tab w:val="right" w:leader="dot" w:pos="10532"/>
        </w:tabs>
        <w:spacing w:before="142"/>
        <w:ind w:left="1176"/>
        <w:rPr>
          <w:rFonts w:ascii="Times New Roman" w:eastAsia="Times New Roman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820830</wp:posOffset>
            </wp:positionV>
            <wp:extent cx="7112000" cy="48768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附</w:t>
      </w:r>
      <w:r>
        <w:rPr>
          <w:spacing w:val="50"/>
        </w:rPr>
        <w:t>录</w:t>
      </w:r>
      <w:r>
        <w:rPr>
          <w:rFonts w:ascii="Times New Roman" w:eastAsia="Times New Roman"/>
        </w:rPr>
        <w:t>C</w:t>
        <w:tab/>
      </w:r>
      <w:r>
        <w:t>英</w:t>
      </w:r>
      <w:r>
        <w:rPr>
          <w:spacing w:val="-3"/>
        </w:rPr>
        <w:t>文</w:t>
      </w:r>
      <w:r>
        <w:t>书</w:t>
      </w:r>
      <w:r>
        <w:rPr>
          <w:spacing w:val="-3"/>
        </w:rPr>
        <w:t>写</w:t>
      </w:r>
      <w:r>
        <w:t>标准</w:t>
      </w:r>
      <w:r>
        <w:rPr>
          <w:rFonts w:ascii="Times New Roman" w:eastAsia="Times New Roman"/>
        </w:rPr>
        <w:tab/>
        <w:t>29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</w:rPr>
      </w:pPr>
      <w:r>
        <w:pict>
          <v:shape id="_x0000_s1034" type="#_x0000_t202" style="width:4pt;height:10pt;margin-top:14.1pt;margin-left:524.88pt;mso-position-horizontal-relative:page;mso-wrap-distance-left:0;mso-wrap-distance-right:0;position:absolute;z-index:-251654144" filled="f" stroked="f">
            <v:textbox inset="0,0,0,0">
              <w:txbxContent>
                <w:p>
                  <w:pPr>
                    <w:spacing w:before="0" w:line="199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sz w:val="18"/>
                    </w:rPr>
                    <w:t>I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Times New Roman"/>
        </w:rPr>
        <w:sectPr>
          <w:headerReference w:type="default" r:id="rId6"/>
          <w:pgSz w:w="11910" w:h="16840"/>
          <w:pgMar w:top="1640" w:right="160" w:bottom="280" w:left="240" w:header="1448" w:footer="0"/>
          <w:pgNumType w:start="6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headerReference w:type="even" r:id="rId7"/>
          <w:headerReference w:type="default" r:id="rId8"/>
          <w:pgSz w:w="11910" w:h="16840"/>
          <w:pgMar w:top="1580" w:right="160" w:bottom="280" w:left="240" w:header="0" w:footer="0"/>
          <w:pgNumType w:start="7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headerReference w:type="even" r:id="rId9"/>
          <w:headerReference w:type="default" r:id="rId10"/>
          <w:pgSz w:w="11910" w:h="16840"/>
          <w:pgMar w:top="1580" w:right="160" w:bottom="280" w:left="240" w:header="0" w:footer="0"/>
          <w:pgNumType w:start="8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pStyle w:val="BodyText"/>
        <w:ind w:left="286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028503" cy="2533650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headerReference w:type="even" r:id="rId11"/>
          <w:headerReference w:type="default" r:id="rId12"/>
          <w:pgSz w:w="11910" w:h="16840"/>
          <w:pgMar w:top="1580" w:right="160" w:bottom="280" w:left="240" w:header="0" w:footer="0"/>
          <w:pgNumType w:start="9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Heading1"/>
        <w:ind w:left="200"/>
        <w:rPr>
          <w:rFonts w:ascii="黑体" w:eastAsia="黑体" w:hint="eastAsia"/>
        </w:rPr>
      </w:pPr>
      <w:bookmarkStart w:id="1" w:name="前  言"/>
      <w:bookmarkEnd w:id="1"/>
      <w:r>
        <w:rPr>
          <w:rFonts w:ascii="黑体" w:eastAsia="黑体" w:hint="eastAsia"/>
        </w:rPr>
        <w:t>前 言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3"/>
        <w:rPr>
          <w:rFonts w:ascii="黑体"/>
          <w:sz w:val="31"/>
        </w:rPr>
      </w:pPr>
    </w:p>
    <w:p>
      <w:pPr>
        <w:pStyle w:val="BodyText"/>
        <w:spacing w:before="1" w:line="278" w:lineRule="auto"/>
        <w:ind w:left="1175" w:right="968" w:firstLine="420"/>
      </w:pPr>
      <w:r>
        <w:rPr>
          <w:spacing w:val="-8"/>
        </w:rPr>
        <w:t>为加强城市道路路名牌的管理，规范路名牌式样、设置方式及标示，提高武汉市城市品味，展现城</w:t>
      </w:r>
      <w:r>
        <w:rPr>
          <w:spacing w:val="-5"/>
        </w:rPr>
        <w:t>市精神风貌，结合武汉路名牌设置现状和发展需要，制定本规范。</w:t>
      </w:r>
    </w:p>
    <w:p>
      <w:pPr>
        <w:pStyle w:val="BodyText"/>
        <w:spacing w:line="278" w:lineRule="auto"/>
        <w:ind w:left="1175" w:right="926" w:firstLine="419"/>
      </w:pPr>
      <w:r>
        <w:t>本规范主要技术内容包括：</w:t>
      </w:r>
      <w:r>
        <w:rPr>
          <w:rFonts w:ascii="Times New Roman" w:eastAsia="Times New Roman"/>
        </w:rPr>
        <w:t>1.</w:t>
      </w:r>
      <w:r>
        <w:t>范围；</w:t>
      </w:r>
      <w:r>
        <w:rPr>
          <w:rFonts w:ascii="Times New Roman" w:eastAsia="Times New Roman"/>
        </w:rPr>
        <w:t>2.</w:t>
      </w:r>
      <w:r>
        <w:t>规范性引用文件；</w:t>
      </w:r>
      <w:r>
        <w:rPr>
          <w:rFonts w:ascii="Times New Roman" w:eastAsia="Times New Roman"/>
        </w:rPr>
        <w:t>3.</w:t>
      </w:r>
      <w:r>
        <w:t>术语和定义；</w:t>
      </w:r>
      <w:r>
        <w:rPr>
          <w:rFonts w:ascii="Times New Roman" w:eastAsia="Times New Roman"/>
        </w:rPr>
        <w:t>4.</w:t>
      </w:r>
      <w:r>
        <w:t>基本规定；</w:t>
      </w:r>
      <w:r>
        <w:rPr>
          <w:rFonts w:ascii="Times New Roman" w:eastAsia="Times New Roman"/>
        </w:rPr>
        <w:t>5.</w:t>
      </w:r>
      <w:r>
        <w:t>路名牌式样和选用；</w:t>
      </w:r>
      <w:r>
        <w:rPr>
          <w:rFonts w:ascii="Times New Roman" w:eastAsia="Times New Roman"/>
        </w:rPr>
        <w:t>6.</w:t>
      </w:r>
      <w:r>
        <w:t>路名牌安装和设置；附录</w:t>
      </w:r>
      <w:r>
        <w:rPr>
          <w:rFonts w:ascii="Times New Roman" w:eastAsia="Times New Roman"/>
        </w:rPr>
        <w:t>A</w:t>
      </w:r>
      <w:r>
        <w:t>；附录</w:t>
      </w:r>
      <w:r>
        <w:rPr>
          <w:rFonts w:ascii="Times New Roman" w:eastAsia="Times New Roman"/>
        </w:rPr>
        <w:t>B</w:t>
      </w:r>
      <w:r>
        <w:t>；附录</w:t>
      </w:r>
      <w:r>
        <w:rPr>
          <w:rFonts w:ascii="Times New Roman" w:eastAsia="Times New Roman"/>
        </w:rPr>
        <w:t>C</w:t>
      </w:r>
      <w:r>
        <w:t>。</w:t>
      </w:r>
    </w:p>
    <w:p>
      <w:pPr>
        <w:pStyle w:val="BodyText"/>
        <w:spacing w:line="278" w:lineRule="auto"/>
        <w:ind w:left="1175" w:right="968" w:firstLine="420"/>
        <w:jc w:val="both"/>
      </w:pPr>
      <w:r>
        <w:rPr>
          <w:spacing w:val="-8"/>
        </w:rPr>
        <w:t>本规范由武汉市城市管理执法委员会负责管理，由武汉市环境卫生科学研究院负责具体技术内容的</w:t>
      </w:r>
      <w:r>
        <w:rPr>
          <w:spacing w:val="-11"/>
        </w:rPr>
        <w:t>解释，执行过程中如有意见或建议，请反馈至武汉市环境卫生科学研究院</w:t>
      </w:r>
      <w:r>
        <w:rPr>
          <w:spacing w:val="-3"/>
        </w:rPr>
        <w:t>（</w:t>
      </w:r>
      <w:r>
        <w:rPr>
          <w:spacing w:val="-6"/>
        </w:rPr>
        <w:t>地址：武汉市江岸区云林街</w:t>
      </w:r>
      <w:r>
        <w:rPr>
          <w:rFonts w:ascii="Times New Roman" w:eastAsia="Times New Roman"/>
          <w:spacing w:val="-6"/>
        </w:rPr>
        <w:t>69</w:t>
      </w:r>
      <w:r>
        <w:rPr>
          <w:spacing w:val="-4"/>
        </w:rPr>
        <w:t>号；邮政编码：</w:t>
      </w:r>
      <w:r>
        <w:rPr>
          <w:rFonts w:ascii="Times New Roman" w:eastAsia="Times New Roman"/>
        </w:rPr>
        <w:t>430015</w:t>
      </w:r>
      <w:r>
        <w:t>）。</w:t>
      </w:r>
    </w:p>
    <w:p>
      <w:pPr>
        <w:pStyle w:val="BodyText"/>
        <w:spacing w:line="278" w:lineRule="auto"/>
        <w:ind w:left="1596" w:right="1293" w:hanging="1"/>
        <w:jc w:val="both"/>
      </w:pPr>
      <w:r>
        <w:t>本规范起草单位：武汉市环境卫生科学研究院  武汉市城市管理执法委员会市政设施管理处本规范主要起草人：喻 晓，李 文，赵 欣，王 薇，丁瑛韬，汤建化，吴 珂，刘 晓，</w:t>
      </w:r>
    </w:p>
    <w:p>
      <w:pPr>
        <w:pStyle w:val="BodyText"/>
        <w:spacing w:line="269" w:lineRule="exact"/>
        <w:ind w:left="3488"/>
        <w:jc w:val="both"/>
      </w:pPr>
      <w:r>
        <w:t>邓妮芬，朱 倩，郑 婷，左 程，王 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230703</wp:posOffset>
            </wp:positionV>
            <wp:extent cx="4028503" cy="2533650"/>
            <wp:effectExtent l="0" t="0" r="0" b="0"/>
            <wp:wrapTopAndBottom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headerReference w:type="even" r:id="rId13"/>
          <w:headerReference w:type="default" r:id="rId14"/>
          <w:pgSz w:w="11910" w:h="16840"/>
          <w:pgMar w:top="1640" w:right="160" w:bottom="280" w:left="240" w:header="1448" w:footer="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860"/>
        <w:rPr>
          <w:sz w:val="20"/>
        </w:rPr>
      </w:pPr>
      <w:r>
        <w:rPr>
          <w:sz w:val="20"/>
        </w:rPr>
        <w:drawing>
          <wp:inline distT="0" distB="0" distL="0" distR="0">
            <wp:extent cx="4028503" cy="2533650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even" r:id="rId15"/>
          <w:headerReference w:type="default" r:id="rId16"/>
          <w:pgSz w:w="11910" w:h="16840"/>
          <w:pgMar w:top="1580" w:right="160" w:bottom="280" w:left="240" w:header="0" w:footer="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860"/>
        <w:rPr>
          <w:sz w:val="20"/>
        </w:rPr>
      </w:pPr>
      <w:r>
        <w:rPr>
          <w:sz w:val="20"/>
        </w:rPr>
        <w:drawing>
          <wp:inline distT="0" distB="0" distL="0" distR="0">
            <wp:extent cx="4028503" cy="2533650"/>
            <wp:effectExtent l="0" t="0" r="0" b="0"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even" r:id="rId17"/>
          <w:headerReference w:type="default" r:id="rId18"/>
          <w:pgSz w:w="11910" w:h="16840"/>
          <w:pgMar w:top="1580" w:right="160" w:bottom="280" w:left="240" w:header="0" w:footer="0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860"/>
        <w:rPr>
          <w:sz w:val="20"/>
        </w:rPr>
      </w:pPr>
      <w:r>
        <w:rPr>
          <w:sz w:val="20"/>
        </w:rPr>
        <w:drawing>
          <wp:inline distT="0" distB="0" distL="0" distR="0">
            <wp:extent cx="4028503" cy="2533650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even" r:id="rId19"/>
          <w:headerReference w:type="default" r:id="rId20"/>
          <w:pgSz w:w="11910" w:h="16840"/>
          <w:pgMar w:top="1580" w:right="160" w:bottom="280" w:left="240" w:header="0" w:footer="0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Heading1"/>
        <w:rPr>
          <w:rFonts w:ascii="黑体" w:eastAsia="黑体" w:hint="eastAsia"/>
        </w:rPr>
      </w:pPr>
      <w:bookmarkStart w:id="2" w:name="城市道路路名牌设置技术规范"/>
      <w:bookmarkEnd w:id="2"/>
      <w:r>
        <w:rPr>
          <w:rFonts w:ascii="黑体" w:eastAsia="黑体" w:hint="eastAsia"/>
        </w:rPr>
        <w:t>城市道路路名牌设置技术规范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7"/>
        </w:rPr>
      </w:pPr>
    </w:p>
    <w:p>
      <w:pPr>
        <w:pStyle w:val="ListParagraph"/>
        <w:numPr>
          <w:ilvl w:val="0"/>
          <w:numId w:val="24"/>
        </w:numPr>
        <w:tabs>
          <w:tab w:val="left" w:pos="1493"/>
        </w:tabs>
        <w:spacing w:before="72" w:after="0" w:line="240" w:lineRule="auto"/>
        <w:ind w:left="1492" w:right="0" w:hanging="317"/>
        <w:jc w:val="left"/>
        <w:rPr>
          <w:rFonts w:ascii="黑体" w:eastAsia="黑体" w:hint="eastAsia"/>
          <w:sz w:val="21"/>
        </w:rPr>
      </w:pPr>
      <w:bookmarkStart w:id="3" w:name="1  范围"/>
      <w:bookmarkEnd w:id="3"/>
      <w:r>
        <w:rPr>
          <w:rFonts w:ascii="黑体" w:eastAsia="黑体" w:hint="eastAsia"/>
          <w:spacing w:val="-3"/>
          <w:sz w:val="21"/>
        </w:rPr>
        <w:t>范围</w:t>
      </w:r>
    </w:p>
    <w:p>
      <w:pPr>
        <w:pStyle w:val="BodyText"/>
        <w:spacing w:before="8"/>
        <w:rPr>
          <w:rFonts w:ascii="黑体"/>
          <w:sz w:val="27"/>
        </w:rPr>
      </w:pPr>
    </w:p>
    <w:p>
      <w:pPr>
        <w:pStyle w:val="ListParagraph"/>
        <w:numPr>
          <w:ilvl w:val="1"/>
          <w:numId w:val="24"/>
        </w:numPr>
        <w:tabs>
          <w:tab w:val="left" w:pos="1702"/>
        </w:tabs>
        <w:spacing w:before="1" w:after="0" w:line="240" w:lineRule="auto"/>
        <w:ind w:left="1701" w:right="0" w:hanging="526"/>
        <w:jc w:val="left"/>
        <w:rPr>
          <w:sz w:val="21"/>
        </w:rPr>
      </w:pPr>
      <w:bookmarkStart w:id="4" w:name="1.1  本标准规定了城市道路路名牌设置标准和设置要求。"/>
      <w:bookmarkEnd w:id="4"/>
      <w:r>
        <w:rPr>
          <w:spacing w:val="-3"/>
          <w:sz w:val="21"/>
        </w:rPr>
        <w:t>本标准规定了城市道路路名牌设置标准和设置要求。</w:t>
      </w:r>
    </w:p>
    <w:p>
      <w:pPr>
        <w:pStyle w:val="ListParagraph"/>
        <w:numPr>
          <w:ilvl w:val="1"/>
          <w:numId w:val="24"/>
        </w:numPr>
        <w:tabs>
          <w:tab w:val="left" w:pos="1704"/>
        </w:tabs>
        <w:spacing w:before="42" w:after="0" w:line="278" w:lineRule="auto"/>
        <w:ind w:left="1176" w:right="968" w:firstLine="0"/>
        <w:jc w:val="left"/>
        <w:rPr>
          <w:sz w:val="21"/>
        </w:rPr>
      </w:pPr>
      <w:bookmarkStart w:id="5" w:name="1.2  本标准适用于城市道路路名牌的制作、施工和安装。其它道路路名牌可参照执行"/>
      <w:bookmarkEnd w:id="5"/>
      <w:r>
        <w:rPr>
          <w:spacing w:val="-3"/>
          <w:sz w:val="21"/>
        </w:rPr>
        <w:t>本标准适用于城市道路路名牌的制作、施工和安装。其它道路路名牌可参照执行。指示牌设置标</w:t>
      </w:r>
      <w:r>
        <w:rPr>
          <w:spacing w:val="-3"/>
          <w:sz w:val="21"/>
        </w:rPr>
        <w:t>准，各区自行制定标准。本标准范围不包括指示牌的设置。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24"/>
        </w:numPr>
        <w:tabs>
          <w:tab w:val="left" w:pos="1493"/>
        </w:tabs>
        <w:spacing w:before="0" w:after="0" w:line="240" w:lineRule="auto"/>
        <w:ind w:left="1492" w:right="0" w:hanging="318"/>
        <w:jc w:val="left"/>
        <w:rPr>
          <w:rFonts w:ascii="黑体" w:eastAsia="黑体" w:hint="eastAsia"/>
          <w:sz w:val="21"/>
        </w:rPr>
      </w:pPr>
      <w:bookmarkStart w:id="6" w:name="2  规范性引用文件"/>
      <w:bookmarkEnd w:id="6"/>
      <w:r>
        <w:rPr>
          <w:rFonts w:ascii="黑体" w:eastAsia="黑体" w:hint="eastAsia"/>
          <w:spacing w:val="-3"/>
          <w:sz w:val="21"/>
        </w:rPr>
        <w:t>规范性引用文件</w:t>
      </w:r>
    </w:p>
    <w:p>
      <w:pPr>
        <w:pStyle w:val="BodyText"/>
        <w:spacing w:before="6"/>
        <w:rPr>
          <w:rFonts w:ascii="黑体"/>
          <w:sz w:val="27"/>
        </w:rPr>
      </w:pPr>
    </w:p>
    <w:p>
      <w:pPr>
        <w:pStyle w:val="BodyText"/>
        <w:spacing w:before="1" w:line="278" w:lineRule="auto"/>
        <w:ind w:left="1175" w:right="968" w:firstLine="420"/>
      </w:pPr>
      <w:r>
        <w:rPr>
          <w:spacing w:val="-8"/>
        </w:rPr>
        <w:t>下列文件对于本文件的应用是必不可少的。凡是注明日期的引用文件，仅所注日期的版本适用于本</w:t>
      </w:r>
      <w:r>
        <w:rPr>
          <w:spacing w:val="-5"/>
        </w:rPr>
        <w:t>文件。凡是未注明日期的引用文件，其最新版本</w:t>
      </w:r>
      <w:r>
        <w:rPr>
          <w:spacing w:val="-3"/>
        </w:rPr>
        <w:t>（包括所有的修改单）适用于本规范。</w:t>
      </w:r>
    </w:p>
    <w:p>
      <w:pPr>
        <w:pStyle w:val="BodyText"/>
        <w:tabs>
          <w:tab w:val="left" w:pos="2915"/>
        </w:tabs>
        <w:spacing w:line="269" w:lineRule="exact"/>
        <w:ind w:left="1595"/>
      </w:pPr>
      <w:r>
        <w:rPr>
          <w:rFonts w:ascii="Times New Roman" w:eastAsia="Times New Roman"/>
        </w:rPr>
        <w:t>GB/</w:t>
      </w:r>
      <w:r>
        <w:rPr>
          <w:rFonts w:ascii="Times New Roman" w:eastAsia="Times New Roman"/>
          <w:spacing w:val="-4"/>
        </w:rPr>
        <w:t xml:space="preserve"> </w:t>
      </w:r>
      <w:r>
        <w:rPr>
          <w:rFonts w:ascii="Times New Roman" w:eastAsia="Times New Roman"/>
        </w:rPr>
        <w:t>T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18833</w:t>
        <w:tab/>
      </w:r>
      <w:r>
        <w:rPr>
          <w:spacing w:val="-3"/>
        </w:rPr>
        <w:t>道路交通反光膜</w:t>
      </w:r>
    </w:p>
    <w:p>
      <w:pPr>
        <w:pStyle w:val="BodyText"/>
        <w:tabs>
          <w:tab w:val="left" w:pos="3021"/>
        </w:tabs>
        <w:spacing w:before="43"/>
        <w:ind w:left="1595"/>
      </w:pPr>
      <w:r>
        <w:rPr>
          <w:rFonts w:ascii="Times New Roman" w:eastAsia="Times New Roman"/>
        </w:rPr>
        <w:t>GB/T 10001.1</w:t>
        <w:tab/>
      </w:r>
      <w:r>
        <w:rPr>
          <w:spacing w:val="-3"/>
        </w:rPr>
        <w:t>标志用公共信息图形符号</w:t>
      </w:r>
    </w:p>
    <w:p>
      <w:pPr>
        <w:pStyle w:val="BodyText"/>
        <w:tabs>
          <w:tab w:val="left" w:pos="2675"/>
        </w:tabs>
        <w:spacing w:before="42"/>
        <w:ind w:left="1595"/>
      </w:pPr>
      <w:r>
        <w:pict>
          <v:group id="_x0000_s1035" style="width:474.3pt;height:372.5pt;margin-top:18.79pt;margin-left:70.8pt;mso-position-horizontal-relative:page;mso-wrap-distance-left:0;mso-wrap-distance-right:0;position:absolute;z-index:-251651072" coordorigin="1416,376" coordsize="9486,7450">
            <v:shape id="_x0000_s1036" type="#_x0000_t202" style="width:4674;height:845;left:1416;position:absolute;top:375" filled="f" stroked="f">
              <v:textbox inset="0,0,0,0">
                <w:txbxContent>
                  <w:p>
                    <w:pPr>
                      <w:tabs>
                        <w:tab w:val="left" w:pos="1500"/>
                      </w:tabs>
                      <w:spacing w:before="0" w:line="247" w:lineRule="exact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GB</w:t>
                    </w:r>
                    <w:r>
                      <w:rPr>
                        <w:rFonts w:ascii="Times New Roman" w:eastAsia="Times New Roman"/>
                        <w:spacing w:val="-2"/>
                        <w:sz w:val="2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51038</w:t>
                      <w:tab/>
                    </w:r>
                    <w:r>
                      <w:rPr>
                        <w:spacing w:val="-3"/>
                        <w:sz w:val="21"/>
                      </w:rPr>
                      <w:t>城市道路交通标志和标线设置规范</w:t>
                    </w:r>
                  </w:p>
                  <w:p>
                    <w:pPr>
                      <w:spacing w:before="11" w:line="240" w:lineRule="auto"/>
                      <w:rPr>
                        <w:sz w:val="27"/>
                      </w:rPr>
                    </w:pPr>
                  </w:p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bookmarkStart w:id="7" w:name="3  术语和定义"/>
                    <w:bookmarkEnd w:id="7"/>
                    <w:r>
                      <w:rPr>
                        <w:rFonts w:ascii="黑体" w:eastAsia="黑体" w:hint="eastAsia"/>
                        <w:sz w:val="21"/>
                      </w:rPr>
                      <w:t>3 术语和定义</w:t>
                    </w:r>
                  </w:p>
                </w:txbxContent>
              </v:textbox>
            </v:shape>
            <v:shape id="_x0000_s1037" type="#_x0000_t202" style="width:9486;height:5359;left:1416;position:absolute;top:163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rFonts w:ascii="黑体"/>
                        <w:sz w:val="21"/>
                      </w:rPr>
                    </w:pPr>
                    <w:bookmarkStart w:id="8" w:name="3.1"/>
                    <w:bookmarkEnd w:id="8"/>
                    <w:r>
                      <w:rPr>
                        <w:rFonts w:ascii="黑体"/>
                        <w:sz w:val="21"/>
                      </w:rPr>
                      <w:t>3.1</w:t>
                    </w:r>
                  </w:p>
                  <w:p>
                    <w:pPr>
                      <w:spacing w:before="6" w:line="240" w:lineRule="auto"/>
                      <w:rPr>
                        <w:rFonts w:ascii="黑体"/>
                        <w:sz w:val="15"/>
                      </w:rPr>
                    </w:pPr>
                  </w:p>
                  <w:p>
                    <w:pPr>
                      <w:spacing w:before="0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路名牌 road name plates</w:t>
                    </w:r>
                  </w:p>
                  <w:p>
                    <w:pPr>
                      <w:spacing w:before="43" w:line="278" w:lineRule="auto"/>
                      <w:ind w:left="0" w:right="18" w:firstLine="42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5"/>
                        <w:sz w:val="21"/>
                      </w:rPr>
                      <w:t>标识道路名称的地名标牌，由预埋件、立杆、连接件和牌面等组成。主要标示道路名称、方向指示、</w:t>
                    </w:r>
                    <w:r>
                      <w:rPr>
                        <w:spacing w:val="-7"/>
                        <w:sz w:val="21"/>
                      </w:rPr>
                      <w:t>指示距离等内容，属市政公共设施，设在主要交通十字、丁字路口，帮助行人以及过往车辆识别方向。</w:t>
                    </w:r>
                  </w:p>
                  <w:p>
                    <w:pPr>
                      <w:spacing w:before="156"/>
                      <w:ind w:left="0" w:right="0" w:firstLine="0"/>
                      <w:jc w:val="left"/>
                      <w:rPr>
                        <w:rFonts w:ascii="黑体"/>
                        <w:sz w:val="21"/>
                      </w:rPr>
                    </w:pPr>
                    <w:bookmarkStart w:id="9" w:name="3.2"/>
                    <w:bookmarkEnd w:id="9"/>
                    <w:r>
                      <w:rPr>
                        <w:rFonts w:ascii="黑体"/>
                        <w:sz w:val="21"/>
                      </w:rPr>
                      <w:t>3.2</w:t>
                    </w:r>
                  </w:p>
                  <w:p>
                    <w:pPr>
                      <w:spacing w:before="7" w:line="240" w:lineRule="auto"/>
                      <w:rPr>
                        <w:rFonts w:ascii="黑体"/>
                        <w:sz w:val="15"/>
                      </w:rPr>
                    </w:pPr>
                  </w:p>
                  <w:p>
                    <w:pPr>
                      <w:spacing w:before="0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指示牌 destination board</w:t>
                    </w:r>
                  </w:p>
                  <w:p>
                    <w:pPr>
                      <w:spacing w:before="43" w:line="278" w:lineRule="auto"/>
                      <w:ind w:left="0" w:right="27" w:firstLine="42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指示方向的牌子，各单位企业用于导视其地理位置的牌子，如各政府机关位置指示牌，酒店宾馆、停车场导向牌等都属于指示牌的范筹。</w:t>
                    </w:r>
                  </w:p>
                  <w:p>
                    <w:pPr>
                      <w:spacing w:before="155"/>
                      <w:ind w:left="0" w:right="0" w:firstLine="0"/>
                      <w:jc w:val="left"/>
                      <w:rPr>
                        <w:rFonts w:ascii="黑体"/>
                        <w:sz w:val="21"/>
                      </w:rPr>
                    </w:pPr>
                    <w:bookmarkStart w:id="10" w:name="3.3"/>
                    <w:bookmarkEnd w:id="10"/>
                    <w:r>
                      <w:rPr>
                        <w:rFonts w:ascii="黑体"/>
                        <w:sz w:val="21"/>
                      </w:rPr>
                      <w:t>3.3</w:t>
                    </w:r>
                  </w:p>
                  <w:p>
                    <w:pPr>
                      <w:spacing w:before="7" w:line="240" w:lineRule="auto"/>
                      <w:rPr>
                        <w:rFonts w:ascii="黑体"/>
                        <w:sz w:val="15"/>
                      </w:rPr>
                    </w:pPr>
                  </w:p>
                  <w:p>
                    <w:pPr>
                      <w:spacing w:before="0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逆反射 reflex reflection</w:t>
                    </w:r>
                  </w:p>
                  <w:p>
                    <w:pPr>
                      <w:spacing w:before="43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反射光线从靠近入射光线的反方向，向光源返回的反射。</w:t>
                    </w:r>
                  </w:p>
                  <w:p>
                    <w:pPr>
                      <w:spacing w:before="7" w:line="240" w:lineRule="auto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黑体"/>
                        <w:sz w:val="21"/>
                      </w:rPr>
                    </w:pPr>
                    <w:bookmarkStart w:id="11" w:name="3.4"/>
                    <w:bookmarkEnd w:id="11"/>
                    <w:r>
                      <w:rPr>
                        <w:rFonts w:ascii="黑体"/>
                        <w:sz w:val="21"/>
                      </w:rPr>
                      <w:t>3.4</w:t>
                    </w:r>
                  </w:p>
                  <w:p>
                    <w:pPr>
                      <w:spacing w:before="6" w:line="240" w:lineRule="auto"/>
                      <w:rPr>
                        <w:rFonts w:ascii="黑体"/>
                        <w:sz w:val="15"/>
                      </w:rPr>
                    </w:pPr>
                  </w:p>
                  <w:p>
                    <w:pPr>
                      <w:spacing w:before="1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逆反射系数 reflex reflection coefficient</w:t>
                    </w:r>
                  </w:p>
                  <w:p>
                    <w:pPr>
                      <w:spacing w:before="43" w:line="240" w:lineRule="exact"/>
                      <w:ind w:left="4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检测各种逆反射材料重要的技术指标。</w:t>
                    </w:r>
                  </w:p>
                </w:txbxContent>
              </v:textbox>
            </v:shape>
            <v:shape id="_x0000_s1038" type="#_x0000_t202" style="width:110;height:200;left:10466;position:absolute;top:7625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257726</wp:posOffset>
            </wp:positionV>
            <wp:extent cx="7112000" cy="48768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17733</w:t>
        <w:tab/>
      </w:r>
      <w:r>
        <w:rPr>
          <w:spacing w:val="-3"/>
        </w:rPr>
        <w:t>地名 标志</w:t>
      </w:r>
    </w:p>
    <w:p>
      <w:pPr>
        <w:spacing w:after="0"/>
        <w:sectPr>
          <w:headerReference w:type="even" r:id="rId21"/>
          <w:headerReference w:type="default" r:id="rId22"/>
          <w:pgSz w:w="11910" w:h="16840"/>
          <w:pgMar w:top="1640" w:right="160" w:bottom="280" w:left="240" w:header="1448" w:footer="0"/>
          <w:pgNumType w:start="14"/>
          <w:cols w:space="708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1493"/>
        </w:tabs>
        <w:spacing w:before="72" w:after="0" w:line="240" w:lineRule="auto"/>
        <w:ind w:left="1492" w:right="0" w:hanging="317"/>
        <w:jc w:val="left"/>
        <w:rPr>
          <w:rFonts w:ascii="黑体" w:eastAsia="黑体" w:hint="eastAsia"/>
          <w:sz w:val="21"/>
        </w:rPr>
      </w:pPr>
      <w:bookmarkStart w:id="12" w:name="4  基本规定"/>
      <w:bookmarkEnd w:id="12"/>
      <w:r>
        <w:rPr>
          <w:rFonts w:ascii="黑体" w:eastAsia="黑体" w:hint="eastAsia"/>
          <w:spacing w:val="-3"/>
          <w:sz w:val="21"/>
        </w:rPr>
        <w:t>基本规定</w:t>
      </w:r>
    </w:p>
    <w:p>
      <w:pPr>
        <w:pStyle w:val="BodyText"/>
        <w:spacing w:before="7"/>
        <w:rPr>
          <w:rFonts w:ascii="黑体"/>
          <w:sz w:val="27"/>
        </w:rPr>
      </w:pPr>
    </w:p>
    <w:p>
      <w:pPr>
        <w:pStyle w:val="ListParagraph"/>
        <w:numPr>
          <w:ilvl w:val="1"/>
          <w:numId w:val="20"/>
        </w:numPr>
        <w:tabs>
          <w:tab w:val="left" w:pos="1704"/>
        </w:tabs>
        <w:spacing w:before="0" w:after="0" w:line="278" w:lineRule="auto"/>
        <w:ind w:left="1176" w:right="968" w:firstLine="0"/>
        <w:jc w:val="left"/>
        <w:rPr>
          <w:sz w:val="21"/>
        </w:rPr>
      </w:pPr>
      <w:bookmarkStart w:id="13" w:name="4.1  路名牌的设置应根据周边环境，结合道路结构、交通状况、周边绿化及设施等，"/>
      <w:bookmarkEnd w:id="13"/>
      <w:r>
        <w:rPr>
          <w:spacing w:val="-3"/>
          <w:sz w:val="21"/>
        </w:rPr>
        <w:t>路名牌的设置应根据周边环境，结合道路结构、交通状况、周边绿化及设施等，设置在行人、车</w:t>
      </w:r>
      <w:r>
        <w:rPr>
          <w:spacing w:val="-3"/>
          <w:sz w:val="21"/>
        </w:rPr>
        <w:t>辆最易看见的位置，牌头应不被遮挡。</w:t>
      </w:r>
    </w:p>
    <w:p>
      <w:pPr>
        <w:pStyle w:val="ListParagraph"/>
        <w:numPr>
          <w:ilvl w:val="1"/>
          <w:numId w:val="20"/>
        </w:numPr>
        <w:tabs>
          <w:tab w:val="left" w:pos="1702"/>
        </w:tabs>
        <w:spacing w:before="0" w:after="0" w:line="269" w:lineRule="exact"/>
        <w:ind w:left="1701" w:right="0" w:hanging="526"/>
        <w:jc w:val="left"/>
        <w:rPr>
          <w:sz w:val="21"/>
        </w:rPr>
      </w:pPr>
      <w:bookmarkStart w:id="14" w:name="4.2  路名牌分为A型、B型、C型三种类型，宜与城市市政道路一起配套建设，其中"/>
      <w:bookmarkEnd w:id="14"/>
      <w:r>
        <w:rPr>
          <w:spacing w:val="-12"/>
          <w:sz w:val="21"/>
        </w:rPr>
        <w:t xml:space="preserve">路名牌分为 </w:t>
      </w:r>
      <w:r>
        <w:rPr>
          <w:sz w:val="21"/>
        </w:rPr>
        <w:t>A</w:t>
      </w:r>
      <w:r>
        <w:rPr>
          <w:spacing w:val="-19"/>
          <w:sz w:val="21"/>
        </w:rPr>
        <w:t xml:space="preserve"> 型、</w:t>
      </w:r>
      <w:r>
        <w:rPr>
          <w:sz w:val="21"/>
        </w:rPr>
        <w:t>B</w:t>
      </w:r>
      <w:r>
        <w:rPr>
          <w:spacing w:val="-18"/>
          <w:sz w:val="21"/>
        </w:rPr>
        <w:t xml:space="preserve"> 型、</w:t>
      </w:r>
      <w:r>
        <w:rPr>
          <w:sz w:val="21"/>
        </w:rPr>
        <w:t>C</w:t>
      </w:r>
      <w:r>
        <w:rPr>
          <w:spacing w:val="-9"/>
          <w:sz w:val="21"/>
        </w:rPr>
        <w:t xml:space="preserve"> 型三种类型，宜与城市市政道路一起配套建设，其中：</w:t>
      </w:r>
    </w:p>
    <w:p>
      <w:pPr>
        <w:pStyle w:val="ListParagraph"/>
        <w:numPr>
          <w:ilvl w:val="2"/>
          <w:numId w:val="20"/>
        </w:numPr>
        <w:tabs>
          <w:tab w:val="left" w:pos="2017"/>
        </w:tabs>
        <w:spacing w:before="43" w:after="0" w:line="278" w:lineRule="auto"/>
        <w:ind w:left="2016" w:right="972" w:hanging="418"/>
        <w:jc w:val="left"/>
        <w:rPr>
          <w:sz w:val="21"/>
        </w:rPr>
      </w:pPr>
      <w:bookmarkStart w:id="15" w:name="a） A型路名牌设置在道路交叉口人行道转角圆弧的顶点处，选用A型路名牌的各路口转"/>
      <w:bookmarkEnd w:id="15"/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39"/>
          <w:sz w:val="21"/>
        </w:rPr>
        <w:t xml:space="preserve"> </w:t>
      </w:r>
      <w:r>
        <w:rPr>
          <w:spacing w:val="-4"/>
          <w:sz w:val="21"/>
        </w:rPr>
        <w:t xml:space="preserve">型路名牌设置在道路交叉口人行道转角圆弧的顶点处，选用 </w:t>
      </w:r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39"/>
          <w:sz w:val="21"/>
        </w:rPr>
        <w:t xml:space="preserve"> </w:t>
      </w:r>
      <w:r>
        <w:rPr>
          <w:spacing w:val="-3"/>
          <w:sz w:val="21"/>
        </w:rPr>
        <w:t>型路名牌的各路口转角均要</w:t>
      </w:r>
      <w:r>
        <w:rPr>
          <w:spacing w:val="-2"/>
          <w:sz w:val="21"/>
        </w:rPr>
        <w:t>设置路名牌；</w:t>
      </w:r>
    </w:p>
    <w:p>
      <w:pPr>
        <w:pStyle w:val="ListParagraph"/>
        <w:numPr>
          <w:ilvl w:val="2"/>
          <w:numId w:val="20"/>
        </w:numPr>
        <w:tabs>
          <w:tab w:val="left" w:pos="2017"/>
        </w:tabs>
        <w:spacing w:before="0" w:after="0" w:line="278" w:lineRule="auto"/>
        <w:ind w:left="2016" w:right="968" w:hanging="420"/>
        <w:jc w:val="left"/>
        <w:rPr>
          <w:sz w:val="21"/>
        </w:rPr>
      </w:pPr>
      <w:bookmarkStart w:id="16" w:name="b） B型、C型路名牌宜设置在道路交叉口人行道转角圆弧与直线的切点处，选用B、C"/>
      <w:bookmarkEnd w:id="16"/>
      <w:r>
        <w:rPr>
          <w:rFonts w:ascii="Times New Roman" w:eastAsia="Times New Roman"/>
          <w:sz w:val="21"/>
        </w:rPr>
        <w:t>B</w:t>
      </w:r>
      <w:r>
        <w:rPr>
          <w:rFonts w:ascii="Times New Roman" w:eastAsia="Times New Roman"/>
          <w:spacing w:val="11"/>
          <w:sz w:val="21"/>
        </w:rPr>
        <w:t xml:space="preserve"> </w:t>
      </w:r>
      <w:r>
        <w:rPr>
          <w:spacing w:val="-7"/>
          <w:sz w:val="21"/>
        </w:rPr>
        <w:t>型、</w:t>
      </w:r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8"/>
          <w:sz w:val="21"/>
        </w:rPr>
        <w:t xml:space="preserve"> </w:t>
      </w:r>
      <w:r>
        <w:rPr>
          <w:spacing w:val="-6"/>
          <w:sz w:val="21"/>
        </w:rPr>
        <w:t xml:space="preserve">型路名牌宜设置在道路交叉口人行道转角圆弧与直线的切点处，选用 </w:t>
      </w:r>
      <w:r>
        <w:rPr>
          <w:rFonts w:ascii="Times New Roman" w:eastAsia="Times New Roman"/>
          <w:sz w:val="21"/>
        </w:rPr>
        <w:t>B</w:t>
      </w:r>
      <w:r>
        <w:rPr>
          <w:spacing w:val="-13"/>
          <w:sz w:val="21"/>
        </w:rPr>
        <w:t>、</w:t>
      </w:r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9"/>
          <w:sz w:val="21"/>
        </w:rPr>
        <w:t xml:space="preserve"> </w:t>
      </w:r>
      <w:r>
        <w:rPr>
          <w:spacing w:val="-1"/>
          <w:sz w:val="21"/>
        </w:rPr>
        <w:t>型路名牌</w:t>
      </w:r>
      <w:r>
        <w:rPr>
          <w:spacing w:val="-3"/>
          <w:sz w:val="21"/>
        </w:rPr>
        <w:t>的应在进口道设置路名牌。</w:t>
      </w:r>
    </w:p>
    <w:p>
      <w:pPr>
        <w:pStyle w:val="ListParagraph"/>
        <w:numPr>
          <w:ilvl w:val="1"/>
          <w:numId w:val="20"/>
        </w:numPr>
        <w:tabs>
          <w:tab w:val="left" w:pos="1703"/>
        </w:tabs>
        <w:spacing w:before="0" w:after="0" w:line="269" w:lineRule="exact"/>
        <w:ind w:left="1702" w:right="0" w:hanging="527"/>
        <w:jc w:val="left"/>
        <w:rPr>
          <w:sz w:val="21"/>
        </w:rPr>
      </w:pPr>
      <w:bookmarkStart w:id="17" w:name="4.3  有下列情形时应适当增加或减少路名牌的设置："/>
      <w:bookmarkEnd w:id="17"/>
      <w:r>
        <w:rPr>
          <w:spacing w:val="-3"/>
          <w:sz w:val="21"/>
        </w:rPr>
        <w:t>有下列情形时应适当增加或减少路名牌的设置：</w:t>
      </w:r>
    </w:p>
    <w:p>
      <w:pPr>
        <w:pStyle w:val="ListParagraph"/>
        <w:numPr>
          <w:ilvl w:val="0"/>
          <w:numId w:val="19"/>
        </w:numPr>
        <w:tabs>
          <w:tab w:val="left" w:pos="2017"/>
        </w:tabs>
        <w:spacing w:before="42" w:after="0" w:line="240" w:lineRule="auto"/>
        <w:ind w:left="2016" w:right="0" w:hanging="421"/>
        <w:jc w:val="left"/>
        <w:rPr>
          <w:sz w:val="21"/>
        </w:rPr>
      </w:pPr>
      <w:bookmarkStart w:id="18" w:name="a） 当道路车行道宽度大于40m或路中建有高架道路时，可在部分出口道增设路名牌；"/>
      <w:bookmarkEnd w:id="18"/>
      <w:r>
        <w:rPr>
          <w:spacing w:val="-8"/>
          <w:sz w:val="21"/>
        </w:rPr>
        <w:t xml:space="preserve">当道路车行道宽度大于 </w:t>
      </w:r>
      <w:r>
        <w:rPr>
          <w:rFonts w:ascii="Times New Roman" w:eastAsia="Times New Roman"/>
          <w:sz w:val="21"/>
        </w:rPr>
        <w:t>40m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pacing w:val="-3"/>
          <w:sz w:val="21"/>
        </w:rPr>
        <w:t>或路中建有高架道路时，可在部分出口道增设路名牌；</w:t>
      </w:r>
    </w:p>
    <w:p>
      <w:pPr>
        <w:pStyle w:val="ListParagraph"/>
        <w:numPr>
          <w:ilvl w:val="0"/>
          <w:numId w:val="19"/>
        </w:numPr>
        <w:tabs>
          <w:tab w:val="left" w:pos="2017"/>
        </w:tabs>
        <w:spacing w:before="43" w:after="0" w:line="278" w:lineRule="auto"/>
        <w:ind w:left="2016" w:right="967" w:hanging="420"/>
        <w:jc w:val="left"/>
        <w:rPr>
          <w:sz w:val="21"/>
        </w:rPr>
      </w:pPr>
      <w:bookmarkStart w:id="19" w:name="b） 三岔路口的直行道路顶端应设置路名牌，但若距相邻的路名牌距离小于75m时不再"/>
      <w:bookmarkEnd w:id="19"/>
      <w:r>
        <w:rPr>
          <w:spacing w:val="-3"/>
          <w:sz w:val="21"/>
        </w:rPr>
        <w:t xml:space="preserve">三岔路口的直行道路顶端应设置路名牌，但若距相邻的路名牌距离小于 </w:t>
      </w:r>
      <w:r>
        <w:rPr>
          <w:rFonts w:ascii="Times New Roman" w:eastAsia="Times New Roman"/>
          <w:sz w:val="21"/>
        </w:rPr>
        <w:t>75m</w:t>
      </w:r>
      <w:r>
        <w:rPr>
          <w:rFonts w:ascii="Times New Roman" w:eastAsia="Times New Roman"/>
          <w:spacing w:val="43"/>
          <w:sz w:val="21"/>
        </w:rPr>
        <w:t xml:space="preserve"> </w:t>
      </w:r>
      <w:r>
        <w:rPr>
          <w:spacing w:val="-2"/>
          <w:sz w:val="21"/>
        </w:rPr>
        <w:t>时不再设置路名牌；</w:t>
      </w:r>
    </w:p>
    <w:p>
      <w:pPr>
        <w:pStyle w:val="ListParagraph"/>
        <w:numPr>
          <w:ilvl w:val="0"/>
          <w:numId w:val="19"/>
        </w:numPr>
        <w:tabs>
          <w:tab w:val="left" w:pos="2017"/>
        </w:tabs>
        <w:spacing w:before="0" w:after="0" w:line="269" w:lineRule="exact"/>
        <w:ind w:left="2016" w:right="0" w:hanging="421"/>
        <w:jc w:val="left"/>
        <w:rPr>
          <w:sz w:val="21"/>
        </w:rPr>
      </w:pPr>
      <w:bookmarkStart w:id="20" w:name="c） 路段长度大于400m时或主要过街人行横道处，宜适当增设路名牌。"/>
      <w:bookmarkEnd w:id="20"/>
      <w:r>
        <w:rPr>
          <w:spacing w:val="-10"/>
          <w:sz w:val="21"/>
        </w:rPr>
        <w:t xml:space="preserve">路段长度大于 </w:t>
      </w:r>
      <w:r>
        <w:rPr>
          <w:rFonts w:ascii="Times New Roman" w:eastAsia="Times New Roman"/>
          <w:sz w:val="21"/>
        </w:rPr>
        <w:t>400m</w:t>
      </w:r>
      <w:r>
        <w:rPr>
          <w:rFonts w:ascii="Times New Roman" w:eastAsia="Times New Roman"/>
          <w:spacing w:val="-4"/>
          <w:sz w:val="21"/>
        </w:rPr>
        <w:t xml:space="preserve"> </w:t>
      </w:r>
      <w:r>
        <w:rPr>
          <w:spacing w:val="-3"/>
          <w:sz w:val="21"/>
        </w:rPr>
        <w:t>时或主要过街人行横道处，宜适当增设路名牌。</w:t>
      </w:r>
    </w:p>
    <w:p>
      <w:pPr>
        <w:pStyle w:val="ListParagraph"/>
        <w:numPr>
          <w:ilvl w:val="1"/>
          <w:numId w:val="20"/>
        </w:numPr>
        <w:tabs>
          <w:tab w:val="left" w:pos="1705"/>
        </w:tabs>
        <w:spacing w:before="43" w:after="0" w:line="278" w:lineRule="auto"/>
        <w:ind w:left="1176" w:right="967" w:firstLine="0"/>
        <w:jc w:val="left"/>
        <w:rPr>
          <w:sz w:val="21"/>
        </w:rPr>
      </w:pPr>
      <w:bookmarkStart w:id="21" w:name="4.4  条件具备的情况下，路名牌立杆上宜设二维码，使路名牌具有定位、故障一键举"/>
      <w:bookmarkEnd w:id="21"/>
      <w:r>
        <w:rPr>
          <w:spacing w:val="-3"/>
          <w:sz w:val="21"/>
        </w:rPr>
        <w:t>条件具备的情况下，路名牌立杆上宜设二维码，使路名牌具有定位、故障一键举报、建设养护信</w:t>
      </w:r>
      <w:r>
        <w:rPr>
          <w:spacing w:val="-3"/>
          <w:sz w:val="21"/>
        </w:rPr>
        <w:t>息全程追踪等功能。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20"/>
        </w:numPr>
        <w:tabs>
          <w:tab w:val="left" w:pos="1494"/>
        </w:tabs>
        <w:spacing w:before="1" w:after="0" w:line="240" w:lineRule="auto"/>
        <w:ind w:left="1493" w:right="0" w:hanging="318"/>
        <w:jc w:val="left"/>
        <w:rPr>
          <w:rFonts w:ascii="黑体" w:eastAsia="黑体" w:hint="eastAsia"/>
          <w:sz w:val="21"/>
        </w:rPr>
      </w:pPr>
      <w:bookmarkStart w:id="22" w:name="5  路名牌式样和选用"/>
      <w:bookmarkEnd w:id="22"/>
      <w:r>
        <w:rPr>
          <w:rFonts w:ascii="黑体" w:eastAsia="黑体" w:hint="eastAsia"/>
          <w:spacing w:val="-3"/>
          <w:sz w:val="21"/>
        </w:rPr>
        <w:t>路名牌式样和选用</w:t>
      </w:r>
    </w:p>
    <w:p>
      <w:pPr>
        <w:pStyle w:val="BodyText"/>
        <w:spacing w:before="6"/>
        <w:rPr>
          <w:rFonts w:ascii="黑体"/>
          <w:sz w:val="27"/>
        </w:rPr>
      </w:pPr>
    </w:p>
    <w:p>
      <w:pPr>
        <w:pStyle w:val="ListParagraph"/>
        <w:numPr>
          <w:ilvl w:val="1"/>
          <w:numId w:val="20"/>
        </w:numPr>
        <w:tabs>
          <w:tab w:val="left" w:pos="1703"/>
        </w:tabs>
        <w:spacing w:before="0" w:after="0" w:line="240" w:lineRule="auto"/>
        <w:ind w:left="1702" w:right="0" w:hanging="527"/>
        <w:jc w:val="left"/>
        <w:rPr>
          <w:sz w:val="21"/>
        </w:rPr>
      </w:pPr>
      <w:bookmarkStart w:id="23" w:name="5.1  类型和尺寸"/>
      <w:bookmarkEnd w:id="23"/>
      <w:r>
        <w:rPr>
          <w:spacing w:val="-3"/>
          <w:sz w:val="21"/>
        </w:rPr>
        <w:t>类型和尺寸</w:t>
      </w:r>
    </w:p>
    <w:p>
      <w:pPr>
        <w:pStyle w:val="ListParagraph"/>
        <w:numPr>
          <w:ilvl w:val="0"/>
          <w:numId w:val="18"/>
        </w:numPr>
        <w:tabs>
          <w:tab w:val="left" w:pos="2017"/>
        </w:tabs>
        <w:spacing w:before="93" w:after="0" w:line="278" w:lineRule="auto"/>
        <w:ind w:left="1596" w:right="3859" w:hanging="1"/>
        <w:jc w:val="left"/>
        <w:rPr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42028</wp:posOffset>
            </wp:positionV>
            <wp:extent cx="7112000" cy="48768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4" w:name="a） A型、B型、C型三种类型路名牌式样版面型号参见附录A。"/>
      <w:bookmarkEnd w:id="24"/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7"/>
          <w:sz w:val="21"/>
        </w:rPr>
        <w:t xml:space="preserve"> </w:t>
      </w:r>
      <w:r>
        <w:rPr>
          <w:spacing w:val="-3"/>
          <w:sz w:val="21"/>
        </w:rPr>
        <w:t>型、</w:t>
      </w:r>
      <w:r>
        <w:rPr>
          <w:rFonts w:ascii="Times New Roman" w:eastAsia="Times New Roman"/>
          <w:sz w:val="21"/>
        </w:rPr>
        <w:t>B</w:t>
      </w:r>
      <w:r>
        <w:rPr>
          <w:rFonts w:ascii="Times New Roman" w:eastAsia="Times New Roman"/>
          <w:spacing w:val="7"/>
          <w:sz w:val="21"/>
        </w:rPr>
        <w:t xml:space="preserve"> </w:t>
      </w:r>
      <w:r>
        <w:rPr>
          <w:spacing w:val="-2"/>
          <w:sz w:val="21"/>
        </w:rPr>
        <w:t>型、</w:t>
      </w:r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5"/>
          <w:sz w:val="21"/>
        </w:rPr>
        <w:t xml:space="preserve"> </w:t>
      </w:r>
      <w:r>
        <w:rPr>
          <w:spacing w:val="-6"/>
          <w:sz w:val="21"/>
        </w:rPr>
        <w:t xml:space="preserve">型三种类型路名牌式样版面型号参见附录 </w:t>
      </w:r>
      <w:r>
        <w:rPr>
          <w:rFonts w:ascii="Times New Roman" w:eastAsia="Times New Roman"/>
          <w:sz w:val="21"/>
        </w:rPr>
        <w:t>A</w:t>
      </w:r>
      <w:r>
        <w:rPr>
          <w:sz w:val="21"/>
        </w:rPr>
        <w:t>。</w:t>
      </w:r>
      <w:bookmarkStart w:id="25" w:name="b） 各类型路名牌尺寸和标示内容应满足以下要求："/>
      <w:bookmarkEnd w:id="25"/>
      <w:r>
        <w:rPr>
          <w:rFonts w:ascii="Times New Roman" w:eastAsia="Times New Roman"/>
          <w:sz w:val="21"/>
        </w:rPr>
        <w:t>b</w:t>
      </w:r>
      <w:r>
        <w:rPr>
          <w:sz w:val="21"/>
        </w:rPr>
        <w:t>）</w:t>
      </w:r>
      <w:r>
        <w:rPr>
          <w:spacing w:val="-3"/>
          <w:sz w:val="21"/>
        </w:rPr>
        <w:t xml:space="preserve"> 各类型路名牌尺寸和标示内容应满足以下要求：</w:t>
      </w:r>
    </w:p>
    <w:p>
      <w:pPr>
        <w:pStyle w:val="ListParagraph"/>
        <w:numPr>
          <w:ilvl w:val="1"/>
          <w:numId w:val="18"/>
        </w:numPr>
        <w:tabs>
          <w:tab w:val="left" w:pos="2438"/>
        </w:tabs>
        <w:spacing w:before="0" w:after="0" w:line="278" w:lineRule="auto"/>
        <w:ind w:left="2437" w:right="969" w:hanging="421"/>
        <w:jc w:val="left"/>
        <w:rPr>
          <w:sz w:val="21"/>
        </w:rPr>
      </w:pPr>
      <w:bookmarkStart w:id="26" w:name="1） A型路名牌牌面宽度为1500mm、高度为450mm、厚度为43mm。标示本"/>
      <w:bookmarkEnd w:id="26"/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8"/>
          <w:sz w:val="21"/>
        </w:rPr>
        <w:t xml:space="preserve"> </w:t>
      </w:r>
      <w:r>
        <w:rPr>
          <w:spacing w:val="-8"/>
          <w:sz w:val="21"/>
        </w:rPr>
        <w:t xml:space="preserve">型路名牌牌面宽度为 </w:t>
      </w:r>
      <w:r>
        <w:rPr>
          <w:rFonts w:ascii="Times New Roman" w:eastAsia="Times New Roman"/>
          <w:sz w:val="21"/>
        </w:rPr>
        <w:t>1500mm</w:t>
      </w:r>
      <w:r>
        <w:rPr>
          <w:spacing w:val="-15"/>
          <w:sz w:val="21"/>
        </w:rPr>
        <w:t xml:space="preserve">、高度为 </w:t>
      </w:r>
      <w:r>
        <w:rPr>
          <w:rFonts w:ascii="Times New Roman" w:eastAsia="Times New Roman"/>
          <w:sz w:val="21"/>
        </w:rPr>
        <w:t>450mm</w:t>
      </w:r>
      <w:r>
        <w:rPr>
          <w:spacing w:val="-14"/>
          <w:sz w:val="21"/>
        </w:rPr>
        <w:t xml:space="preserve">、厚度为 </w:t>
      </w:r>
      <w:r>
        <w:rPr>
          <w:rFonts w:ascii="Times New Roman" w:eastAsia="Times New Roman"/>
          <w:spacing w:val="-3"/>
          <w:sz w:val="21"/>
        </w:rPr>
        <w:t>43mm</w:t>
      </w:r>
      <w:r>
        <w:rPr>
          <w:spacing w:val="-6"/>
          <w:sz w:val="21"/>
        </w:rPr>
        <w:t>。标示本条道路与相交道</w:t>
      </w:r>
      <w:r>
        <w:rPr>
          <w:spacing w:val="-4"/>
          <w:sz w:val="21"/>
        </w:rPr>
        <w:t>路相关内容的双牌面直角式路名牌；</w:t>
      </w:r>
    </w:p>
    <w:p>
      <w:pPr>
        <w:pStyle w:val="ListParagraph"/>
        <w:numPr>
          <w:ilvl w:val="1"/>
          <w:numId w:val="18"/>
        </w:numPr>
        <w:tabs>
          <w:tab w:val="left" w:pos="2438"/>
        </w:tabs>
        <w:spacing w:before="0" w:after="0" w:line="278" w:lineRule="auto"/>
        <w:ind w:left="2437" w:right="969" w:hanging="421"/>
        <w:jc w:val="left"/>
        <w:rPr>
          <w:sz w:val="21"/>
        </w:rPr>
      </w:pPr>
      <w:bookmarkStart w:id="27" w:name="2） B型路名牌牌面宽度为1350mm、高度为405mm、厚度为43mm。标示本"/>
      <w:bookmarkEnd w:id="27"/>
      <w:r>
        <w:rPr>
          <w:rFonts w:ascii="Times New Roman" w:eastAsia="Times New Roman"/>
          <w:sz w:val="21"/>
        </w:rPr>
        <w:t>B</w:t>
      </w:r>
      <w:r>
        <w:rPr>
          <w:rFonts w:ascii="Times New Roman" w:eastAsia="Times New Roman"/>
          <w:spacing w:val="7"/>
          <w:sz w:val="21"/>
        </w:rPr>
        <w:t xml:space="preserve"> </w:t>
      </w:r>
      <w:r>
        <w:rPr>
          <w:spacing w:val="-8"/>
          <w:sz w:val="21"/>
        </w:rPr>
        <w:t xml:space="preserve">型路名牌牌面宽度为 </w:t>
      </w:r>
      <w:r>
        <w:rPr>
          <w:rFonts w:ascii="Times New Roman" w:eastAsia="Times New Roman"/>
          <w:sz w:val="21"/>
        </w:rPr>
        <w:t>1350mm</w:t>
      </w:r>
      <w:r>
        <w:rPr>
          <w:spacing w:val="-14"/>
          <w:sz w:val="21"/>
        </w:rPr>
        <w:t xml:space="preserve">、高度为 </w:t>
      </w:r>
      <w:r>
        <w:rPr>
          <w:rFonts w:ascii="Times New Roman" w:eastAsia="Times New Roman"/>
          <w:sz w:val="21"/>
        </w:rPr>
        <w:t>405mm</w:t>
      </w:r>
      <w:r>
        <w:rPr>
          <w:spacing w:val="-14"/>
          <w:sz w:val="21"/>
        </w:rPr>
        <w:t xml:space="preserve">、厚度为 </w:t>
      </w:r>
      <w:r>
        <w:rPr>
          <w:rFonts w:ascii="Times New Roman" w:eastAsia="Times New Roman"/>
          <w:spacing w:val="-3"/>
          <w:sz w:val="21"/>
        </w:rPr>
        <w:t>43mm</w:t>
      </w:r>
      <w:r>
        <w:rPr>
          <w:spacing w:val="-6"/>
          <w:sz w:val="21"/>
        </w:rPr>
        <w:t>。标示本条道路相关内容</w:t>
      </w:r>
      <w:r>
        <w:rPr>
          <w:spacing w:val="-4"/>
          <w:sz w:val="21"/>
        </w:rPr>
        <w:t>的路名牌；</w:t>
      </w:r>
    </w:p>
    <w:p>
      <w:pPr>
        <w:pStyle w:val="ListParagraph"/>
        <w:numPr>
          <w:ilvl w:val="1"/>
          <w:numId w:val="18"/>
        </w:numPr>
        <w:tabs>
          <w:tab w:val="left" w:pos="2438"/>
        </w:tabs>
        <w:spacing w:before="0" w:after="0" w:line="278" w:lineRule="auto"/>
        <w:ind w:left="2437" w:right="969" w:hanging="421"/>
        <w:jc w:val="left"/>
        <w:rPr>
          <w:sz w:val="21"/>
        </w:rPr>
      </w:pPr>
      <w:bookmarkStart w:id="28" w:name="3） C型路名牌牌面宽度为1200mm、高度为360mm、厚度为43mm。标示本"/>
      <w:bookmarkEnd w:id="28"/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7"/>
          <w:sz w:val="21"/>
        </w:rPr>
        <w:t xml:space="preserve"> </w:t>
      </w:r>
      <w:r>
        <w:rPr>
          <w:spacing w:val="-8"/>
          <w:sz w:val="21"/>
        </w:rPr>
        <w:t xml:space="preserve">型路名牌牌面宽度为 </w:t>
      </w:r>
      <w:r>
        <w:rPr>
          <w:rFonts w:ascii="Times New Roman" w:eastAsia="Times New Roman"/>
          <w:sz w:val="21"/>
        </w:rPr>
        <w:t>1200mm</w:t>
      </w:r>
      <w:r>
        <w:rPr>
          <w:spacing w:val="-14"/>
          <w:sz w:val="21"/>
        </w:rPr>
        <w:t xml:space="preserve">、高度为 </w:t>
      </w:r>
      <w:r>
        <w:rPr>
          <w:rFonts w:ascii="Times New Roman" w:eastAsia="Times New Roman"/>
          <w:sz w:val="21"/>
        </w:rPr>
        <w:t>360mm</w:t>
      </w:r>
      <w:r>
        <w:rPr>
          <w:spacing w:val="-14"/>
          <w:sz w:val="21"/>
        </w:rPr>
        <w:t xml:space="preserve">、厚度为 </w:t>
      </w:r>
      <w:r>
        <w:rPr>
          <w:rFonts w:ascii="Times New Roman" w:eastAsia="Times New Roman"/>
          <w:spacing w:val="-3"/>
          <w:sz w:val="21"/>
        </w:rPr>
        <w:t>43mm</w:t>
      </w:r>
      <w:r>
        <w:rPr>
          <w:spacing w:val="-6"/>
          <w:sz w:val="21"/>
        </w:rPr>
        <w:t>。标示本条道路相关内容</w:t>
      </w:r>
      <w:r>
        <w:rPr>
          <w:spacing w:val="-4"/>
          <w:sz w:val="21"/>
        </w:rPr>
        <w:t>的路名牌。</w:t>
      </w:r>
    </w:p>
    <w:p>
      <w:pPr>
        <w:pStyle w:val="ListParagraph"/>
        <w:numPr>
          <w:ilvl w:val="1"/>
          <w:numId w:val="20"/>
        </w:numPr>
        <w:tabs>
          <w:tab w:val="left" w:pos="1704"/>
        </w:tabs>
        <w:spacing w:before="50" w:after="0" w:line="240" w:lineRule="auto"/>
        <w:ind w:left="1703" w:right="0" w:hanging="527"/>
        <w:jc w:val="left"/>
        <w:rPr>
          <w:sz w:val="21"/>
        </w:rPr>
      </w:pPr>
      <w:bookmarkStart w:id="29" w:name="5.2  设置型号"/>
      <w:bookmarkEnd w:id="29"/>
      <w:r>
        <w:rPr>
          <w:rFonts w:ascii="黑体" w:eastAsia="黑体" w:hint="eastAsia"/>
          <w:spacing w:val="-2"/>
          <w:sz w:val="21"/>
        </w:rPr>
        <w:t>设置</w:t>
      </w:r>
      <w:r>
        <w:rPr>
          <w:sz w:val="21"/>
        </w:rPr>
        <w:t>型号</w:t>
      </w:r>
    </w:p>
    <w:p>
      <w:pPr>
        <w:pStyle w:val="ListParagraph"/>
        <w:numPr>
          <w:ilvl w:val="0"/>
          <w:numId w:val="17"/>
        </w:numPr>
        <w:tabs>
          <w:tab w:val="left" w:pos="2017"/>
        </w:tabs>
        <w:spacing w:before="94" w:after="0" w:line="240" w:lineRule="auto"/>
        <w:ind w:left="2016" w:right="0" w:hanging="421"/>
        <w:jc w:val="left"/>
        <w:rPr>
          <w:sz w:val="21"/>
        </w:rPr>
      </w:pPr>
      <w:bookmarkStart w:id="30" w:name="a） 与主干路相交的主干路、次干路（或6车道及6车道以上的道路）选用A型路名牌；"/>
      <w:bookmarkEnd w:id="30"/>
      <w:r>
        <w:rPr>
          <w:spacing w:val="-3"/>
          <w:sz w:val="21"/>
        </w:rPr>
        <w:t>与主干路相交的主干路、次干路</w:t>
      </w:r>
      <w:r>
        <w:rPr>
          <w:spacing w:val="-3"/>
          <w:sz w:val="21"/>
        </w:rPr>
        <w:t>（</w:t>
      </w:r>
      <w:r>
        <w:rPr>
          <w:spacing w:val="-26"/>
          <w:sz w:val="21"/>
        </w:rPr>
        <w:t xml:space="preserve">或 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1"/>
          <w:sz w:val="21"/>
        </w:rPr>
        <w:t xml:space="preserve"> </w:t>
      </w:r>
      <w:r>
        <w:rPr>
          <w:spacing w:val="-15"/>
          <w:sz w:val="21"/>
        </w:rPr>
        <w:t xml:space="preserve">车道及 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1"/>
          <w:sz w:val="21"/>
        </w:rPr>
        <w:t xml:space="preserve"> </w:t>
      </w:r>
      <w:r>
        <w:rPr>
          <w:spacing w:val="-3"/>
          <w:sz w:val="21"/>
        </w:rPr>
        <w:t>车道以上的道路）</w:t>
      </w:r>
      <w:r>
        <w:rPr>
          <w:spacing w:val="-19"/>
          <w:sz w:val="21"/>
        </w:rPr>
        <w:t xml:space="preserve">选用 </w:t>
      </w:r>
      <w:r>
        <w:rPr>
          <w:rFonts w:ascii="Times New Roman" w:eastAsia="Times New Roman"/>
          <w:sz w:val="21"/>
        </w:rPr>
        <w:t xml:space="preserve">A </w:t>
      </w:r>
      <w:r>
        <w:rPr>
          <w:spacing w:val="-3"/>
          <w:sz w:val="21"/>
        </w:rPr>
        <w:t>型路名牌；</w:t>
      </w:r>
    </w:p>
    <w:p>
      <w:pPr>
        <w:pStyle w:val="ListParagraph"/>
        <w:numPr>
          <w:ilvl w:val="0"/>
          <w:numId w:val="17"/>
        </w:numPr>
        <w:tabs>
          <w:tab w:val="left" w:pos="2021"/>
        </w:tabs>
        <w:spacing w:before="43" w:after="0" w:line="240" w:lineRule="auto"/>
        <w:ind w:left="2020" w:right="0" w:hanging="426"/>
        <w:jc w:val="left"/>
        <w:rPr>
          <w:sz w:val="21"/>
        </w:rPr>
      </w:pPr>
      <w:bookmarkStart w:id="31" w:name="b）  与支路相交的主干路、次干路，与次干路相交的次干路选用B型路名牌（3~5车"/>
      <w:bookmarkEnd w:id="31"/>
      <w:r>
        <w:rPr>
          <w:spacing w:val="-17"/>
          <w:w w:val="100"/>
          <w:sz w:val="21"/>
        </w:rPr>
        <w:t>与支路相交的主干路、次干路，与次干路相交的次干路选用</w:t>
      </w:r>
      <w:r>
        <w:rPr>
          <w:spacing w:val="-55"/>
          <w:sz w:val="21"/>
        </w:rPr>
        <w:t xml:space="preserve"> </w:t>
      </w:r>
      <w:r>
        <w:rPr>
          <w:rFonts w:ascii="Times New Roman" w:eastAsia="Times New Roman"/>
          <w:w w:val="100"/>
          <w:sz w:val="21"/>
        </w:rPr>
        <w:t>B</w:t>
      </w:r>
      <w:r>
        <w:rPr>
          <w:rFonts w:ascii="Times New Roman" w:eastAsia="Times New Roman"/>
          <w:sz w:val="21"/>
        </w:rPr>
        <w:t xml:space="preserve"> </w:t>
      </w:r>
      <w:r>
        <w:rPr>
          <w:spacing w:val="-29"/>
          <w:w w:val="100"/>
          <w:sz w:val="21"/>
        </w:rPr>
        <w:t>型路名牌</w:t>
      </w:r>
      <w:r>
        <w:rPr>
          <w:spacing w:val="-1"/>
          <w:w w:val="100"/>
          <w:sz w:val="21"/>
        </w:rPr>
        <w:t>（</w:t>
      </w:r>
      <w:r>
        <w:rPr>
          <w:rFonts w:ascii="Times New Roman" w:eastAsia="Times New Roman"/>
          <w:w w:val="100"/>
          <w:sz w:val="21"/>
        </w:rPr>
        <w:t>3</w:t>
      </w:r>
      <w:r>
        <w:rPr>
          <w:rFonts w:ascii="Times New Roman" w:eastAsia="Times New Roman"/>
          <w:spacing w:val="-2"/>
          <w:w w:val="100"/>
          <w:sz w:val="21"/>
        </w:rPr>
        <w:t>~</w:t>
      </w:r>
      <w:r>
        <w:rPr>
          <w:rFonts w:ascii="Times New Roman" w:eastAsia="Times New Roman"/>
          <w:w w:val="100"/>
          <w:sz w:val="21"/>
        </w:rPr>
        <w:t>5</w:t>
      </w:r>
      <w:r>
        <w:rPr>
          <w:rFonts w:ascii="Times New Roman" w:eastAsia="Times New Roman"/>
          <w:sz w:val="21"/>
        </w:rPr>
        <w:t xml:space="preserve"> </w:t>
      </w:r>
      <w:r>
        <w:rPr>
          <w:spacing w:val="-3"/>
          <w:w w:val="100"/>
          <w:sz w:val="21"/>
        </w:rPr>
        <w:t>车道之间的道路</w:t>
      </w:r>
      <w:r>
        <w:rPr>
          <w:spacing w:val="-104"/>
          <w:w w:val="100"/>
          <w:sz w:val="21"/>
        </w:rPr>
        <w:t>）</w:t>
      </w:r>
      <w:r>
        <w:rPr>
          <w:w w:val="100"/>
          <w:sz w:val="21"/>
        </w:rPr>
        <w:t>；</w:t>
      </w:r>
    </w:p>
    <w:p>
      <w:pPr>
        <w:pStyle w:val="ListParagraph"/>
        <w:numPr>
          <w:ilvl w:val="0"/>
          <w:numId w:val="17"/>
        </w:numPr>
        <w:tabs>
          <w:tab w:val="left" w:pos="2007"/>
        </w:tabs>
        <w:spacing w:before="43" w:after="0" w:line="240" w:lineRule="auto"/>
        <w:ind w:left="2006" w:right="0" w:hanging="411"/>
        <w:jc w:val="left"/>
        <w:rPr>
          <w:sz w:val="21"/>
        </w:rPr>
      </w:pPr>
      <w:bookmarkStart w:id="32" w:name="c） 支路选用C型路名牌（2车道及2车道以下的道路）；"/>
      <w:bookmarkEnd w:id="32"/>
      <w:r>
        <w:rPr>
          <w:spacing w:val="-14"/>
          <w:sz w:val="21"/>
        </w:rPr>
        <w:t xml:space="preserve">支路选用 </w:t>
      </w:r>
      <w:r>
        <w:rPr>
          <w:rFonts w:ascii="Times New Roman" w:eastAsia="Times New Roman"/>
          <w:sz w:val="21"/>
        </w:rPr>
        <w:t xml:space="preserve">C </w:t>
      </w:r>
      <w:r>
        <w:rPr>
          <w:spacing w:val="-3"/>
          <w:sz w:val="21"/>
        </w:rPr>
        <w:t>型路名牌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 xml:space="preserve">2 </w:t>
      </w:r>
      <w:r>
        <w:rPr>
          <w:spacing w:val="-15"/>
          <w:sz w:val="21"/>
        </w:rPr>
        <w:t xml:space="preserve">车道及 </w:t>
      </w:r>
      <w:r>
        <w:rPr>
          <w:rFonts w:ascii="Times New Roman" w:eastAsia="Times New Roman"/>
          <w:sz w:val="21"/>
        </w:rPr>
        <w:t xml:space="preserve">2 </w:t>
      </w:r>
      <w:r>
        <w:rPr>
          <w:spacing w:val="-3"/>
          <w:sz w:val="21"/>
        </w:rPr>
        <w:t>车道以下的道路</w:t>
      </w:r>
      <w:r>
        <w:rPr>
          <w:sz w:val="21"/>
        </w:rPr>
        <w:t>）；</w:t>
      </w:r>
    </w:p>
    <w:p>
      <w:pPr>
        <w:pStyle w:val="ListParagraph"/>
        <w:numPr>
          <w:ilvl w:val="0"/>
          <w:numId w:val="17"/>
        </w:numPr>
        <w:tabs>
          <w:tab w:val="left" w:pos="2019"/>
        </w:tabs>
        <w:spacing w:before="43" w:after="0" w:line="240" w:lineRule="auto"/>
        <w:ind w:left="2018" w:right="0" w:hanging="423"/>
        <w:jc w:val="left"/>
        <w:rPr>
          <w:sz w:val="21"/>
        </w:rPr>
      </w:pPr>
      <w:bookmarkStart w:id="33" w:name="d） 同一条道路有几种车行道时的路名牌型号按以下规定确定："/>
      <w:bookmarkEnd w:id="33"/>
      <w:r>
        <w:rPr>
          <w:spacing w:val="-3"/>
          <w:sz w:val="21"/>
        </w:rPr>
        <w:t>同一条道路有几种车行道时的路名牌型号按以下规定确定：</w:t>
      </w:r>
    </w:p>
    <w:p>
      <w:pPr>
        <w:pStyle w:val="ListParagraph"/>
        <w:numPr>
          <w:ilvl w:val="1"/>
          <w:numId w:val="17"/>
        </w:numPr>
        <w:tabs>
          <w:tab w:val="left" w:pos="2444"/>
        </w:tabs>
        <w:spacing w:before="43" w:after="0" w:line="278" w:lineRule="auto"/>
        <w:ind w:left="2443" w:right="968" w:hanging="428"/>
        <w:jc w:val="both"/>
        <w:rPr>
          <w:sz w:val="21"/>
        </w:rPr>
      </w:pPr>
      <w:bookmarkStart w:id="34" w:name="1） 根据路面宽度来定其路名牌型号大小，以保证市民视觉观感为主，个别特殊情况路段"/>
      <w:bookmarkEnd w:id="34"/>
      <w:r>
        <w:rPr>
          <w:spacing w:val="-8"/>
          <w:sz w:val="21"/>
        </w:rPr>
        <w:t>根据路面宽度来定其路名牌型号大小，以保证市民视觉观感为主，个别特殊情况路段、景</w:t>
      </w:r>
      <w:r>
        <w:rPr>
          <w:spacing w:val="-16"/>
          <w:sz w:val="21"/>
        </w:rPr>
        <w:t>观路段等可灵活设置。标准路段设置要求，路面宽度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>12</w:t>
      </w:r>
      <w:r>
        <w:rPr>
          <w:rFonts w:ascii="Times New Roman" w:eastAsia="Times New Roman" w:hAnsi="Times New Roman"/>
          <w:spacing w:val="17"/>
          <w:sz w:val="21"/>
        </w:rPr>
        <w:t xml:space="preserve"> </w:t>
      </w:r>
      <w:r>
        <w:rPr>
          <w:spacing w:val="-3"/>
          <w:sz w:val="21"/>
        </w:rPr>
        <w:t>米</w:t>
      </w:r>
      <w:r>
        <w:rPr>
          <w:spacing w:val="-22"/>
          <w:sz w:val="21"/>
        </w:rPr>
        <w:t>）＞</w:t>
      </w:r>
      <w:r>
        <w:rPr>
          <w:rFonts w:ascii="Times New Roman" w:eastAsia="Times New Roman" w:hAnsi="Times New Roman"/>
          <w:spacing w:val="-22"/>
          <w:sz w:val="21"/>
        </w:rPr>
        <w:t>C</w:t>
      </w:r>
      <w:r>
        <w:rPr>
          <w:rFonts w:ascii="Times New Roman" w:eastAsia="Times New Roman" w:hAnsi="Times New Roman"/>
          <w:spacing w:val="-14"/>
          <w:sz w:val="21"/>
        </w:rPr>
        <w:t xml:space="preserve"> </w:t>
      </w:r>
      <w:r>
        <w:rPr>
          <w:sz w:val="21"/>
        </w:rPr>
        <w:t>型</w:t>
      </w:r>
      <w:r>
        <w:rPr>
          <w:rFonts w:ascii="Times New Roman" w:eastAsia="Times New Roman" w:hAnsi="Times New Roman"/>
          <w:sz w:val="21"/>
        </w:rPr>
        <w:t>≥</w:t>
      </w:r>
      <w:r>
        <w:rPr>
          <w:spacing w:val="-12"/>
          <w:sz w:val="21"/>
        </w:rPr>
        <w:t>两车道路面宽度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 xml:space="preserve">7.5 </w:t>
      </w:r>
      <w:r>
        <w:rPr>
          <w:sz w:val="21"/>
        </w:rPr>
        <w:t>米</w:t>
      </w:r>
      <w:r>
        <w:rPr>
          <w:spacing w:val="-53"/>
          <w:sz w:val="21"/>
        </w:rPr>
        <w:t>）；</w:t>
      </w:r>
      <w:r>
        <w:rPr>
          <w:spacing w:val="-11"/>
          <w:sz w:val="21"/>
        </w:rPr>
        <w:t>六车道路面宽度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>22.5</w:t>
      </w:r>
      <w:r>
        <w:rPr>
          <w:rFonts w:ascii="Times New Roman" w:eastAsia="Times New Roman" w:hAnsi="Times New Roman"/>
          <w:spacing w:val="5"/>
          <w:sz w:val="21"/>
        </w:rPr>
        <w:t xml:space="preserve"> </w:t>
      </w:r>
      <w:r>
        <w:rPr>
          <w:sz w:val="21"/>
        </w:rPr>
        <w:t>米</w:t>
      </w:r>
      <w:r>
        <w:rPr>
          <w:spacing w:val="-19"/>
          <w:sz w:val="21"/>
        </w:rPr>
        <w:t>）＞</w:t>
      </w:r>
      <w:r>
        <w:rPr>
          <w:rFonts w:ascii="Times New Roman" w:eastAsia="Times New Roman" w:hAnsi="Times New Roman"/>
          <w:spacing w:val="-19"/>
          <w:sz w:val="21"/>
        </w:rPr>
        <w:t>B</w:t>
      </w:r>
      <w:r>
        <w:rPr>
          <w:rFonts w:ascii="Times New Roman" w:eastAsia="Times New Roman" w:hAnsi="Times New Roman"/>
          <w:spacing w:val="4"/>
          <w:sz w:val="21"/>
        </w:rPr>
        <w:t xml:space="preserve"> </w:t>
      </w:r>
      <w:r>
        <w:rPr>
          <w:sz w:val="21"/>
        </w:rPr>
        <w:t>型</w:t>
      </w:r>
      <w:r>
        <w:rPr>
          <w:rFonts w:ascii="Times New Roman" w:eastAsia="Times New Roman" w:hAnsi="Times New Roman"/>
          <w:sz w:val="21"/>
        </w:rPr>
        <w:t>≥</w:t>
      </w:r>
      <w:r>
        <w:rPr>
          <w:spacing w:val="-16"/>
          <w:sz w:val="21"/>
        </w:rPr>
        <w:t>路面宽度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>12</w:t>
      </w:r>
      <w:r>
        <w:rPr>
          <w:rFonts w:ascii="Times New Roman" w:eastAsia="Times New Roman" w:hAnsi="Times New Roman"/>
          <w:spacing w:val="6"/>
          <w:sz w:val="21"/>
        </w:rPr>
        <w:t xml:space="preserve"> </w:t>
      </w:r>
      <w:r>
        <w:rPr>
          <w:sz w:val="21"/>
        </w:rPr>
        <w:t>米</w:t>
      </w:r>
      <w:r>
        <w:rPr>
          <w:spacing w:val="-27"/>
          <w:sz w:val="21"/>
        </w:rPr>
        <w:t>）</w:t>
      </w:r>
      <w:r>
        <w:rPr>
          <w:spacing w:val="-38"/>
          <w:sz w:val="21"/>
        </w:rPr>
        <w:t xml:space="preserve">； </w:t>
      </w:r>
      <w:r>
        <w:rPr>
          <w:rFonts w:ascii="Times New Roman" w:eastAsia="Times New Roman" w:hAnsi="Times New Roman"/>
          <w:sz w:val="21"/>
        </w:rPr>
        <w:t>A</w:t>
      </w:r>
      <w:r>
        <w:rPr>
          <w:rFonts w:ascii="Times New Roman" w:eastAsia="Times New Roman" w:hAnsi="Times New Roman"/>
          <w:spacing w:val="5"/>
          <w:sz w:val="21"/>
        </w:rPr>
        <w:t xml:space="preserve"> </w:t>
      </w:r>
      <w:r>
        <w:rPr>
          <w:sz w:val="21"/>
        </w:rPr>
        <w:t>型</w:t>
      </w:r>
      <w:r>
        <w:rPr>
          <w:rFonts w:ascii="Times New Roman" w:eastAsia="Times New Roman" w:hAnsi="Times New Roman"/>
          <w:sz w:val="21"/>
        </w:rPr>
        <w:t>≥</w:t>
      </w:r>
      <w:r>
        <w:rPr>
          <w:spacing w:val="-11"/>
          <w:sz w:val="21"/>
        </w:rPr>
        <w:t>六车道路面宽度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 xml:space="preserve">22.5 </w:t>
      </w:r>
      <w:r>
        <w:rPr>
          <w:sz w:val="21"/>
        </w:rPr>
        <w:t>米）；</w:t>
      </w:r>
    </w:p>
    <w:p>
      <w:pPr>
        <w:pStyle w:val="ListParagraph"/>
        <w:numPr>
          <w:ilvl w:val="1"/>
          <w:numId w:val="17"/>
        </w:numPr>
        <w:tabs>
          <w:tab w:val="left" w:pos="2439"/>
        </w:tabs>
        <w:spacing w:before="0" w:after="0" w:line="268" w:lineRule="exact"/>
        <w:ind w:left="2438" w:right="0" w:hanging="423"/>
        <w:jc w:val="both"/>
        <w:rPr>
          <w:sz w:val="21"/>
        </w:rPr>
      </w:pPr>
      <w:bookmarkStart w:id="35" w:name="2） 特殊道路路名牌型号如下："/>
      <w:bookmarkEnd w:id="35"/>
      <w:r>
        <w:rPr>
          <w:spacing w:val="-3"/>
          <w:sz w:val="21"/>
        </w:rPr>
        <w:t>特殊道路路名牌型号如下：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before="0"/>
        <w:ind w:left="1404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after="0"/>
        <w:jc w:val="left"/>
        <w:rPr>
          <w:sz w:val="18"/>
        </w:rPr>
        <w:sectPr>
          <w:headerReference w:type="even" r:id="rId23"/>
          <w:headerReference w:type="default" r:id="rId24"/>
          <w:pgSz w:w="11910" w:h="16840"/>
          <w:pgMar w:top="1640" w:right="160" w:bottom="280" w:left="240" w:header="1448" w:footer="0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9" style="width:560pt;height:676.45pt;margin-top:120.48pt;margin-left:17pt;mso-position-horizontal-relative:page;mso-position-vertical-relative:page;position:absolute;z-index:251667456" coordorigin="340,2410" coordsize="11200,13529">
            <v:shape id="_x0000_s1040" type="#_x0000_t75" alt="1" style="width:8634;height:12202;left:1678;position:absolute;top:2409" stroked="f">
              <v:imagedata r:id="rId25" o:title=""/>
            </v:shape>
            <v:shape id="_x0000_s1041" type="#_x0000_t75" style="width:11200;height:7680;left:340;position:absolute;top:8258" stroked="f">
              <v:imagedata r:id="rId4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72"/>
        <w:ind w:left="200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图 1</w:t>
      </w:r>
    </w:p>
    <w:p>
      <w:pPr>
        <w:pStyle w:val="BodyText"/>
        <w:spacing w:before="10"/>
        <w:rPr>
          <w:rFonts w:ascii="黑体"/>
          <w:sz w:val="17"/>
        </w:rPr>
      </w:pPr>
    </w:p>
    <w:p>
      <w:pPr>
        <w:spacing w:before="92"/>
        <w:ind w:left="0" w:right="1188" w:firstLine="0"/>
        <w:jc w:val="right"/>
        <w:rPr>
          <w:rFonts w:ascii="Times New Roman"/>
          <w:sz w:val="18"/>
        </w:rPr>
      </w:pPr>
      <w:r>
        <w:rPr>
          <w:rFonts w:ascii="Times New Roman"/>
          <w:sz w:val="18"/>
        </w:rPr>
        <w:t>3</w:t>
      </w:r>
    </w:p>
    <w:p>
      <w:pPr>
        <w:spacing w:after="0"/>
        <w:jc w:val="right"/>
        <w:rPr>
          <w:rFonts w:ascii="Times New Roman"/>
          <w:sz w:val="18"/>
        </w:rPr>
        <w:sectPr>
          <w:headerReference w:type="even" r:id="rId26"/>
          <w:headerReference w:type="default" r:id="rId27"/>
          <w:pgSz w:w="11910" w:h="16840"/>
          <w:pgMar w:top="1640" w:right="160" w:bottom="280" w:left="240" w:header="1448" w:footer="0"/>
          <w:pgNumType w:start="16"/>
          <w:cols w:space="708"/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42" style="width:560pt;height:677.9pt;margin-top:119.02pt;margin-left:17pt;mso-position-horizontal-relative:page;mso-position-vertical-relative:page;position:absolute;z-index:251668480" coordorigin="340,2380" coordsize="11200,13558">
            <v:shape id="_x0000_s1043" type="#_x0000_t75" alt="2" style="width:9113;height:12055;left:1578;position:absolute;top:2380" stroked="f">
              <v:imagedata r:id="rId28" o:title=""/>
            </v:shape>
            <v:shape id="_x0000_s1044" type="#_x0000_t75" style="width:11200;height:7680;left:340;position:absolute;top:8258" stroked="f">
              <v:imagedata r:id="rId4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pStyle w:val="BodyText"/>
        <w:spacing w:before="72"/>
        <w:ind w:left="200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图 2</w:t>
      </w:r>
    </w:p>
    <w:p>
      <w:pPr>
        <w:pStyle w:val="BodyText"/>
        <w:spacing w:before="8"/>
        <w:rPr>
          <w:rFonts w:ascii="黑体"/>
          <w:sz w:val="17"/>
        </w:rPr>
      </w:pPr>
    </w:p>
    <w:p>
      <w:pPr>
        <w:spacing w:before="75"/>
        <w:ind w:left="1404" w:right="0" w:firstLine="0"/>
        <w:jc w:val="left"/>
        <w:rPr>
          <w:sz w:val="18"/>
        </w:rPr>
      </w:pPr>
      <w:r>
        <w:rPr>
          <w:sz w:val="18"/>
        </w:rPr>
        <w:t>4</w:t>
      </w:r>
    </w:p>
    <w:p>
      <w:pPr>
        <w:spacing w:after="0"/>
        <w:jc w:val="left"/>
        <w:rPr>
          <w:sz w:val="18"/>
        </w:rPr>
        <w:sectPr>
          <w:headerReference w:type="even" r:id="rId29"/>
          <w:headerReference w:type="default" r:id="rId30"/>
          <w:pgSz w:w="11910" w:h="16840"/>
          <w:pgMar w:top="1640" w:right="160" w:bottom="280" w:left="240" w:header="1448" w:footer="0"/>
          <w:pgNumType w:start="17"/>
          <w:cols w:space="708"/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1702"/>
        </w:tabs>
        <w:spacing w:before="72" w:after="0" w:line="240" w:lineRule="auto"/>
        <w:ind w:left="1701" w:right="0" w:hanging="526"/>
        <w:jc w:val="left"/>
        <w:rPr>
          <w:sz w:val="21"/>
        </w:rPr>
      </w:pPr>
      <w:bookmarkStart w:id="36" w:name="5.3  版面形式"/>
      <w:bookmarkEnd w:id="36"/>
      <w:r>
        <w:rPr>
          <w:spacing w:val="-2"/>
          <w:sz w:val="21"/>
        </w:rPr>
        <w:t>版面形式</w:t>
      </w:r>
    </w:p>
    <w:p>
      <w:pPr>
        <w:pStyle w:val="ListParagraph"/>
        <w:numPr>
          <w:ilvl w:val="0"/>
          <w:numId w:val="16"/>
        </w:numPr>
        <w:tabs>
          <w:tab w:val="left" w:pos="2007"/>
        </w:tabs>
        <w:spacing w:before="93" w:after="0" w:line="240" w:lineRule="auto"/>
        <w:ind w:left="2006" w:right="0" w:hanging="411"/>
        <w:jc w:val="left"/>
        <w:rPr>
          <w:sz w:val="21"/>
        </w:rPr>
      </w:pPr>
      <w:bookmarkStart w:id="37" w:name="a） 三种类型的路名牌版面由上下两部分组成，上部为蓝底白字，下部为白底黑字；"/>
      <w:bookmarkEnd w:id="37"/>
      <w:r>
        <w:rPr>
          <w:spacing w:val="-3"/>
          <w:sz w:val="21"/>
        </w:rPr>
        <w:t>三种类型的路名牌版面由上下两部分组成，上部为蓝底白字，下部为白底黑字；</w:t>
      </w:r>
    </w:p>
    <w:p>
      <w:pPr>
        <w:pStyle w:val="ListParagraph"/>
        <w:numPr>
          <w:ilvl w:val="0"/>
          <w:numId w:val="16"/>
        </w:numPr>
        <w:tabs>
          <w:tab w:val="left" w:pos="2019"/>
        </w:tabs>
        <w:spacing w:before="43" w:after="0" w:line="240" w:lineRule="auto"/>
        <w:ind w:left="2018" w:right="0" w:hanging="423"/>
        <w:jc w:val="left"/>
        <w:rPr>
          <w:sz w:val="21"/>
        </w:rPr>
      </w:pPr>
      <w:bookmarkStart w:id="38" w:name="b） 三种类型路名牌版面尺寸应满足以下要求："/>
      <w:bookmarkEnd w:id="38"/>
      <w:r>
        <w:rPr>
          <w:spacing w:val="-3"/>
          <w:sz w:val="21"/>
        </w:rPr>
        <w:t>三种类型路名牌版面尺寸应满足以下要求：</w:t>
      </w:r>
    </w:p>
    <w:p>
      <w:pPr>
        <w:pStyle w:val="ListParagraph"/>
        <w:numPr>
          <w:ilvl w:val="1"/>
          <w:numId w:val="16"/>
        </w:numPr>
        <w:tabs>
          <w:tab w:val="left" w:pos="2437"/>
        </w:tabs>
        <w:spacing w:before="43" w:after="0" w:line="278" w:lineRule="auto"/>
        <w:ind w:left="2436" w:right="968" w:hanging="421"/>
        <w:jc w:val="left"/>
        <w:rPr>
          <w:sz w:val="21"/>
        </w:rPr>
      </w:pPr>
      <w:bookmarkStart w:id="39" w:name="1） A型路名牌上部尺寸为300mm，用于标示汉字路名、汉字方向指示和指示距离；"/>
      <w:bookmarkEnd w:id="39"/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43"/>
          <w:sz w:val="21"/>
        </w:rPr>
        <w:t xml:space="preserve"> </w:t>
      </w:r>
      <w:r>
        <w:rPr>
          <w:spacing w:val="-4"/>
          <w:sz w:val="21"/>
        </w:rPr>
        <w:t xml:space="preserve">型路名牌上部尺寸为 </w:t>
      </w:r>
      <w:r>
        <w:rPr>
          <w:rFonts w:ascii="Times New Roman" w:eastAsia="Times New Roman"/>
          <w:sz w:val="21"/>
        </w:rPr>
        <w:t>300mm</w:t>
      </w:r>
      <w:r>
        <w:rPr>
          <w:spacing w:val="-3"/>
          <w:sz w:val="21"/>
        </w:rPr>
        <w:t>，用于标示汉字路名、汉字方向指示和指示距离；下部尺</w:t>
      </w:r>
      <w:r>
        <w:rPr>
          <w:spacing w:val="-20"/>
          <w:sz w:val="21"/>
        </w:rPr>
        <w:t xml:space="preserve">寸为 </w:t>
      </w:r>
      <w:r>
        <w:rPr>
          <w:rFonts w:ascii="Times New Roman" w:eastAsia="Times New Roman"/>
          <w:sz w:val="21"/>
        </w:rPr>
        <w:t>150mm</w:t>
      </w:r>
      <w:r>
        <w:rPr>
          <w:spacing w:val="-3"/>
          <w:sz w:val="21"/>
        </w:rPr>
        <w:t>，用于标示相应的字母；</w:t>
      </w:r>
    </w:p>
    <w:p>
      <w:pPr>
        <w:pStyle w:val="ListParagraph"/>
        <w:numPr>
          <w:ilvl w:val="1"/>
          <w:numId w:val="16"/>
        </w:numPr>
        <w:tabs>
          <w:tab w:val="left" w:pos="2437"/>
        </w:tabs>
        <w:spacing w:before="0" w:after="0" w:line="269" w:lineRule="exact"/>
        <w:ind w:left="2436" w:right="0" w:hanging="421"/>
        <w:jc w:val="left"/>
        <w:rPr>
          <w:sz w:val="21"/>
        </w:rPr>
      </w:pPr>
      <w:bookmarkStart w:id="40" w:name="2） B型路名牌版上部尺寸为270mm，下部尺寸为135mm，标示内容与A型路名"/>
      <w:bookmarkEnd w:id="40"/>
      <w:r>
        <w:rPr>
          <w:rFonts w:ascii="Times New Roman" w:eastAsia="Times New Roman"/>
          <w:sz w:val="21"/>
        </w:rPr>
        <w:t>B</w:t>
      </w:r>
      <w:r>
        <w:rPr>
          <w:rFonts w:ascii="Times New Roman" w:eastAsia="Times New Roman"/>
          <w:spacing w:val="5"/>
          <w:sz w:val="21"/>
        </w:rPr>
        <w:t xml:space="preserve"> </w:t>
      </w:r>
      <w:r>
        <w:rPr>
          <w:spacing w:val="-8"/>
          <w:sz w:val="21"/>
        </w:rPr>
        <w:t xml:space="preserve">型路名牌版上部尺寸为 </w:t>
      </w:r>
      <w:r>
        <w:rPr>
          <w:rFonts w:ascii="Times New Roman" w:eastAsia="Times New Roman"/>
          <w:sz w:val="21"/>
        </w:rPr>
        <w:t>270mm</w:t>
      </w:r>
      <w:r>
        <w:rPr>
          <w:spacing w:val="-9"/>
          <w:sz w:val="21"/>
        </w:rPr>
        <w:t xml:space="preserve">，下部尺寸为 </w:t>
      </w:r>
      <w:r>
        <w:rPr>
          <w:rFonts w:ascii="Times New Roman" w:eastAsia="Times New Roman"/>
          <w:sz w:val="21"/>
        </w:rPr>
        <w:t>135mm</w:t>
      </w:r>
      <w:r>
        <w:rPr>
          <w:spacing w:val="-8"/>
          <w:sz w:val="21"/>
        </w:rPr>
        <w:t xml:space="preserve">，标示内容与 </w:t>
      </w:r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6"/>
          <w:sz w:val="21"/>
        </w:rPr>
        <w:t xml:space="preserve"> </w:t>
      </w:r>
      <w:r>
        <w:rPr>
          <w:spacing w:val="-3"/>
          <w:sz w:val="21"/>
        </w:rPr>
        <w:t>型路名牌相同；</w:t>
      </w:r>
    </w:p>
    <w:p>
      <w:pPr>
        <w:pStyle w:val="ListParagraph"/>
        <w:numPr>
          <w:ilvl w:val="1"/>
          <w:numId w:val="16"/>
        </w:numPr>
        <w:tabs>
          <w:tab w:val="left" w:pos="2437"/>
        </w:tabs>
        <w:spacing w:before="43" w:after="0" w:line="240" w:lineRule="auto"/>
        <w:ind w:left="2436" w:right="0" w:hanging="422"/>
        <w:jc w:val="left"/>
        <w:rPr>
          <w:sz w:val="21"/>
        </w:rPr>
      </w:pPr>
      <w:bookmarkStart w:id="41" w:name="3） C型路名牌版上部尺寸为240mm，下部尺寸为120mm，标示内容与A型路名"/>
      <w:bookmarkEnd w:id="41"/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5"/>
          <w:sz w:val="21"/>
        </w:rPr>
        <w:t xml:space="preserve"> </w:t>
      </w:r>
      <w:r>
        <w:rPr>
          <w:spacing w:val="-8"/>
          <w:sz w:val="21"/>
        </w:rPr>
        <w:t xml:space="preserve">型路名牌版上部尺寸为 </w:t>
      </w:r>
      <w:r>
        <w:rPr>
          <w:rFonts w:ascii="Times New Roman" w:eastAsia="Times New Roman"/>
          <w:sz w:val="21"/>
        </w:rPr>
        <w:t>240mm</w:t>
      </w:r>
      <w:r>
        <w:rPr>
          <w:spacing w:val="-9"/>
          <w:sz w:val="21"/>
        </w:rPr>
        <w:t xml:space="preserve">，下部尺寸为 </w:t>
      </w:r>
      <w:r>
        <w:rPr>
          <w:rFonts w:ascii="Times New Roman" w:eastAsia="Times New Roman"/>
          <w:sz w:val="21"/>
        </w:rPr>
        <w:t>120mm</w:t>
      </w:r>
      <w:r>
        <w:rPr>
          <w:spacing w:val="-8"/>
          <w:sz w:val="21"/>
        </w:rPr>
        <w:t xml:space="preserve">，标示内容与 </w:t>
      </w:r>
      <w:r>
        <w:rPr>
          <w:rFonts w:ascii="Times New Roman" w:eastAsia="Times New Roman"/>
          <w:sz w:val="21"/>
        </w:rPr>
        <w:t>A</w:t>
      </w:r>
      <w:r>
        <w:rPr>
          <w:rFonts w:ascii="Times New Roman" w:eastAsia="Times New Roman"/>
          <w:spacing w:val="6"/>
          <w:sz w:val="21"/>
        </w:rPr>
        <w:t xml:space="preserve"> </w:t>
      </w:r>
      <w:r>
        <w:rPr>
          <w:spacing w:val="-3"/>
          <w:sz w:val="21"/>
        </w:rPr>
        <w:t>型路名牌相同。</w:t>
      </w:r>
    </w:p>
    <w:p>
      <w:pPr>
        <w:pStyle w:val="ListParagraph"/>
        <w:numPr>
          <w:ilvl w:val="0"/>
          <w:numId w:val="16"/>
        </w:numPr>
        <w:tabs>
          <w:tab w:val="left" w:pos="2016"/>
        </w:tabs>
        <w:spacing w:before="43" w:after="0" w:line="278" w:lineRule="auto"/>
        <w:ind w:left="2016" w:right="972" w:hanging="421"/>
        <w:jc w:val="left"/>
        <w:rPr>
          <w:sz w:val="21"/>
        </w:rPr>
      </w:pPr>
      <w:bookmarkStart w:id="42" w:name="c） 路名牌版面字体高度原则上执行表1的规定。确需调整的，调整幅度宜控制在表1规"/>
      <w:bookmarkEnd w:id="42"/>
      <w:r>
        <w:rPr>
          <w:spacing w:val="-6"/>
          <w:sz w:val="21"/>
        </w:rPr>
        <w:t xml:space="preserve">路名牌版面字体高度原则上执行表 </w:t>
      </w:r>
      <w:r>
        <w:rPr>
          <w:rFonts w:ascii="Times New Roman" w:eastAsia="Times New Roman" w:hAnsi="Times New Roman"/>
          <w:sz w:val="21"/>
        </w:rPr>
        <w:t>1</w:t>
      </w:r>
      <w:r>
        <w:rPr>
          <w:rFonts w:ascii="Times New Roman" w:eastAsia="Times New Roman" w:hAnsi="Times New Roman"/>
          <w:spacing w:val="6"/>
          <w:sz w:val="21"/>
        </w:rPr>
        <w:t xml:space="preserve"> </w:t>
      </w:r>
      <w:r>
        <w:rPr>
          <w:spacing w:val="-12"/>
          <w:sz w:val="21"/>
        </w:rPr>
        <w:t xml:space="preserve">的规定。确需调整的，调整幅度宜控制在表 </w:t>
      </w:r>
      <w:r>
        <w:rPr>
          <w:rFonts w:ascii="Times New Roman" w:eastAsia="Times New Roman" w:hAnsi="Times New Roman"/>
          <w:sz w:val="21"/>
        </w:rPr>
        <w:t>1</w:t>
      </w:r>
      <w:r>
        <w:rPr>
          <w:rFonts w:ascii="Times New Roman" w:eastAsia="Times New Roman" w:hAnsi="Times New Roman"/>
          <w:spacing w:val="6"/>
          <w:sz w:val="21"/>
        </w:rPr>
        <w:t xml:space="preserve"> </w:t>
      </w:r>
      <w:r>
        <w:rPr>
          <w:spacing w:val="-2"/>
          <w:sz w:val="21"/>
        </w:rPr>
        <w:t>规定±</w:t>
      </w:r>
      <w:r>
        <w:rPr>
          <w:rFonts w:ascii="Times New Roman" w:eastAsia="Times New Roman" w:hAnsi="Times New Roman"/>
          <w:sz w:val="21"/>
        </w:rPr>
        <w:t xml:space="preserve">10% </w:t>
      </w:r>
      <w:r>
        <w:rPr>
          <w:spacing w:val="-1"/>
          <w:sz w:val="21"/>
        </w:rPr>
        <w:t>的范围内。</w:t>
      </w:r>
    </w:p>
    <w:p>
      <w:pPr>
        <w:pStyle w:val="BodyText"/>
        <w:spacing w:before="151" w:after="37"/>
        <w:ind w:left="20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字体高度（单位：mm）</w:t>
      </w:r>
    </w:p>
    <w:tbl>
      <w:tblPr>
        <w:tblStyle w:val="TableNormal0"/>
        <w:tblW w:w="0" w:type="auto"/>
        <w:jc w:val="left"/>
        <w:tblInd w:w="1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4"/>
        <w:gridCol w:w="1034"/>
        <w:gridCol w:w="1044"/>
        <w:gridCol w:w="1032"/>
        <w:gridCol w:w="1046"/>
        <w:gridCol w:w="1036"/>
        <w:gridCol w:w="1041"/>
        <w:gridCol w:w="1034"/>
        <w:gridCol w:w="1044"/>
      </w:tblGrid>
      <w:tr>
        <w:tblPrEx>
          <w:tblW w:w="0" w:type="auto"/>
          <w:jc w:val="left"/>
          <w:tblInd w:w="117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04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192" w:type="dxa"/>
            <w:gridSpan w:val="5"/>
          </w:tcPr>
          <w:p>
            <w:pPr>
              <w:pStyle w:val="TableParagraph"/>
              <w:spacing w:before="27"/>
              <w:ind w:left="2367" w:right="1940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路名汉字</w:t>
            </w:r>
          </w:p>
        </w:tc>
        <w:tc>
          <w:tcPr>
            <w:tcW w:w="1041" w:type="dxa"/>
            <w:vMerge w:val="restart"/>
          </w:tcPr>
          <w:p>
            <w:pPr>
              <w:pStyle w:val="TableParagraph"/>
              <w:spacing w:before="6"/>
              <w:rPr>
                <w:rFonts w:ascii="黑体"/>
                <w:sz w:val="14"/>
              </w:rPr>
            </w:pPr>
          </w:p>
          <w:p>
            <w:pPr>
              <w:pStyle w:val="TableParagraph"/>
              <w:spacing w:line="278" w:lineRule="auto"/>
              <w:ind w:left="311" w:right="89" w:hanging="209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方向指示汉字</w:t>
            </w:r>
          </w:p>
        </w:tc>
        <w:tc>
          <w:tcPr>
            <w:tcW w:w="1034" w:type="dxa"/>
            <w:vMerge w:val="restart"/>
          </w:tcPr>
          <w:p>
            <w:pPr>
              <w:pStyle w:val="TableParagraph"/>
              <w:spacing w:before="8"/>
              <w:rPr>
                <w:rFonts w:ascii="黑体"/>
                <w:sz w:val="26"/>
              </w:rPr>
            </w:pPr>
          </w:p>
          <w:p>
            <w:pPr>
              <w:pStyle w:val="TableParagraph"/>
              <w:ind w:left="306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字母</w:t>
            </w:r>
          </w:p>
        </w:tc>
        <w:tc>
          <w:tcPr>
            <w:tcW w:w="1044" w:type="dxa"/>
            <w:vMerge w:val="restart"/>
          </w:tcPr>
          <w:p>
            <w:pPr>
              <w:pStyle w:val="TableParagraph"/>
              <w:spacing w:before="8"/>
              <w:rPr>
                <w:rFonts w:ascii="黑体"/>
                <w:sz w:val="26"/>
              </w:rPr>
            </w:pPr>
          </w:p>
          <w:p>
            <w:pPr>
              <w:pStyle w:val="TableParagraph"/>
              <w:ind w:left="103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指示距离</w:t>
            </w: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10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5"/>
              <w:ind w:left="333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2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字</w:t>
            </w:r>
          </w:p>
          <w:p>
            <w:pPr>
              <w:pStyle w:val="TableParagraph"/>
              <w:spacing w:before="43"/>
              <w:ind w:left="307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</w:t>
            </w:r>
          </w:p>
        </w:tc>
        <w:tc>
          <w:tcPr>
            <w:tcW w:w="1044" w:type="dxa"/>
          </w:tcPr>
          <w:p>
            <w:pPr>
              <w:pStyle w:val="TableParagraph"/>
              <w:spacing w:before="25"/>
              <w:ind w:left="338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3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字</w:t>
            </w:r>
          </w:p>
          <w:p>
            <w:pPr>
              <w:pStyle w:val="TableParagraph"/>
              <w:spacing w:before="43"/>
              <w:ind w:left="312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</w:t>
            </w:r>
          </w:p>
        </w:tc>
        <w:tc>
          <w:tcPr>
            <w:tcW w:w="1032" w:type="dxa"/>
          </w:tcPr>
          <w:p>
            <w:pPr>
              <w:pStyle w:val="TableParagraph"/>
              <w:spacing w:before="25"/>
              <w:ind w:left="334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4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字</w:t>
            </w:r>
          </w:p>
          <w:p>
            <w:pPr>
              <w:pStyle w:val="TableParagraph"/>
              <w:spacing w:before="43"/>
              <w:ind w:left="307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</w:t>
            </w:r>
          </w:p>
        </w:tc>
        <w:tc>
          <w:tcPr>
            <w:tcW w:w="1046" w:type="dxa"/>
          </w:tcPr>
          <w:p>
            <w:pPr>
              <w:pStyle w:val="TableParagraph"/>
              <w:spacing w:before="25"/>
              <w:ind w:left="341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5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字</w:t>
            </w:r>
          </w:p>
          <w:p>
            <w:pPr>
              <w:pStyle w:val="TableParagraph"/>
              <w:spacing w:before="43"/>
              <w:ind w:left="315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</w:t>
            </w:r>
          </w:p>
        </w:tc>
        <w:tc>
          <w:tcPr>
            <w:tcW w:w="1036" w:type="dxa"/>
          </w:tcPr>
          <w:p>
            <w:pPr>
              <w:pStyle w:val="TableParagraph"/>
              <w:spacing w:before="25"/>
              <w:ind w:left="334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>6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字</w:t>
            </w:r>
          </w:p>
          <w:p>
            <w:pPr>
              <w:pStyle w:val="TableParagraph"/>
              <w:spacing w:before="43"/>
              <w:ind w:left="308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路名</w:t>
            </w:r>
          </w:p>
        </w:tc>
        <w:tc>
          <w:tcPr>
            <w:tcW w:w="1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044" w:type="dxa"/>
          </w:tcPr>
          <w:p>
            <w:pPr>
              <w:pStyle w:val="TableParagraph"/>
              <w:spacing w:before="22"/>
              <w:ind w:left="292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rFonts w:ascii="宋体" w:eastAsia="宋体" w:hint="eastAsia"/>
                <w:sz w:val="21"/>
              </w:rPr>
              <w:t>型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335" w:right="333"/>
              <w:jc w:val="center"/>
              <w:rPr>
                <w:sz w:val="21"/>
              </w:rPr>
            </w:pPr>
            <w:r>
              <w:rPr>
                <w:sz w:val="21"/>
              </w:rPr>
              <w:t>--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364"/>
              <w:rPr>
                <w:sz w:val="21"/>
              </w:rPr>
            </w:pPr>
            <w:r>
              <w:rPr>
                <w:sz w:val="21"/>
              </w:rPr>
              <w:t>200</w:t>
            </w:r>
          </w:p>
        </w:tc>
        <w:tc>
          <w:tcPr>
            <w:tcW w:w="1032" w:type="dxa"/>
          </w:tcPr>
          <w:p>
            <w:pPr>
              <w:pStyle w:val="TableParagraph"/>
              <w:spacing w:before="34"/>
              <w:ind w:left="360"/>
              <w:rPr>
                <w:sz w:val="21"/>
              </w:rPr>
            </w:pPr>
            <w:r>
              <w:rPr>
                <w:sz w:val="21"/>
              </w:rPr>
              <w:t>185</w:t>
            </w:r>
          </w:p>
        </w:tc>
        <w:tc>
          <w:tcPr>
            <w:tcW w:w="1046" w:type="dxa"/>
          </w:tcPr>
          <w:p>
            <w:pPr>
              <w:pStyle w:val="TableParagraph"/>
              <w:spacing w:before="34"/>
              <w:ind w:left="367"/>
              <w:rPr>
                <w:sz w:val="21"/>
              </w:rPr>
            </w:pPr>
            <w:r>
              <w:rPr>
                <w:sz w:val="21"/>
              </w:rPr>
              <w:t>170</w:t>
            </w:r>
          </w:p>
        </w:tc>
        <w:tc>
          <w:tcPr>
            <w:tcW w:w="1036" w:type="dxa"/>
          </w:tcPr>
          <w:p>
            <w:pPr>
              <w:pStyle w:val="TableParagraph"/>
              <w:spacing w:before="34"/>
              <w:ind w:left="341" w:right="333"/>
              <w:jc w:val="center"/>
              <w:rPr>
                <w:sz w:val="21"/>
              </w:rPr>
            </w:pPr>
            <w:r>
              <w:rPr>
                <w:sz w:val="21"/>
              </w:rPr>
              <w:t>--</w:t>
            </w:r>
          </w:p>
        </w:tc>
        <w:tc>
          <w:tcPr>
            <w:tcW w:w="1041" w:type="dxa"/>
          </w:tcPr>
          <w:p>
            <w:pPr>
              <w:pStyle w:val="TableParagraph"/>
              <w:spacing w:before="34"/>
              <w:ind w:left="363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412"/>
              <w:rPr>
                <w:sz w:val="21"/>
              </w:rPr>
            </w:pPr>
            <w:r>
              <w:rPr>
                <w:sz w:val="21"/>
              </w:rPr>
              <w:t>80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417"/>
              <w:rPr>
                <w:sz w:val="21"/>
              </w:rPr>
            </w:pPr>
            <w:r>
              <w:rPr>
                <w:sz w:val="21"/>
              </w:rPr>
              <w:t>60</w:t>
            </w: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044" w:type="dxa"/>
          </w:tcPr>
          <w:p>
            <w:pPr>
              <w:pStyle w:val="TableParagraph"/>
              <w:spacing w:before="22"/>
              <w:ind w:left="292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 xml:space="preserve">B </w:t>
            </w:r>
            <w:r>
              <w:rPr>
                <w:rFonts w:ascii="宋体" w:eastAsia="宋体" w:hint="eastAsia"/>
                <w:sz w:val="21"/>
              </w:rPr>
              <w:t>型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335" w:right="333"/>
              <w:jc w:val="center"/>
              <w:rPr>
                <w:sz w:val="21"/>
              </w:rPr>
            </w:pPr>
            <w:r>
              <w:rPr>
                <w:sz w:val="21"/>
              </w:rPr>
              <w:t>--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364"/>
              <w:rPr>
                <w:sz w:val="21"/>
              </w:rPr>
            </w:pPr>
            <w:r>
              <w:rPr>
                <w:sz w:val="21"/>
              </w:rPr>
              <w:t>185</w:t>
            </w:r>
          </w:p>
        </w:tc>
        <w:tc>
          <w:tcPr>
            <w:tcW w:w="1032" w:type="dxa"/>
          </w:tcPr>
          <w:p>
            <w:pPr>
              <w:pStyle w:val="TableParagraph"/>
              <w:spacing w:before="34"/>
              <w:ind w:left="360"/>
              <w:rPr>
                <w:sz w:val="21"/>
              </w:rPr>
            </w:pPr>
            <w:r>
              <w:rPr>
                <w:sz w:val="21"/>
              </w:rPr>
              <w:t>165</w:t>
            </w:r>
          </w:p>
        </w:tc>
        <w:tc>
          <w:tcPr>
            <w:tcW w:w="1046" w:type="dxa"/>
          </w:tcPr>
          <w:p>
            <w:pPr>
              <w:pStyle w:val="TableParagraph"/>
              <w:spacing w:before="34"/>
              <w:ind w:left="367"/>
              <w:rPr>
                <w:sz w:val="21"/>
              </w:rPr>
            </w:pPr>
            <w:r>
              <w:rPr>
                <w:sz w:val="21"/>
              </w:rPr>
              <w:t>145</w:t>
            </w:r>
          </w:p>
        </w:tc>
        <w:tc>
          <w:tcPr>
            <w:tcW w:w="1036" w:type="dxa"/>
          </w:tcPr>
          <w:p>
            <w:pPr>
              <w:pStyle w:val="TableParagraph"/>
              <w:spacing w:before="34"/>
              <w:ind w:left="341" w:right="333"/>
              <w:jc w:val="center"/>
              <w:rPr>
                <w:sz w:val="21"/>
              </w:rPr>
            </w:pPr>
            <w:r>
              <w:rPr>
                <w:sz w:val="21"/>
              </w:rPr>
              <w:t>--</w:t>
            </w:r>
          </w:p>
        </w:tc>
        <w:tc>
          <w:tcPr>
            <w:tcW w:w="1041" w:type="dxa"/>
          </w:tcPr>
          <w:p>
            <w:pPr>
              <w:pStyle w:val="TableParagraph"/>
              <w:spacing w:before="34"/>
              <w:ind w:left="416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412"/>
              <w:rPr>
                <w:sz w:val="21"/>
              </w:rPr>
            </w:pPr>
            <w:r>
              <w:rPr>
                <w:sz w:val="21"/>
              </w:rPr>
              <w:t>60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417"/>
              <w:rPr>
                <w:sz w:val="21"/>
              </w:rPr>
            </w:pPr>
            <w:r>
              <w:rPr>
                <w:sz w:val="21"/>
              </w:rPr>
              <w:t>55</w:t>
            </w: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044" w:type="dxa"/>
          </w:tcPr>
          <w:p>
            <w:pPr>
              <w:pStyle w:val="TableParagraph"/>
              <w:spacing w:before="22"/>
              <w:ind w:left="292"/>
              <w:rPr>
                <w:rFonts w:ascii="宋体" w:eastAsia="宋体" w:hint="eastAsia"/>
                <w:sz w:val="21"/>
              </w:rPr>
            </w:pPr>
            <w:r>
              <w:rPr>
                <w:sz w:val="21"/>
              </w:rPr>
              <w:t xml:space="preserve">C </w:t>
            </w:r>
            <w:r>
              <w:rPr>
                <w:rFonts w:ascii="宋体" w:eastAsia="宋体" w:hint="eastAsia"/>
                <w:sz w:val="21"/>
              </w:rPr>
              <w:t>型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340" w:right="333"/>
              <w:jc w:val="center"/>
              <w:rPr>
                <w:sz w:val="21"/>
              </w:rPr>
            </w:pPr>
            <w:r>
              <w:rPr>
                <w:sz w:val="21"/>
              </w:rPr>
              <w:t>160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365"/>
              <w:rPr>
                <w:sz w:val="21"/>
              </w:rPr>
            </w:pPr>
            <w:r>
              <w:rPr>
                <w:sz w:val="21"/>
              </w:rPr>
              <w:t>150</w:t>
            </w:r>
          </w:p>
        </w:tc>
        <w:tc>
          <w:tcPr>
            <w:tcW w:w="1032" w:type="dxa"/>
          </w:tcPr>
          <w:p>
            <w:pPr>
              <w:pStyle w:val="TableParagraph"/>
              <w:spacing w:before="34"/>
              <w:ind w:left="360"/>
              <w:rPr>
                <w:sz w:val="21"/>
              </w:rPr>
            </w:pPr>
            <w:r>
              <w:rPr>
                <w:sz w:val="21"/>
              </w:rPr>
              <w:t>140</w:t>
            </w:r>
          </w:p>
        </w:tc>
        <w:tc>
          <w:tcPr>
            <w:tcW w:w="1046" w:type="dxa"/>
          </w:tcPr>
          <w:p>
            <w:pPr>
              <w:pStyle w:val="TableParagraph"/>
              <w:spacing w:before="34"/>
              <w:ind w:left="367"/>
              <w:rPr>
                <w:sz w:val="21"/>
              </w:rPr>
            </w:pPr>
            <w:r>
              <w:rPr>
                <w:sz w:val="21"/>
              </w:rPr>
              <w:t>130</w:t>
            </w:r>
          </w:p>
        </w:tc>
        <w:tc>
          <w:tcPr>
            <w:tcW w:w="1036" w:type="dxa"/>
          </w:tcPr>
          <w:p>
            <w:pPr>
              <w:pStyle w:val="TableParagraph"/>
              <w:spacing w:before="34"/>
              <w:ind w:left="341" w:right="334"/>
              <w:jc w:val="center"/>
              <w:rPr>
                <w:sz w:val="21"/>
              </w:rPr>
            </w:pPr>
            <w:r>
              <w:rPr>
                <w:sz w:val="21"/>
              </w:rPr>
              <w:t>120</w:t>
            </w:r>
          </w:p>
        </w:tc>
        <w:tc>
          <w:tcPr>
            <w:tcW w:w="1041" w:type="dxa"/>
          </w:tcPr>
          <w:p>
            <w:pPr>
              <w:pStyle w:val="TableParagraph"/>
              <w:spacing w:before="34"/>
              <w:ind w:left="417"/>
              <w:rPr>
                <w:sz w:val="21"/>
              </w:rPr>
            </w:pPr>
            <w:r>
              <w:rPr>
                <w:sz w:val="21"/>
              </w:rPr>
              <w:t>85</w:t>
            </w:r>
          </w:p>
        </w:tc>
        <w:tc>
          <w:tcPr>
            <w:tcW w:w="1034" w:type="dxa"/>
          </w:tcPr>
          <w:p>
            <w:pPr>
              <w:pStyle w:val="TableParagraph"/>
              <w:spacing w:before="34"/>
              <w:ind w:left="412"/>
              <w:rPr>
                <w:sz w:val="21"/>
              </w:rPr>
            </w:pPr>
            <w:r>
              <w:rPr>
                <w:sz w:val="21"/>
              </w:rPr>
              <w:t>65</w:t>
            </w:r>
          </w:p>
        </w:tc>
        <w:tc>
          <w:tcPr>
            <w:tcW w:w="1044" w:type="dxa"/>
          </w:tcPr>
          <w:p>
            <w:pPr>
              <w:pStyle w:val="TableParagraph"/>
              <w:spacing w:before="34"/>
              <w:ind w:left="418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</w:tr>
    </w:tbl>
    <w:p>
      <w:pPr>
        <w:pStyle w:val="ListParagraph"/>
        <w:numPr>
          <w:ilvl w:val="0"/>
          <w:numId w:val="16"/>
        </w:numPr>
        <w:tabs>
          <w:tab w:val="left" w:pos="2017"/>
        </w:tabs>
        <w:spacing w:before="23" w:after="0" w:line="240" w:lineRule="auto"/>
        <w:ind w:left="2016" w:right="0" w:hanging="421"/>
        <w:jc w:val="left"/>
        <w:rPr>
          <w:sz w:val="21"/>
        </w:rPr>
      </w:pPr>
      <w:bookmarkStart w:id="43" w:name="d） A、B、C型路名牌版面文字排列，以及路头、路尾用红圆替换方向汉字排列参见附"/>
      <w:bookmarkEnd w:id="43"/>
      <w:r>
        <w:rPr>
          <w:rFonts w:ascii="Times New Roman" w:eastAsia="Times New Roman"/>
          <w:sz w:val="21"/>
        </w:rPr>
        <w:t>A</w:t>
      </w:r>
      <w:r>
        <w:rPr>
          <w:spacing w:val="-3"/>
          <w:sz w:val="21"/>
        </w:rPr>
        <w:t>、</w:t>
      </w:r>
      <w:r>
        <w:rPr>
          <w:rFonts w:ascii="Times New Roman" w:eastAsia="Times New Roman"/>
          <w:sz w:val="21"/>
        </w:rPr>
        <w:t>B</w:t>
      </w:r>
      <w:r>
        <w:rPr>
          <w:spacing w:val="-3"/>
          <w:sz w:val="21"/>
        </w:rPr>
        <w:t>、</w:t>
      </w:r>
      <w:r>
        <w:rPr>
          <w:rFonts w:ascii="Times New Roman" w:eastAsia="Times New Roman"/>
          <w:sz w:val="21"/>
        </w:rPr>
        <w:t>C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pacing w:val="-5"/>
          <w:sz w:val="21"/>
        </w:rPr>
        <w:t xml:space="preserve">型路名牌版面文字排列，以及路头、路尾用红圆替换方向汉字排列参见附录 </w:t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。</w:t>
      </w:r>
    </w:p>
    <w:p>
      <w:pPr>
        <w:pStyle w:val="ListParagraph"/>
        <w:numPr>
          <w:ilvl w:val="1"/>
          <w:numId w:val="20"/>
        </w:numPr>
        <w:tabs>
          <w:tab w:val="left" w:pos="1702"/>
        </w:tabs>
        <w:spacing w:before="93" w:after="0" w:line="240" w:lineRule="auto"/>
        <w:ind w:left="1701" w:right="0" w:hanging="527"/>
        <w:jc w:val="left"/>
        <w:rPr>
          <w:sz w:val="21"/>
        </w:rPr>
      </w:pPr>
      <w:bookmarkStart w:id="44" w:name="5.4  颜色和字体及布局"/>
      <w:bookmarkEnd w:id="44"/>
      <w:r>
        <w:rPr>
          <w:spacing w:val="-3"/>
          <w:sz w:val="21"/>
        </w:rPr>
        <w:t>颜色和字体及布局</w:t>
      </w:r>
    </w:p>
    <w:p>
      <w:pPr>
        <w:pStyle w:val="ListParagraph"/>
        <w:numPr>
          <w:ilvl w:val="0"/>
          <w:numId w:val="15"/>
        </w:numPr>
        <w:tabs>
          <w:tab w:val="left" w:pos="2007"/>
        </w:tabs>
        <w:spacing w:before="91" w:after="0" w:line="278" w:lineRule="auto"/>
        <w:ind w:left="2016" w:right="968" w:hanging="421"/>
        <w:jc w:val="left"/>
        <w:rPr>
          <w:sz w:val="2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232210</wp:posOffset>
            </wp:positionV>
            <wp:extent cx="7112000" cy="48768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5" w:name="a） 路名牌上部蓝底白字（PANTONE国际色卡：蓝072C），下部白底黑字（P"/>
      <w:bookmarkEnd w:id="45"/>
      <w:r>
        <w:rPr>
          <w:spacing w:val="-3"/>
          <w:sz w:val="21"/>
        </w:rPr>
        <w:t>路名牌上部蓝底白字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PANTONE</w:t>
      </w:r>
      <w:r>
        <w:rPr>
          <w:rFonts w:ascii="Times New Roman" w:eastAsia="Times New Roman"/>
          <w:spacing w:val="32"/>
          <w:sz w:val="21"/>
        </w:rPr>
        <w:t xml:space="preserve"> </w:t>
      </w:r>
      <w:r>
        <w:rPr>
          <w:spacing w:val="-6"/>
          <w:sz w:val="21"/>
        </w:rPr>
        <w:t xml:space="preserve">国际色卡：蓝 </w:t>
      </w:r>
      <w:r>
        <w:rPr>
          <w:rFonts w:ascii="Times New Roman" w:eastAsia="Times New Roman"/>
          <w:sz w:val="21"/>
        </w:rPr>
        <w:t>072C</w:t>
      </w:r>
      <w:r>
        <w:rPr>
          <w:sz w:val="21"/>
        </w:rPr>
        <w:t>）</w:t>
      </w:r>
      <w:r>
        <w:rPr>
          <w:spacing w:val="-3"/>
          <w:sz w:val="21"/>
        </w:rPr>
        <w:t>，下部白底黑字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PANTONE</w:t>
      </w:r>
      <w:r>
        <w:rPr>
          <w:rFonts w:ascii="Times New Roman" w:eastAsia="Times New Roman"/>
          <w:spacing w:val="32"/>
          <w:sz w:val="21"/>
        </w:rPr>
        <w:t xml:space="preserve"> </w:t>
      </w:r>
      <w:r>
        <w:rPr>
          <w:spacing w:val="-2"/>
          <w:sz w:val="21"/>
        </w:rPr>
        <w:t>国际色</w:t>
      </w:r>
      <w:r>
        <w:rPr>
          <w:spacing w:val="-15"/>
          <w:sz w:val="21"/>
        </w:rPr>
        <w:t xml:space="preserve">卡：黑 </w:t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）</w:t>
      </w:r>
      <w:r>
        <w:rPr>
          <w:spacing w:val="-3"/>
          <w:sz w:val="21"/>
        </w:rPr>
        <w:t>，采用高温静电喷塑；</w:t>
      </w:r>
    </w:p>
    <w:p>
      <w:pPr>
        <w:pStyle w:val="ListParagraph"/>
        <w:numPr>
          <w:ilvl w:val="0"/>
          <w:numId w:val="15"/>
        </w:numPr>
        <w:tabs>
          <w:tab w:val="left" w:pos="2019"/>
        </w:tabs>
        <w:spacing w:before="0" w:after="0" w:line="269" w:lineRule="exact"/>
        <w:ind w:left="2018" w:right="0" w:hanging="423"/>
        <w:jc w:val="left"/>
        <w:rPr>
          <w:sz w:val="21"/>
        </w:rPr>
      </w:pPr>
      <w:bookmarkStart w:id="46" w:name="b） 牌面内容包括道路标准地名的汉字名称、汉语拼音和方向标示，并应按下列要求标示"/>
      <w:bookmarkEnd w:id="46"/>
      <w:r>
        <w:rPr>
          <w:spacing w:val="-3"/>
          <w:sz w:val="21"/>
        </w:rPr>
        <w:t>牌面内容包括道路标准地名的汉字名称、汉语拼音和方向标示，并应按下列要求标示：</w:t>
      </w:r>
    </w:p>
    <w:p>
      <w:pPr>
        <w:pStyle w:val="ListParagraph"/>
        <w:numPr>
          <w:ilvl w:val="1"/>
          <w:numId w:val="15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47" w:name="1） 汉字为黑体,书写形式用国家规定的规范文字；"/>
      <w:bookmarkEnd w:id="47"/>
      <w:r>
        <w:rPr>
          <w:spacing w:val="-3"/>
          <w:sz w:val="21"/>
        </w:rPr>
        <w:t>汉字为黑体</w:t>
      </w:r>
      <w:r>
        <w:rPr>
          <w:rFonts w:ascii="Times New Roman" w:eastAsia="Times New Roman"/>
          <w:sz w:val="21"/>
        </w:rPr>
        <w:t>,</w:t>
      </w:r>
      <w:r>
        <w:rPr>
          <w:spacing w:val="-3"/>
          <w:sz w:val="21"/>
        </w:rPr>
        <w:t>书写形式用国家规定的规范文字；</w:t>
      </w:r>
    </w:p>
    <w:p>
      <w:pPr>
        <w:pStyle w:val="ListParagraph"/>
        <w:numPr>
          <w:ilvl w:val="1"/>
          <w:numId w:val="15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48" w:name="2） 数字、字母为Arial体；"/>
      <w:bookmarkEnd w:id="48"/>
      <w:r>
        <w:rPr>
          <w:spacing w:val="-11"/>
          <w:sz w:val="21"/>
        </w:rPr>
        <w:t xml:space="preserve">数字、字母为 </w:t>
      </w:r>
      <w:r>
        <w:rPr>
          <w:rFonts w:ascii="Times New Roman" w:eastAsia="Times New Roman"/>
          <w:sz w:val="21"/>
        </w:rPr>
        <w:t>Arial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pacing w:val="-2"/>
          <w:sz w:val="21"/>
        </w:rPr>
        <w:t>体；</w:t>
      </w:r>
    </w:p>
    <w:p>
      <w:pPr>
        <w:pStyle w:val="ListParagraph"/>
        <w:numPr>
          <w:ilvl w:val="1"/>
          <w:numId w:val="15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49" w:name="3） 汉语拼音按普通话拼写,首字母大写；"/>
      <w:bookmarkEnd w:id="49"/>
      <w:r>
        <w:rPr>
          <w:spacing w:val="-3"/>
          <w:sz w:val="21"/>
        </w:rPr>
        <w:t>汉语拼音按普通话拼写</w:t>
      </w:r>
      <w:r>
        <w:rPr>
          <w:rFonts w:ascii="Times New Roman" w:eastAsia="Times New Roman"/>
          <w:sz w:val="21"/>
        </w:rPr>
        <w:t>,</w:t>
      </w:r>
      <w:r>
        <w:rPr>
          <w:spacing w:val="-3"/>
          <w:sz w:val="21"/>
        </w:rPr>
        <w:t>首字母大写；</w:t>
      </w:r>
    </w:p>
    <w:p>
      <w:pPr>
        <w:pStyle w:val="ListParagraph"/>
        <w:numPr>
          <w:ilvl w:val="1"/>
          <w:numId w:val="15"/>
        </w:numPr>
        <w:tabs>
          <w:tab w:val="left" w:pos="2439"/>
        </w:tabs>
        <w:spacing w:before="42" w:after="0" w:line="240" w:lineRule="auto"/>
        <w:ind w:left="2438" w:right="0" w:hanging="423"/>
        <w:jc w:val="left"/>
        <w:rPr>
          <w:sz w:val="21"/>
        </w:rPr>
      </w:pPr>
      <w:bookmarkStart w:id="50" w:name="4） 英文书写参考附录C。"/>
      <w:bookmarkEnd w:id="50"/>
      <w:r>
        <w:rPr>
          <w:spacing w:val="-9"/>
          <w:sz w:val="21"/>
        </w:rPr>
        <w:t xml:space="preserve">英文书写参考附录 </w:t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2007"/>
        </w:tabs>
        <w:spacing w:before="43" w:after="0" w:line="240" w:lineRule="auto"/>
        <w:ind w:left="2006" w:right="0" w:hanging="411"/>
        <w:jc w:val="left"/>
        <w:rPr>
          <w:sz w:val="21"/>
        </w:rPr>
      </w:pPr>
      <w:bookmarkStart w:id="51" w:name="c） 方向标注采用磁北方向区分东西、南北；"/>
      <w:bookmarkEnd w:id="51"/>
      <w:r>
        <w:rPr>
          <w:spacing w:val="-3"/>
          <w:sz w:val="21"/>
        </w:rPr>
        <w:t>方向标注采用磁北方向区分东西、南北；</w:t>
      </w:r>
    </w:p>
    <w:p>
      <w:pPr>
        <w:pStyle w:val="ListParagraph"/>
        <w:numPr>
          <w:ilvl w:val="0"/>
          <w:numId w:val="15"/>
        </w:numPr>
        <w:tabs>
          <w:tab w:val="left" w:pos="1995"/>
        </w:tabs>
        <w:spacing w:before="43" w:after="0" w:line="278" w:lineRule="auto"/>
        <w:ind w:left="2016" w:right="970" w:hanging="421"/>
        <w:jc w:val="left"/>
        <w:rPr>
          <w:sz w:val="21"/>
        </w:rPr>
      </w:pPr>
      <w:bookmarkStart w:id="52" w:name="d） 反光膜的性能及逆反射系数、反光膜（包括丝网印刷和贴覆电刻膜后的反光膜）的各"/>
      <w:bookmarkEnd w:id="52"/>
      <w:r>
        <w:rPr>
          <w:spacing w:val="-7"/>
          <w:sz w:val="21"/>
        </w:rPr>
        <w:t>反光膜的性能及逆反射系数、反光膜</w:t>
      </w:r>
      <w:r>
        <w:rPr>
          <w:sz w:val="21"/>
        </w:rPr>
        <w:t>（</w:t>
      </w:r>
      <w:r>
        <w:rPr>
          <w:spacing w:val="-3"/>
          <w:sz w:val="21"/>
        </w:rPr>
        <w:t>包括丝网印刷和贴覆电刻膜后的反光膜</w:t>
      </w:r>
      <w:r>
        <w:rPr>
          <w:spacing w:val="-24"/>
          <w:sz w:val="21"/>
        </w:rPr>
        <w:t>）</w:t>
      </w:r>
      <w:r>
        <w:rPr>
          <w:spacing w:val="-3"/>
          <w:sz w:val="21"/>
        </w:rPr>
        <w:t>的各种颜色的</w:t>
      </w:r>
      <w:r>
        <w:rPr>
          <w:spacing w:val="-10"/>
          <w:sz w:val="21"/>
        </w:rPr>
        <w:t xml:space="preserve">亮度因数应符合 </w:t>
      </w:r>
      <w:r>
        <w:rPr>
          <w:rFonts w:ascii="Times New Roman" w:eastAsia="Times New Roman"/>
          <w:sz w:val="21"/>
        </w:rPr>
        <w:t xml:space="preserve">GB/T18833 </w:t>
      </w:r>
      <w:r>
        <w:rPr>
          <w:spacing w:val="-3"/>
          <w:sz w:val="21"/>
        </w:rPr>
        <w:t>的相关要求，且宜具备夜视功能。</w:t>
      </w:r>
    </w:p>
    <w:p>
      <w:pPr>
        <w:pStyle w:val="ListParagraph"/>
        <w:numPr>
          <w:ilvl w:val="0"/>
          <w:numId w:val="15"/>
        </w:numPr>
        <w:tabs>
          <w:tab w:val="left" w:pos="2007"/>
        </w:tabs>
        <w:spacing w:before="0" w:after="0" w:line="269" w:lineRule="exact"/>
        <w:ind w:left="2006" w:right="0" w:hanging="411"/>
        <w:jc w:val="left"/>
        <w:rPr>
          <w:sz w:val="21"/>
        </w:rPr>
      </w:pPr>
      <w:bookmarkStart w:id="53" w:name="e） 牌面底部距离地面净高应≥2500mm。"/>
      <w:bookmarkEnd w:id="53"/>
      <w:r>
        <w:rPr>
          <w:spacing w:val="-3"/>
          <w:sz w:val="21"/>
        </w:rPr>
        <w:t>牌面底部距离地面净高应</w:t>
      </w:r>
      <w:r>
        <w:rPr>
          <w:rFonts w:ascii="Times New Roman" w:eastAsia="Times New Roman" w:hAnsi="Times New Roman"/>
          <w:sz w:val="21"/>
        </w:rPr>
        <w:t>≥2500mm</w:t>
      </w:r>
      <w:r>
        <w:rPr>
          <w:sz w:val="21"/>
        </w:rPr>
        <w:t>。</w:t>
      </w:r>
    </w:p>
    <w:p>
      <w:pPr>
        <w:pStyle w:val="ListParagraph"/>
        <w:numPr>
          <w:ilvl w:val="1"/>
          <w:numId w:val="20"/>
        </w:numPr>
        <w:tabs>
          <w:tab w:val="left" w:pos="1703"/>
        </w:tabs>
        <w:spacing w:before="94" w:after="0" w:line="240" w:lineRule="auto"/>
        <w:ind w:left="1702" w:right="0" w:hanging="527"/>
        <w:jc w:val="left"/>
        <w:rPr>
          <w:sz w:val="21"/>
        </w:rPr>
      </w:pPr>
      <w:bookmarkStart w:id="54" w:name="5.5  路名牌材料和性能"/>
      <w:bookmarkEnd w:id="54"/>
      <w:r>
        <w:rPr>
          <w:spacing w:val="-3"/>
          <w:sz w:val="21"/>
        </w:rPr>
        <w:t>路名牌材料和性能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val="left" w:pos="2007"/>
        </w:tabs>
        <w:spacing w:before="1" w:after="0" w:line="240" w:lineRule="auto"/>
        <w:ind w:left="2006" w:right="0" w:hanging="411"/>
        <w:jc w:val="left"/>
        <w:rPr>
          <w:sz w:val="21"/>
        </w:rPr>
      </w:pPr>
      <w:r>
        <w:rPr>
          <w:spacing w:val="-3"/>
          <w:sz w:val="21"/>
        </w:rPr>
        <w:t>路名牌牌面材料应满足下列要求：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60" w:after="0" w:line="240" w:lineRule="auto"/>
        <w:ind w:left="2438" w:right="0" w:hanging="423"/>
        <w:jc w:val="left"/>
        <w:rPr>
          <w:sz w:val="21"/>
        </w:rPr>
      </w:pPr>
      <w:bookmarkStart w:id="55" w:name="1） 路名牌牌面的材料应平整，平整度应不大于3mm/m；"/>
      <w:bookmarkEnd w:id="55"/>
      <w:r>
        <w:rPr>
          <w:spacing w:val="-6"/>
          <w:sz w:val="21"/>
        </w:rPr>
        <w:t xml:space="preserve">路名牌牌面的材料应平整，平整度应不大于 </w:t>
      </w:r>
      <w:r>
        <w:rPr>
          <w:rFonts w:ascii="Times New Roman" w:eastAsia="Times New Roman"/>
          <w:sz w:val="21"/>
        </w:rPr>
        <w:t>3mm/m</w:t>
      </w:r>
      <w:r>
        <w:rPr>
          <w:sz w:val="21"/>
        </w:rPr>
        <w:t>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56" w:name="2） 牌面应具备足够的抗冲击性，10kg.cm冲击强度下不破损；"/>
      <w:bookmarkEnd w:id="56"/>
      <w:r>
        <w:rPr>
          <w:spacing w:val="-3"/>
          <w:sz w:val="21"/>
        </w:rPr>
        <w:t>牌面应具备足够的抗冲击性，</w:t>
      </w:r>
      <w:r>
        <w:rPr>
          <w:rFonts w:ascii="Times New Roman" w:eastAsia="Times New Roman"/>
          <w:sz w:val="21"/>
        </w:rPr>
        <w:t>10kg.cm</w:t>
      </w:r>
      <w:r>
        <w:rPr>
          <w:rFonts w:ascii="Times New Roman" w:eastAsia="Times New Roman"/>
          <w:spacing w:val="-4"/>
          <w:sz w:val="21"/>
        </w:rPr>
        <w:t xml:space="preserve"> </w:t>
      </w:r>
      <w:r>
        <w:rPr>
          <w:spacing w:val="-3"/>
          <w:sz w:val="21"/>
        </w:rPr>
        <w:t>冲击强度下不破损；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57" w:name="3） 牌面必须能粘贴ш类反光膜，反光膜的附着力应符合GB/T 18833的要求；"/>
      <w:bookmarkEnd w:id="57"/>
      <w:r>
        <w:rPr>
          <w:spacing w:val="-3"/>
          <w:sz w:val="21"/>
        </w:rPr>
        <w:t>牌面必须能粘贴</w:t>
      </w:r>
      <w:r>
        <w:rPr>
          <w:sz w:val="21"/>
        </w:rPr>
        <w:t>ш</w:t>
      </w:r>
      <w:r>
        <w:rPr>
          <w:spacing w:val="-7"/>
          <w:sz w:val="21"/>
        </w:rPr>
        <w:t xml:space="preserve">类反光膜，反光膜的附着力应符合 </w:t>
      </w:r>
      <w:r>
        <w:rPr>
          <w:rFonts w:ascii="Times New Roman" w:eastAsia="Times New Roman" w:hAnsi="Times New Roman"/>
          <w:sz w:val="21"/>
        </w:rPr>
        <w:t>GB/T</w:t>
      </w:r>
      <w:r>
        <w:rPr>
          <w:rFonts w:ascii="Times New Roman" w:eastAsia="Times New Roman" w:hAnsi="Times New Roman"/>
          <w:spacing w:val="-1"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18833</w:t>
      </w:r>
      <w:r>
        <w:rPr>
          <w:rFonts w:ascii="Times New Roman" w:eastAsia="Times New Roman" w:hAnsi="Times New Roman"/>
          <w:spacing w:val="1"/>
          <w:sz w:val="21"/>
        </w:rPr>
        <w:t xml:space="preserve"> </w:t>
      </w:r>
      <w:r>
        <w:rPr>
          <w:spacing w:val="-3"/>
          <w:sz w:val="21"/>
        </w:rPr>
        <w:t>的要求；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2" w:after="0" w:line="240" w:lineRule="auto"/>
        <w:ind w:left="2438" w:right="0" w:hanging="423"/>
        <w:jc w:val="left"/>
        <w:rPr>
          <w:sz w:val="21"/>
        </w:rPr>
      </w:pPr>
      <w:bookmarkStart w:id="58" w:name="4） 骨架材质：3.8mm厚铝合金V型材；"/>
      <w:bookmarkEnd w:id="58"/>
      <w:r>
        <w:rPr>
          <w:spacing w:val="-3"/>
          <w:sz w:val="21"/>
        </w:rPr>
        <w:t>骨架材质：</w:t>
      </w:r>
      <w:r>
        <w:rPr>
          <w:rFonts w:ascii="Times New Roman" w:eastAsia="Times New Roman"/>
          <w:sz w:val="21"/>
        </w:rPr>
        <w:t>3.8mm</w:t>
      </w:r>
      <w:r>
        <w:rPr>
          <w:rFonts w:ascii="Times New Roman" w:eastAsia="Times New Roman"/>
          <w:spacing w:val="-4"/>
          <w:sz w:val="21"/>
        </w:rPr>
        <w:t xml:space="preserve"> </w:t>
      </w:r>
      <w:r>
        <w:rPr>
          <w:spacing w:val="11"/>
          <w:sz w:val="21"/>
        </w:rPr>
        <w:t>厚铝合金</w:t>
      </w:r>
      <w:r>
        <w:rPr>
          <w:rFonts w:ascii="Times New Roman" w:eastAsia="Times New Roman"/>
          <w:sz w:val="21"/>
        </w:rPr>
        <w:t>V</w:t>
      </w:r>
      <w:r>
        <w:rPr>
          <w:rFonts w:ascii="Times New Roman" w:eastAsia="Times New Roman"/>
          <w:spacing w:val="1"/>
          <w:sz w:val="21"/>
        </w:rPr>
        <w:t xml:space="preserve"> </w:t>
      </w:r>
      <w:r>
        <w:rPr>
          <w:spacing w:val="-2"/>
          <w:sz w:val="21"/>
        </w:rPr>
        <w:t>型材；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59" w:name="5） 牌面材质：铝合金板；"/>
      <w:bookmarkEnd w:id="59"/>
      <w:r>
        <w:rPr>
          <w:spacing w:val="-3"/>
          <w:sz w:val="21"/>
        </w:rPr>
        <w:t>牌面材质：铝合金板；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60" w:name="6） 牌面厚度：不小于2.0mm；"/>
      <w:bookmarkEnd w:id="60"/>
      <w:r>
        <w:rPr>
          <w:spacing w:val="-9"/>
          <w:sz w:val="21"/>
        </w:rPr>
        <w:t xml:space="preserve">牌面厚度：不小于 </w:t>
      </w:r>
      <w:r>
        <w:rPr>
          <w:rFonts w:ascii="Times New Roman" w:eastAsia="Times New Roman"/>
          <w:spacing w:val="-2"/>
          <w:sz w:val="21"/>
        </w:rPr>
        <w:t>2.0mm</w:t>
      </w:r>
      <w:r>
        <w:rPr>
          <w:spacing w:val="-2"/>
          <w:sz w:val="21"/>
        </w:rPr>
        <w:t>；</w:t>
      </w:r>
    </w:p>
    <w:p>
      <w:pPr>
        <w:pStyle w:val="ListParagraph"/>
        <w:numPr>
          <w:ilvl w:val="1"/>
          <w:numId w:val="14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61" w:name="7） 牌面倒角：R40。"/>
      <w:bookmarkEnd w:id="61"/>
      <w:r>
        <w:rPr>
          <w:spacing w:val="-3"/>
          <w:sz w:val="21"/>
        </w:rPr>
        <w:t>牌面倒角：</w:t>
      </w:r>
      <w:r>
        <w:rPr>
          <w:rFonts w:ascii="Times New Roman" w:eastAsia="Times New Roman"/>
          <w:sz w:val="21"/>
        </w:rPr>
        <w:t>R40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14"/>
        </w:numPr>
        <w:tabs>
          <w:tab w:val="left" w:pos="2019"/>
        </w:tabs>
        <w:spacing w:before="43" w:after="0" w:line="240" w:lineRule="auto"/>
        <w:ind w:left="2018" w:right="0" w:hanging="423"/>
        <w:jc w:val="left"/>
        <w:rPr>
          <w:sz w:val="21"/>
        </w:rPr>
      </w:pPr>
      <w:bookmarkStart w:id="62" w:name="b） 路名牌连接件材料应满足下列要求："/>
      <w:bookmarkEnd w:id="62"/>
      <w:r>
        <w:rPr>
          <w:spacing w:val="-3"/>
          <w:sz w:val="21"/>
        </w:rPr>
        <w:t>路名牌连接件材料应满足下列要求：</w:t>
      </w:r>
    </w:p>
    <w:p>
      <w:pPr>
        <w:pStyle w:val="BodyText"/>
        <w:spacing w:before="43"/>
        <w:ind w:left="2016"/>
      </w:pPr>
      <w:bookmarkStart w:id="63" w:name="1） 路名牌连接件的材料应有一定的强度和高度，必须能传递牌面不小于110kg /"/>
      <w:bookmarkEnd w:id="63"/>
      <w:r>
        <w:rPr>
          <w:rFonts w:ascii="Times New Roman" w:eastAsia="Times New Roman"/>
        </w:rPr>
        <w:t>1</w:t>
      </w:r>
      <w:r>
        <w:t xml:space="preserve">） 路名牌连接件的材料应有一定的强度和高度，必须能传递牌面不小于 </w:t>
      </w:r>
      <w:r>
        <w:rPr>
          <w:rFonts w:ascii="Times New Roman" w:eastAsia="Times New Roman"/>
        </w:rPr>
        <w:t>110kg / m</w:t>
      </w:r>
      <w:r>
        <w:rPr>
          <w:rFonts w:ascii="Times New Roman" w:eastAsia="Times New Roman"/>
          <w:vertAlign w:val="superscript"/>
        </w:rPr>
        <w:t>2</w:t>
      </w:r>
      <w:r>
        <w:rPr>
          <w:rFonts w:ascii="Times New Roman" w:eastAsia="Times New Roman"/>
          <w:vertAlign w:val="baseline"/>
        </w:rPr>
        <w:t xml:space="preserve"> </w:t>
      </w:r>
      <w:r>
        <w:rPr>
          <w:vertAlign w:val="baseline"/>
        </w:rPr>
        <w:t>的风载；</w:t>
      </w:r>
    </w:p>
    <w:p>
      <w:pPr>
        <w:pStyle w:val="BodyText"/>
        <w:spacing w:before="43"/>
        <w:ind w:left="2015"/>
      </w:pPr>
      <w:bookmarkStart w:id="64" w:name="2） 连接件：φ80×2.5×200mm（A、B型路名牌）或φ70×2.5×20"/>
      <w:bookmarkEnd w:id="64"/>
      <w:r>
        <w:rPr>
          <w:rFonts w:ascii="Times New Roman" w:eastAsia="Times New Roman" w:hAnsi="Times New Roman"/>
        </w:rPr>
        <w:t>2</w:t>
      </w:r>
      <w:r>
        <w:t>） 连接件：</w:t>
      </w:r>
      <w:r>
        <w:rPr>
          <w:rFonts w:ascii="Times New Roman" w:eastAsia="Times New Roman" w:hAnsi="Times New Roman"/>
        </w:rPr>
        <w:t>φ80×2.5×200mm</w:t>
      </w:r>
      <w:r>
        <w:t>（</w:t>
      </w:r>
      <w:r>
        <w:rPr>
          <w:rFonts w:ascii="Times New Roman" w:eastAsia="Times New Roman" w:hAnsi="Times New Roman"/>
        </w:rPr>
        <w:t>A</w:t>
      </w:r>
      <w:r>
        <w:t>、</w:t>
      </w:r>
      <w:r>
        <w:rPr>
          <w:rFonts w:ascii="Times New Roman" w:eastAsia="Times New Roman" w:hAnsi="Times New Roman"/>
        </w:rPr>
        <w:t xml:space="preserve">B </w:t>
      </w:r>
      <w:r>
        <w:t>型路名牌）或</w:t>
      </w:r>
      <w:r>
        <w:rPr>
          <w:rFonts w:ascii="Times New Roman" w:eastAsia="Times New Roman" w:hAnsi="Times New Roman"/>
        </w:rPr>
        <w:t>φ70×2.5×200mm</w:t>
      </w:r>
      <w:r>
        <w:t>（</w:t>
      </w:r>
      <w:r>
        <w:rPr>
          <w:rFonts w:ascii="Times New Roman" w:eastAsia="Times New Roman" w:hAnsi="Times New Roman"/>
        </w:rPr>
        <w:t xml:space="preserve">C </w:t>
      </w:r>
      <w:r>
        <w:t>型路名牌）；</w:t>
      </w:r>
    </w:p>
    <w:p>
      <w:pPr>
        <w:spacing w:before="85"/>
        <w:ind w:left="0" w:right="1188" w:firstLine="0"/>
        <w:jc w:val="right"/>
        <w:rPr>
          <w:rFonts w:ascii="Times New Roman"/>
          <w:sz w:val="18"/>
        </w:rPr>
      </w:pPr>
      <w:r>
        <w:rPr>
          <w:rFonts w:ascii="Times New Roman"/>
          <w:sz w:val="18"/>
        </w:rPr>
        <w:t>5</w:t>
      </w:r>
    </w:p>
    <w:p>
      <w:pPr>
        <w:spacing w:after="0"/>
        <w:jc w:val="right"/>
        <w:rPr>
          <w:rFonts w:ascii="Times New Roman"/>
          <w:sz w:val="18"/>
        </w:rPr>
        <w:sectPr>
          <w:headerReference w:type="even" r:id="rId31"/>
          <w:headerReference w:type="default" r:id="rId32"/>
          <w:pgSz w:w="11910" w:h="16840"/>
          <w:pgMar w:top="1640" w:right="160" w:bottom="280" w:left="240" w:header="1448" w:footer="0"/>
          <w:pgNumType w:start="18"/>
          <w:cols w:space="708"/>
        </w:sect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BodyText"/>
        <w:spacing w:before="78"/>
        <w:ind w:left="2016"/>
      </w:pPr>
      <w:bookmarkStart w:id="65" w:name="3） 固定螺栓：2×M12×45mm；"/>
      <w:bookmarkEnd w:id="65"/>
      <w:r>
        <w:rPr>
          <w:rFonts w:ascii="Times New Roman" w:eastAsia="Times New Roman" w:hAnsi="Times New Roman"/>
        </w:rPr>
        <w:t>3</w:t>
      </w:r>
      <w:r>
        <w:t>） 固定螺栓：</w:t>
      </w:r>
      <w:r>
        <w:rPr>
          <w:rFonts w:ascii="Times New Roman" w:eastAsia="Times New Roman" w:hAnsi="Times New Roman"/>
        </w:rPr>
        <w:t>2×M12×45mm</w:t>
      </w:r>
      <w:r>
        <w:t>；</w:t>
      </w:r>
    </w:p>
    <w:p>
      <w:pPr>
        <w:pStyle w:val="BodyText"/>
        <w:spacing w:before="43"/>
        <w:ind w:left="2015"/>
      </w:pPr>
      <w:bookmarkStart w:id="66" w:name="4） 紧固螺丝：6×M8×20mm；"/>
      <w:bookmarkEnd w:id="66"/>
      <w:r>
        <w:rPr>
          <w:rFonts w:ascii="Times New Roman" w:eastAsia="Times New Roman" w:hAnsi="Times New Roman"/>
        </w:rPr>
        <w:t>4</w:t>
      </w:r>
      <w:r>
        <w:t>） 紧固螺丝：</w:t>
      </w:r>
      <w:r>
        <w:rPr>
          <w:rFonts w:ascii="Times New Roman" w:eastAsia="Times New Roman" w:hAnsi="Times New Roman"/>
        </w:rPr>
        <w:t>6×M8×20mm</w:t>
      </w:r>
      <w:r>
        <w:t>；</w:t>
      </w:r>
    </w:p>
    <w:p>
      <w:pPr>
        <w:pStyle w:val="BodyText"/>
        <w:spacing w:before="43" w:line="278" w:lineRule="auto"/>
        <w:ind w:left="1595" w:right="6711" w:firstLine="420"/>
      </w:pPr>
      <w:bookmarkStart w:id="67" w:name="5） 连接形式：参见附录B。"/>
      <w:bookmarkEnd w:id="67"/>
      <w:r>
        <w:rPr>
          <w:rFonts w:ascii="Times New Roman" w:eastAsia="Times New Roman"/>
        </w:rPr>
        <w:t>5</w:t>
      </w:r>
      <w:r>
        <w:t xml:space="preserve">） 连接形式：参见附录 </w:t>
      </w:r>
      <w:r>
        <w:rPr>
          <w:rFonts w:ascii="Times New Roman" w:eastAsia="Times New Roman"/>
        </w:rPr>
        <w:t>B</w:t>
      </w:r>
      <w:r>
        <w:t>。</w:t>
      </w:r>
      <w:bookmarkStart w:id="68" w:name="c） 法兰盘"/>
      <w:bookmarkEnd w:id="68"/>
      <w:r>
        <w:rPr>
          <w:rFonts w:ascii="Times New Roman" w:eastAsia="Times New Roman"/>
        </w:rPr>
        <w:t>c</w:t>
      </w:r>
      <w:r>
        <w:t>） 法兰盘</w:t>
      </w:r>
    </w:p>
    <w:p>
      <w:pPr>
        <w:pStyle w:val="ListParagraph"/>
        <w:numPr>
          <w:ilvl w:val="0"/>
          <w:numId w:val="13"/>
        </w:numPr>
        <w:tabs>
          <w:tab w:val="left" w:pos="2439"/>
        </w:tabs>
        <w:spacing w:before="0" w:after="0" w:line="269" w:lineRule="exact"/>
        <w:ind w:left="2438" w:right="0" w:hanging="424"/>
        <w:jc w:val="left"/>
        <w:rPr>
          <w:sz w:val="21"/>
        </w:rPr>
      </w:pPr>
      <w:bookmarkStart w:id="69" w:name="1） 材质：ABS工程塑料；"/>
      <w:bookmarkEnd w:id="69"/>
      <w:r>
        <w:rPr>
          <w:spacing w:val="-2"/>
          <w:sz w:val="21"/>
        </w:rPr>
        <w:t>材质：</w:t>
      </w:r>
      <w:r>
        <w:rPr>
          <w:rFonts w:ascii="Times New Roman" w:eastAsia="Times New Roman"/>
          <w:sz w:val="21"/>
        </w:rPr>
        <w:t>ABS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pacing w:val="-3"/>
          <w:sz w:val="21"/>
        </w:rPr>
        <w:t>工程塑料；</w:t>
      </w:r>
    </w:p>
    <w:p>
      <w:pPr>
        <w:pStyle w:val="ListParagraph"/>
        <w:numPr>
          <w:ilvl w:val="0"/>
          <w:numId w:val="13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70" w:name="2） 颜色：灰色高温静电喷塑（PANTONE国际色卡：428C）；"/>
      <w:bookmarkEnd w:id="70"/>
      <w:r>
        <w:rPr>
          <w:spacing w:val="-3"/>
          <w:sz w:val="21"/>
        </w:rPr>
        <w:t>颜色：灰色高温静电喷塑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PANTONE</w:t>
      </w:r>
      <w:r>
        <w:rPr>
          <w:rFonts w:ascii="Times New Roman" w:eastAsia="Times New Roman"/>
          <w:spacing w:val="-2"/>
          <w:sz w:val="21"/>
        </w:rPr>
        <w:t xml:space="preserve"> </w:t>
      </w:r>
      <w:r>
        <w:rPr>
          <w:spacing w:val="-3"/>
          <w:sz w:val="21"/>
        </w:rPr>
        <w:t>国际色卡：</w:t>
      </w:r>
      <w:r>
        <w:rPr>
          <w:rFonts w:ascii="Times New Roman" w:eastAsia="Times New Roman"/>
          <w:sz w:val="21"/>
        </w:rPr>
        <w:t>428C</w:t>
      </w:r>
      <w:r>
        <w:rPr>
          <w:sz w:val="21"/>
        </w:rPr>
        <w:t>）；</w:t>
      </w:r>
    </w:p>
    <w:p>
      <w:pPr>
        <w:pStyle w:val="ListParagraph"/>
        <w:numPr>
          <w:ilvl w:val="0"/>
          <w:numId w:val="13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71" w:name="3） 规格：详细尺寸参见图3。"/>
      <w:bookmarkEnd w:id="71"/>
      <w:r>
        <w:rPr>
          <w:spacing w:val="-8"/>
          <w:sz w:val="21"/>
        </w:rPr>
        <w:t xml:space="preserve">规格：详细尺寸参见图 </w:t>
      </w:r>
      <w:r>
        <w:rPr>
          <w:rFonts w:ascii="Times New Roman" w:eastAsia="Times New Roman"/>
          <w:sz w:val="21"/>
        </w:rPr>
        <w:t>3</w:t>
      </w:r>
      <w:r>
        <w:rPr>
          <w:sz w:val="2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200"/>
        <w:jc w:val="center"/>
        <w:rPr>
          <w:rFonts w:ascii="黑体" w:eastAsia="黑体" w:hint="eastAsia"/>
        </w:rPr>
      </w:pPr>
      <w:r>
        <w:pict>
          <v:group id="_x0000_s1045" style="width:560pt;height:579.45pt;margin-top:-334.69pt;margin-left:17pt;mso-position-horizontal-relative:page;position:absolute;z-index:251670528" coordorigin="340,-6694" coordsize="11200,11589">
            <v:shape id="_x0000_s1046" type="#_x0000_t75" alt="图片1" style="width:7310;height:6544;left:2580;position:absolute;top:-6694" stroked="f">
              <v:imagedata r:id="rId33" o:title=""/>
            </v:shape>
            <v:shape id="_x0000_s1047" type="#_x0000_t75" style="width:11200;height:7680;left:340;position:absolute;top:-2785" stroked="f">
              <v:imagedata r:id="rId4" o:title=""/>
            </v:shape>
          </v:group>
        </w:pict>
      </w:r>
      <w:bookmarkStart w:id="72" w:name="图3"/>
      <w:bookmarkEnd w:id="72"/>
      <w:r>
        <w:rPr>
          <w:rFonts w:ascii="黑体" w:eastAsia="黑体" w:hint="eastAsia"/>
        </w:rPr>
        <w:t>图 3</w:t>
      </w:r>
    </w:p>
    <w:p>
      <w:pPr>
        <w:pStyle w:val="ListParagraph"/>
        <w:numPr>
          <w:ilvl w:val="0"/>
          <w:numId w:val="12"/>
        </w:numPr>
        <w:tabs>
          <w:tab w:val="left" w:pos="2019"/>
        </w:tabs>
        <w:spacing w:before="43" w:after="0" w:line="240" w:lineRule="auto"/>
        <w:ind w:left="2018" w:right="0" w:hanging="424"/>
        <w:jc w:val="left"/>
        <w:rPr>
          <w:sz w:val="21"/>
        </w:rPr>
      </w:pPr>
      <w:bookmarkStart w:id="73" w:name="d） 路名牌立杆"/>
      <w:bookmarkEnd w:id="73"/>
      <w:r>
        <w:rPr>
          <w:spacing w:val="-3"/>
          <w:sz w:val="21"/>
        </w:rPr>
        <w:t>路名牌立杆</w:t>
      </w:r>
    </w:p>
    <w:p>
      <w:pPr>
        <w:pStyle w:val="BodyText"/>
        <w:spacing w:before="42"/>
        <w:ind w:left="2015"/>
      </w:pPr>
      <w:bookmarkStart w:id="74" w:name="1） 立杆长度：≥2500mm；"/>
      <w:bookmarkEnd w:id="74"/>
      <w:r>
        <w:rPr>
          <w:rFonts w:ascii="Times New Roman" w:eastAsia="Times New Roman" w:hAnsi="Times New Roman"/>
        </w:rPr>
        <w:t>1</w:t>
      </w:r>
      <w:r>
        <w:t>） 立杆长度：</w:t>
      </w:r>
      <w:r>
        <w:rPr>
          <w:rFonts w:ascii="Times New Roman" w:eastAsia="Times New Roman" w:hAnsi="Times New Roman"/>
        </w:rPr>
        <w:t>≥2500mm</w:t>
      </w:r>
      <w:r>
        <w:t>；</w:t>
      </w:r>
    </w:p>
    <w:p>
      <w:pPr>
        <w:pStyle w:val="ListParagraph"/>
        <w:numPr>
          <w:ilvl w:val="0"/>
          <w:numId w:val="11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75" w:name="2） 立杆规格：φ89×4（A、B型路名牌）和φ76×4 mm（C型路名牌）；"/>
      <w:bookmarkEnd w:id="75"/>
      <w:r>
        <w:rPr>
          <w:spacing w:val="-3"/>
          <w:sz w:val="21"/>
        </w:rPr>
        <w:t>立杆规格：</w:t>
      </w:r>
      <w:r>
        <w:rPr>
          <w:rFonts w:ascii="Times New Roman" w:eastAsia="Times New Roman" w:hAnsi="Times New Roman"/>
          <w:sz w:val="21"/>
        </w:rPr>
        <w:t>φ89×4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>A</w:t>
      </w:r>
      <w:r>
        <w:rPr>
          <w:sz w:val="21"/>
        </w:rPr>
        <w:t>、</w:t>
      </w:r>
      <w:r>
        <w:rPr>
          <w:rFonts w:ascii="Times New Roman" w:eastAsia="Times New Roman" w:hAnsi="Times New Roman"/>
          <w:sz w:val="21"/>
        </w:rPr>
        <w:t>B</w:t>
      </w:r>
      <w:r>
        <w:rPr>
          <w:rFonts w:ascii="Times New Roman" w:eastAsia="Times New Roman" w:hAnsi="Times New Roman"/>
          <w:spacing w:val="-2"/>
          <w:sz w:val="21"/>
        </w:rPr>
        <w:t xml:space="preserve"> </w:t>
      </w:r>
      <w:r>
        <w:rPr>
          <w:spacing w:val="-3"/>
          <w:sz w:val="21"/>
        </w:rPr>
        <w:t>型路名牌</w:t>
      </w:r>
      <w:r>
        <w:rPr>
          <w:sz w:val="21"/>
        </w:rPr>
        <w:t>）</w:t>
      </w:r>
      <w:r>
        <w:rPr>
          <w:spacing w:val="50"/>
          <w:sz w:val="21"/>
        </w:rPr>
        <w:t>和</w:t>
      </w:r>
      <w:r>
        <w:rPr>
          <w:rFonts w:ascii="Times New Roman" w:eastAsia="Times New Roman" w:hAnsi="Times New Roman"/>
          <w:sz w:val="21"/>
        </w:rPr>
        <w:t>φ76×4</w:t>
      </w:r>
      <w:r>
        <w:rPr>
          <w:rFonts w:ascii="Times New Roman" w:eastAsia="Times New Roman" w:hAnsi="Times New Roman"/>
          <w:spacing w:val="-3"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mm</w:t>
      </w: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 xml:space="preserve">C </w:t>
      </w:r>
      <w:r>
        <w:rPr>
          <w:spacing w:val="-3"/>
          <w:sz w:val="21"/>
        </w:rPr>
        <w:t>型路名牌</w:t>
      </w:r>
      <w:r>
        <w:rPr>
          <w:sz w:val="21"/>
        </w:rPr>
        <w:t>）；</w:t>
      </w:r>
    </w:p>
    <w:p>
      <w:pPr>
        <w:pStyle w:val="ListParagraph"/>
        <w:numPr>
          <w:ilvl w:val="0"/>
          <w:numId w:val="11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76" w:name="3） 立杆材质：热镀锌钢管；"/>
      <w:bookmarkEnd w:id="76"/>
      <w:r>
        <w:rPr>
          <w:spacing w:val="-3"/>
          <w:sz w:val="21"/>
        </w:rPr>
        <w:t>立杆材质：热镀锌钢管；</w:t>
      </w:r>
    </w:p>
    <w:p>
      <w:pPr>
        <w:pStyle w:val="ListParagraph"/>
        <w:numPr>
          <w:ilvl w:val="0"/>
          <w:numId w:val="11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77" w:name="4） 立杆热镀锌厚度：≥55μm；"/>
      <w:bookmarkEnd w:id="77"/>
      <w:r>
        <w:rPr>
          <w:spacing w:val="-3"/>
          <w:sz w:val="21"/>
        </w:rPr>
        <w:t>立杆热镀锌厚度：</w:t>
      </w:r>
      <w:r>
        <w:rPr>
          <w:rFonts w:ascii="Times New Roman" w:eastAsia="Times New Roman" w:hAnsi="Times New Roman"/>
          <w:sz w:val="21"/>
        </w:rPr>
        <w:t>≥55μm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78" w:name="5） 立杆颜色：灰色高温静电喷塑（PANTONE国际色卡：428C）；"/>
      <w:bookmarkEnd w:id="78"/>
      <w:r>
        <w:rPr>
          <w:spacing w:val="-3"/>
          <w:sz w:val="21"/>
        </w:rPr>
        <w:t>立杆颜色：灰色高温静电喷塑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PANTONE</w:t>
      </w:r>
      <w:r>
        <w:rPr>
          <w:rFonts w:ascii="Times New Roman" w:eastAsia="Times New Roman"/>
          <w:spacing w:val="-2"/>
          <w:sz w:val="21"/>
        </w:rPr>
        <w:t xml:space="preserve"> </w:t>
      </w:r>
      <w:r>
        <w:rPr>
          <w:spacing w:val="-3"/>
          <w:sz w:val="21"/>
        </w:rPr>
        <w:t>国际色卡：</w:t>
      </w:r>
      <w:r>
        <w:rPr>
          <w:rFonts w:ascii="Times New Roman" w:eastAsia="Times New Roman"/>
          <w:sz w:val="21"/>
        </w:rPr>
        <w:t>428C</w:t>
      </w:r>
      <w:r>
        <w:rPr>
          <w:sz w:val="21"/>
        </w:rPr>
        <w:t>）；</w:t>
      </w:r>
    </w:p>
    <w:p>
      <w:pPr>
        <w:pStyle w:val="ListParagraph"/>
        <w:numPr>
          <w:ilvl w:val="0"/>
          <w:numId w:val="11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79" w:name="6） 立杆安装垂直度：≤4mm/m。"/>
      <w:bookmarkEnd w:id="79"/>
      <w:r>
        <w:rPr>
          <w:spacing w:val="-3"/>
          <w:sz w:val="21"/>
        </w:rPr>
        <w:t>立杆安装垂直度：</w:t>
      </w:r>
      <w:r>
        <w:rPr>
          <w:rFonts w:ascii="Times New Roman" w:eastAsia="Times New Roman" w:hAnsi="Times New Roman"/>
          <w:sz w:val="21"/>
        </w:rPr>
        <w:t>≤4mm/m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2007"/>
        </w:tabs>
        <w:spacing w:before="43" w:after="0" w:line="240" w:lineRule="auto"/>
        <w:ind w:left="2006" w:right="0" w:hanging="411"/>
        <w:jc w:val="left"/>
        <w:rPr>
          <w:sz w:val="21"/>
        </w:rPr>
      </w:pPr>
      <w:bookmarkStart w:id="80" w:name="e） 路名牌版面材料为ш类反光膜"/>
      <w:bookmarkEnd w:id="80"/>
      <w:r>
        <w:rPr>
          <w:spacing w:val="-3"/>
          <w:sz w:val="21"/>
        </w:rPr>
        <w:t>路名牌版面材料为</w:t>
      </w:r>
      <w:r>
        <w:rPr>
          <w:spacing w:val="-3"/>
          <w:sz w:val="21"/>
        </w:rPr>
        <w:t>ш</w:t>
      </w:r>
      <w:r>
        <w:rPr>
          <w:spacing w:val="-2"/>
          <w:sz w:val="21"/>
        </w:rPr>
        <w:t>类反光膜</w:t>
      </w:r>
    </w:p>
    <w:p>
      <w:pPr>
        <w:pStyle w:val="ListParagraph"/>
        <w:numPr>
          <w:ilvl w:val="1"/>
          <w:numId w:val="12"/>
        </w:numPr>
        <w:tabs>
          <w:tab w:val="left" w:pos="2439"/>
        </w:tabs>
        <w:spacing w:before="43" w:after="0" w:line="240" w:lineRule="auto"/>
        <w:ind w:left="2438" w:right="0" w:hanging="423"/>
        <w:jc w:val="left"/>
        <w:rPr>
          <w:sz w:val="21"/>
        </w:rPr>
      </w:pPr>
      <w:bookmarkStart w:id="81" w:name="1） 路名牌版面反光膜材料的逆反射系数应不小于表2的规定值；"/>
      <w:bookmarkEnd w:id="81"/>
      <w:r>
        <w:rPr>
          <w:spacing w:val="-6"/>
          <w:sz w:val="21"/>
        </w:rPr>
        <w:t xml:space="preserve">路名牌版面反光膜材料的逆反射系数应不小于表 </w:t>
      </w:r>
      <w:r>
        <w:rPr>
          <w:rFonts w:ascii="Times New Roman" w:eastAsia="Times New Roman"/>
          <w:sz w:val="21"/>
        </w:rPr>
        <w:t xml:space="preserve">2 </w:t>
      </w:r>
      <w:r>
        <w:rPr>
          <w:spacing w:val="-3"/>
          <w:sz w:val="21"/>
        </w:rPr>
        <w:t>的规定值；</w:t>
      </w:r>
    </w:p>
    <w:p>
      <w:pPr>
        <w:pStyle w:val="ListParagraph"/>
        <w:numPr>
          <w:ilvl w:val="1"/>
          <w:numId w:val="12"/>
        </w:numPr>
        <w:tabs>
          <w:tab w:val="left" w:pos="2391"/>
        </w:tabs>
        <w:spacing w:before="42" w:after="0" w:line="278" w:lineRule="auto"/>
        <w:ind w:left="2436" w:right="969" w:hanging="421"/>
        <w:jc w:val="left"/>
        <w:rPr>
          <w:sz w:val="21"/>
        </w:rPr>
      </w:pPr>
      <w:bookmarkStart w:id="82" w:name="2） 路名牌版面上反光膜（包括丝网印刷和贴覆电刻膜后的反光膜）的各种颜色的亮度因"/>
      <w:bookmarkEnd w:id="82"/>
      <w:r>
        <w:rPr>
          <w:spacing w:val="-6"/>
          <w:sz w:val="21"/>
        </w:rPr>
        <w:t>路名牌版面上反光膜</w:t>
      </w:r>
      <w:r>
        <w:rPr>
          <w:sz w:val="21"/>
        </w:rPr>
        <w:t>（</w:t>
      </w:r>
      <w:r>
        <w:rPr>
          <w:spacing w:val="-3"/>
          <w:sz w:val="21"/>
        </w:rPr>
        <w:t>包括丝网印刷和贴覆电刻膜后的反光膜</w:t>
      </w:r>
      <w:r>
        <w:rPr>
          <w:spacing w:val="-27"/>
          <w:sz w:val="21"/>
        </w:rPr>
        <w:t>）</w:t>
      </w:r>
      <w:r>
        <w:rPr>
          <w:spacing w:val="-3"/>
          <w:sz w:val="21"/>
        </w:rPr>
        <w:t>的各种颜色的亮度因数应</w:t>
      </w:r>
      <w:r>
        <w:rPr>
          <w:spacing w:val="-18"/>
          <w:sz w:val="21"/>
        </w:rPr>
        <w:t xml:space="preserve">在表 </w:t>
      </w:r>
      <w:r>
        <w:rPr>
          <w:rFonts w:ascii="Times New Roman" w:eastAsia="Times New Roman"/>
          <w:sz w:val="21"/>
        </w:rPr>
        <w:t>3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pacing w:val="-3"/>
          <w:sz w:val="21"/>
        </w:rPr>
        <w:t>规定的范围内。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spacing w:before="75"/>
        <w:ind w:left="1404" w:right="0" w:firstLine="0"/>
        <w:jc w:val="left"/>
        <w:rPr>
          <w:sz w:val="18"/>
        </w:rPr>
      </w:pPr>
      <w:r>
        <w:rPr>
          <w:sz w:val="18"/>
        </w:rPr>
        <w:t>6</w:t>
      </w:r>
    </w:p>
    <w:p>
      <w:pPr>
        <w:spacing w:after="0"/>
        <w:jc w:val="left"/>
        <w:rPr>
          <w:sz w:val="18"/>
        </w:rPr>
        <w:sectPr>
          <w:headerReference w:type="even" r:id="rId34"/>
          <w:headerReference w:type="default" r:id="rId35"/>
          <w:pgSz w:w="11910" w:h="16840"/>
          <w:pgMar w:top="1640" w:right="160" w:bottom="280" w:left="240" w:header="1448" w:footer="0"/>
          <w:pgNumType w:start="19"/>
          <w:cols w:space="708"/>
        </w:sectPr>
      </w:pPr>
    </w:p>
    <w:p>
      <w:pPr>
        <w:pStyle w:val="BodyText"/>
        <w:spacing w:before="1"/>
        <w:rPr>
          <w:sz w:val="17"/>
        </w:rPr>
      </w:pPr>
      <w:r>
        <w:pict>
          <v:group id="_x0000_s1048" style="width:560pt;height:384pt;margin-top:412.92pt;margin-left:17pt;mso-position-horizontal-relative:page;mso-position-vertical-relative:page;position:absolute;z-index:251671552" coordorigin="340,8258" coordsize="11200,7680">
            <v:shape id="_x0000_s1049" type="#_x0000_t75" alt="图2" style="width:6702;height:4585;left:2742;position:absolute;top:10333" stroked="f">
              <v:imagedata r:id="rId36" o:title=""/>
            </v:shape>
            <v:shape id="_x0000_s1050" type="#_x0000_t75" style="width:11200;height:7680;left:340;position:absolute;top:8258" stroked="f">
              <v:imagedata r:id="rId4" o:title=""/>
            </v:shape>
          </v:group>
        </w:pict>
      </w:r>
    </w:p>
    <w:p>
      <w:pPr>
        <w:pStyle w:val="BodyText"/>
        <w:spacing w:before="86" w:after="3"/>
        <w:ind w:left="200"/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表 2 最小逆反射系数（cd·lx</w:t>
      </w:r>
      <w:r>
        <w:rPr>
          <w:rFonts w:ascii="黑体" w:eastAsia="黑体" w:hAnsi="黑体" w:hint="eastAsia"/>
          <w:position w:val="11"/>
          <w:sz w:val="11"/>
        </w:rPr>
        <w:t>-1</w:t>
      </w:r>
      <w:r>
        <w:rPr>
          <w:rFonts w:ascii="黑体" w:eastAsia="黑体" w:hAnsi="黑体" w:hint="eastAsia"/>
        </w:rPr>
        <w:t>·m</w:t>
      </w:r>
      <w:r>
        <w:rPr>
          <w:rFonts w:ascii="黑体" w:eastAsia="黑体" w:hAnsi="黑体" w:hint="eastAsia"/>
          <w:position w:val="11"/>
          <w:sz w:val="11"/>
        </w:rPr>
        <w:t>-2</w:t>
      </w:r>
      <w:r>
        <w:rPr>
          <w:rFonts w:ascii="黑体" w:eastAsia="黑体" w:hAnsi="黑体" w:hint="eastAsia"/>
        </w:rPr>
        <w:t>）</w:t>
      </w:r>
    </w:p>
    <w:tbl>
      <w:tblPr>
        <w:tblStyle w:val="TableNormal1"/>
        <w:tblW w:w="0" w:type="auto"/>
        <w:jc w:val="left"/>
        <w:tblInd w:w="1178" w:type="dxa"/>
        <w:tblBorders>
          <w:top w:val="single" w:sz="4" w:space="0" w:color="3A3A3A"/>
          <w:left w:val="single" w:sz="4" w:space="0" w:color="3A3A3A"/>
          <w:bottom w:val="single" w:sz="4" w:space="0" w:color="3A3A3A"/>
          <w:right w:val="single" w:sz="4" w:space="0" w:color="3A3A3A"/>
          <w:insideH w:val="single" w:sz="4" w:space="0" w:color="3A3A3A"/>
          <w:insideV w:val="single" w:sz="4" w:space="0" w:color="3A3A3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6"/>
        <w:gridCol w:w="1805"/>
        <w:gridCol w:w="1805"/>
        <w:gridCol w:w="1803"/>
        <w:gridCol w:w="1983"/>
      </w:tblGrid>
      <w:tr>
        <w:tblPrEx>
          <w:tblW w:w="0" w:type="auto"/>
          <w:jc w:val="left"/>
          <w:tblInd w:w="1178" w:type="dxa"/>
          <w:tblBorders>
            <w:top w:val="single" w:sz="4" w:space="0" w:color="3A3A3A"/>
            <w:left w:val="single" w:sz="4" w:space="0" w:color="3A3A3A"/>
            <w:bottom w:val="single" w:sz="4" w:space="0" w:color="3A3A3A"/>
            <w:right w:val="single" w:sz="4" w:space="0" w:color="3A3A3A"/>
            <w:insideH w:val="single" w:sz="4" w:space="0" w:color="3A3A3A"/>
            <w:insideV w:val="single" w:sz="4" w:space="0" w:color="3A3A3A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966" w:type="dxa"/>
          </w:tcPr>
          <w:p>
            <w:pPr>
              <w:pStyle w:val="TableParagraph"/>
              <w:spacing w:before="1"/>
              <w:ind w:left="648" w:right="637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观测角</w:t>
            </w:r>
          </w:p>
        </w:tc>
        <w:tc>
          <w:tcPr>
            <w:tcW w:w="1805" w:type="dxa"/>
          </w:tcPr>
          <w:p>
            <w:pPr>
              <w:pStyle w:val="TableParagraph"/>
              <w:spacing w:before="1"/>
              <w:ind w:left="569" w:right="556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入射角</w:t>
            </w:r>
          </w:p>
        </w:tc>
        <w:tc>
          <w:tcPr>
            <w:tcW w:w="1805" w:type="dxa"/>
          </w:tcPr>
          <w:p>
            <w:pPr>
              <w:pStyle w:val="TableParagraph"/>
              <w:spacing w:before="1"/>
              <w:ind w:right="677"/>
              <w:jc w:val="right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白色</w:t>
            </w:r>
          </w:p>
        </w:tc>
        <w:tc>
          <w:tcPr>
            <w:tcW w:w="1803" w:type="dxa"/>
          </w:tcPr>
          <w:p>
            <w:pPr>
              <w:pStyle w:val="TableParagraph"/>
              <w:spacing w:before="1"/>
              <w:ind w:left="671" w:right="662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红色</w:t>
            </w:r>
          </w:p>
        </w:tc>
        <w:tc>
          <w:tcPr>
            <w:tcW w:w="1983" w:type="dxa"/>
          </w:tcPr>
          <w:p>
            <w:pPr>
              <w:pStyle w:val="TableParagraph"/>
              <w:spacing w:before="1"/>
              <w:ind w:right="767"/>
              <w:jc w:val="right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蓝色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66" w:type="dxa"/>
            <w:vMerge w:val="restart"/>
          </w:tcPr>
          <w:p>
            <w:pPr>
              <w:pStyle w:val="TableParagraph"/>
              <w:spacing w:before="5"/>
              <w:rPr>
                <w:rFonts w:ascii="黑体"/>
                <w:sz w:val="18"/>
              </w:rPr>
            </w:pPr>
          </w:p>
          <w:p>
            <w:pPr>
              <w:pStyle w:val="TableParagraph"/>
              <w:ind w:left="646" w:right="637"/>
              <w:jc w:val="center"/>
              <w:rPr>
                <w:sz w:val="21"/>
              </w:rPr>
            </w:pPr>
            <w:r>
              <w:rPr>
                <w:sz w:val="21"/>
              </w:rPr>
              <w:t>0.2°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-4 </w:t>
            </w:r>
            <w:r>
              <w:rPr>
                <w:sz w:val="21"/>
                <w:vertAlign w:val="superscript"/>
              </w:rPr>
              <w:t>0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right="730"/>
              <w:jc w:val="right"/>
              <w:rPr>
                <w:sz w:val="21"/>
              </w:rPr>
            </w:pPr>
            <w:r>
              <w:rPr>
                <w:sz w:val="21"/>
              </w:rPr>
              <w:t>250</w:t>
            </w:r>
          </w:p>
        </w:tc>
        <w:tc>
          <w:tcPr>
            <w:tcW w:w="1803" w:type="dxa"/>
          </w:tcPr>
          <w:p>
            <w:pPr>
              <w:pStyle w:val="TableParagraph"/>
              <w:spacing w:line="235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1983" w:type="dxa"/>
          </w:tcPr>
          <w:p>
            <w:pPr>
              <w:pStyle w:val="TableParagraph"/>
              <w:spacing w:line="235" w:lineRule="exact"/>
              <w:ind w:right="87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9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20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15°</w:t>
            </w:r>
          </w:p>
        </w:tc>
        <w:tc>
          <w:tcPr>
            <w:tcW w:w="1805" w:type="dxa"/>
          </w:tcPr>
          <w:p>
            <w:pPr>
              <w:pStyle w:val="TableParagraph"/>
              <w:spacing w:line="220" w:lineRule="exact"/>
              <w:ind w:right="730"/>
              <w:jc w:val="right"/>
              <w:rPr>
                <w:sz w:val="21"/>
              </w:rPr>
            </w:pPr>
            <w:r>
              <w:rPr>
                <w:sz w:val="21"/>
              </w:rPr>
              <w:t>210</w:t>
            </w:r>
          </w:p>
        </w:tc>
        <w:tc>
          <w:tcPr>
            <w:tcW w:w="1803" w:type="dxa"/>
          </w:tcPr>
          <w:p>
            <w:pPr>
              <w:pStyle w:val="TableParagraph"/>
              <w:spacing w:line="220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1983" w:type="dxa"/>
          </w:tcPr>
          <w:p>
            <w:pPr>
              <w:pStyle w:val="TableParagraph"/>
              <w:spacing w:line="220" w:lineRule="exact"/>
              <w:ind w:right="87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30°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right="730"/>
              <w:jc w:val="right"/>
              <w:rPr>
                <w:sz w:val="21"/>
              </w:rPr>
            </w:pPr>
            <w:r>
              <w:rPr>
                <w:sz w:val="21"/>
              </w:rPr>
              <w:t>175</w:t>
            </w:r>
          </w:p>
        </w:tc>
        <w:tc>
          <w:tcPr>
            <w:tcW w:w="1803" w:type="dxa"/>
          </w:tcPr>
          <w:p>
            <w:pPr>
              <w:pStyle w:val="TableParagraph"/>
              <w:spacing w:line="237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spacing w:line="237" w:lineRule="exact"/>
              <w:ind w:right="88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966" w:type="dxa"/>
            <w:vMerge w:val="restart"/>
          </w:tcPr>
          <w:p>
            <w:pPr>
              <w:pStyle w:val="TableParagraph"/>
              <w:spacing w:before="5"/>
              <w:rPr>
                <w:rFonts w:ascii="黑体"/>
                <w:sz w:val="18"/>
              </w:rPr>
            </w:pPr>
          </w:p>
          <w:p>
            <w:pPr>
              <w:pStyle w:val="TableParagraph"/>
              <w:ind w:left="646" w:right="637"/>
              <w:jc w:val="center"/>
              <w:rPr>
                <w:sz w:val="21"/>
              </w:rPr>
            </w:pPr>
            <w:r>
              <w:rPr>
                <w:sz w:val="21"/>
              </w:rPr>
              <w:t>0.5°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-4 </w:t>
            </w:r>
            <w:r>
              <w:rPr>
                <w:sz w:val="21"/>
                <w:vertAlign w:val="superscript"/>
              </w:rPr>
              <w:t>0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1803" w:type="dxa"/>
          </w:tcPr>
          <w:p>
            <w:pPr>
              <w:pStyle w:val="TableParagraph"/>
              <w:spacing w:line="235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983" w:type="dxa"/>
          </w:tcPr>
          <w:p>
            <w:pPr>
              <w:pStyle w:val="TableParagraph"/>
              <w:spacing w:line="235" w:lineRule="exact"/>
              <w:ind w:right="848"/>
              <w:jc w:val="right"/>
              <w:rPr>
                <w:sz w:val="21"/>
              </w:rPr>
            </w:pPr>
            <w:r>
              <w:rPr>
                <w:sz w:val="21"/>
              </w:rPr>
              <w:t>7.5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15°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>90</w:t>
            </w:r>
          </w:p>
        </w:tc>
        <w:tc>
          <w:tcPr>
            <w:tcW w:w="1803" w:type="dxa"/>
          </w:tcPr>
          <w:p>
            <w:pPr>
              <w:pStyle w:val="TableParagraph"/>
              <w:spacing w:line="237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983" w:type="dxa"/>
          </w:tcPr>
          <w:p>
            <w:pPr>
              <w:pStyle w:val="TableParagraph"/>
              <w:spacing w:line="237" w:lineRule="exact"/>
              <w:ind w:right="848"/>
              <w:jc w:val="right"/>
              <w:rPr>
                <w:sz w:val="21"/>
              </w:rPr>
            </w:pPr>
            <w:r>
              <w:rPr>
                <w:sz w:val="21"/>
              </w:rPr>
              <w:t>6.3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30°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>70</w:t>
            </w:r>
          </w:p>
        </w:tc>
        <w:tc>
          <w:tcPr>
            <w:tcW w:w="1803" w:type="dxa"/>
          </w:tcPr>
          <w:p>
            <w:pPr>
              <w:pStyle w:val="TableParagraph"/>
              <w:spacing w:line="235" w:lineRule="exact"/>
              <w:ind w:left="667" w:right="662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983" w:type="dxa"/>
          </w:tcPr>
          <w:p>
            <w:pPr>
              <w:pStyle w:val="TableParagraph"/>
              <w:spacing w:line="235" w:lineRule="exact"/>
              <w:ind w:left="1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966" w:type="dxa"/>
            <w:vMerge w:val="restart"/>
          </w:tcPr>
          <w:p>
            <w:pPr>
              <w:pStyle w:val="TableParagraph"/>
              <w:spacing w:before="5"/>
              <w:rPr>
                <w:rFonts w:ascii="黑体"/>
                <w:sz w:val="18"/>
              </w:rPr>
            </w:pPr>
          </w:p>
          <w:p>
            <w:pPr>
              <w:pStyle w:val="TableParagraph"/>
              <w:ind w:left="648" w:right="637"/>
              <w:jc w:val="center"/>
              <w:rPr>
                <w:sz w:val="21"/>
              </w:rPr>
            </w:pPr>
            <w:r>
              <w:rPr>
                <w:sz w:val="21"/>
              </w:rPr>
              <w:t>1 0</w:t>
            </w: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-4 </w:t>
            </w:r>
            <w:r>
              <w:rPr>
                <w:sz w:val="21"/>
                <w:vertAlign w:val="superscript"/>
              </w:rPr>
              <w:t>0</w:t>
            </w: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803" w:type="dxa"/>
          </w:tcPr>
          <w:p>
            <w:pPr>
              <w:pStyle w:val="TableParagraph"/>
              <w:spacing w:line="237" w:lineRule="exact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1983" w:type="dxa"/>
          </w:tcPr>
          <w:p>
            <w:pPr>
              <w:pStyle w:val="TableParagraph"/>
              <w:spacing w:line="237" w:lineRule="exact"/>
              <w:ind w:left="1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15°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5" w:lineRule="exact"/>
              <w:ind w:left="564" w:right="556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803" w:type="dxa"/>
          </w:tcPr>
          <w:p>
            <w:pPr>
              <w:pStyle w:val="TableParagraph"/>
              <w:spacing w:line="235" w:lineRule="exact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1983" w:type="dxa"/>
          </w:tcPr>
          <w:p>
            <w:pPr>
              <w:pStyle w:val="TableParagraph"/>
              <w:spacing w:line="235" w:lineRule="exact"/>
              <w:ind w:right="820"/>
              <w:jc w:val="right"/>
              <w:rPr>
                <w:sz w:val="21"/>
              </w:rPr>
            </w:pPr>
            <w:r>
              <w:rPr>
                <w:sz w:val="21"/>
              </w:rPr>
              <w:t>0. 7</w:t>
            </w:r>
          </w:p>
        </w:tc>
      </w:tr>
      <w:tr>
        <w:tblPrEx>
          <w:tblW w:w="0" w:type="auto"/>
          <w:jc w:val="left"/>
          <w:tblInd w:w="1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567" w:right="556"/>
              <w:jc w:val="center"/>
              <w:rPr>
                <w:sz w:val="21"/>
              </w:rPr>
            </w:pPr>
            <w:r>
              <w:rPr>
                <w:sz w:val="21"/>
              </w:rPr>
              <w:t>30°</w:t>
            </w:r>
          </w:p>
        </w:tc>
        <w:tc>
          <w:tcPr>
            <w:tcW w:w="1805" w:type="dxa"/>
          </w:tcPr>
          <w:p>
            <w:pPr>
              <w:pStyle w:val="TableParagraph"/>
              <w:spacing w:line="237" w:lineRule="exact"/>
              <w:ind w:left="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1803" w:type="dxa"/>
          </w:tcPr>
          <w:p>
            <w:pPr>
              <w:pStyle w:val="TableParagraph"/>
              <w:spacing w:line="237" w:lineRule="exact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spacing w:line="237" w:lineRule="exact"/>
              <w:ind w:right="820"/>
              <w:jc w:val="right"/>
              <w:rPr>
                <w:sz w:val="21"/>
              </w:rPr>
            </w:pPr>
            <w:r>
              <w:rPr>
                <w:sz w:val="21"/>
              </w:rPr>
              <w:t>0. 4</w:t>
            </w:r>
          </w:p>
        </w:tc>
      </w:tr>
    </w:tbl>
    <w:p>
      <w:pPr>
        <w:pStyle w:val="BodyText"/>
        <w:spacing w:before="3"/>
        <w:rPr>
          <w:rFonts w:ascii="黑体"/>
        </w:rPr>
      </w:pPr>
    </w:p>
    <w:p>
      <w:pPr>
        <w:pStyle w:val="BodyText"/>
        <w:spacing w:after="4"/>
        <w:ind w:left="200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3 反光膜颜色各角点的色品坐标</w:t>
      </w:r>
    </w:p>
    <w:tbl>
      <w:tblPr>
        <w:tblStyle w:val="TableNormal1"/>
        <w:tblW w:w="0" w:type="auto"/>
        <w:jc w:val="left"/>
        <w:tblInd w:w="1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7"/>
        <w:gridCol w:w="1625"/>
        <w:gridCol w:w="1548"/>
        <w:gridCol w:w="1723"/>
        <w:gridCol w:w="1565"/>
        <w:gridCol w:w="1186"/>
        <w:gridCol w:w="1184"/>
      </w:tblGrid>
      <w:tr>
        <w:tblPrEx>
          <w:tblW w:w="0" w:type="auto"/>
          <w:jc w:val="left"/>
          <w:tblInd w:w="107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737" w:type="dxa"/>
            <w:vMerge w:val="restart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28"/>
              </w:rPr>
            </w:pPr>
          </w:p>
          <w:p>
            <w:pPr>
              <w:pStyle w:val="TableParagraph"/>
              <w:ind w:left="158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颜色</w:t>
            </w:r>
          </w:p>
        </w:tc>
        <w:tc>
          <w:tcPr>
            <w:tcW w:w="6461" w:type="dxa"/>
            <w:gridSpan w:val="4"/>
          </w:tcPr>
          <w:p>
            <w:pPr>
              <w:pStyle w:val="TableParagraph"/>
              <w:spacing w:before="166"/>
              <w:ind w:left="2793" w:right="2777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色品坐标</w:t>
            </w:r>
          </w:p>
        </w:tc>
        <w:tc>
          <w:tcPr>
            <w:tcW w:w="2370" w:type="dxa"/>
            <w:gridSpan w:val="2"/>
          </w:tcPr>
          <w:p>
            <w:pPr>
              <w:pStyle w:val="TableParagraph"/>
              <w:spacing w:before="166"/>
              <w:ind w:left="764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亮度因数</w:t>
            </w:r>
          </w:p>
        </w:tc>
      </w:tr>
      <w:tr>
        <w:tblPrEx>
          <w:tblW w:w="0" w:type="auto"/>
          <w:jc w:val="left"/>
          <w:tblInd w:w="10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</w:tcPr>
          <w:p>
            <w:pPr>
              <w:pStyle w:val="TableParagraph"/>
              <w:spacing w:before="120"/>
              <w:ind w:left="1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spacing w:before="120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1723" w:type="dxa"/>
          </w:tcPr>
          <w:p>
            <w:pPr>
              <w:pStyle w:val="TableParagraph"/>
              <w:spacing w:before="120"/>
              <w:ind w:left="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1565" w:type="dxa"/>
          </w:tcPr>
          <w:p>
            <w:pPr>
              <w:pStyle w:val="TableParagraph"/>
              <w:spacing w:before="120"/>
              <w:ind w:left="13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1186" w:type="dxa"/>
            <w:vMerge w:val="restart"/>
          </w:tcPr>
          <w:p>
            <w:pPr>
              <w:pStyle w:val="TableParagraph"/>
              <w:spacing w:before="176" w:line="244" w:lineRule="auto"/>
              <w:ind w:left="383" w:right="262" w:hanging="106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无金属镀层</w:t>
            </w:r>
          </w:p>
        </w:tc>
        <w:tc>
          <w:tcPr>
            <w:tcW w:w="1184" w:type="dxa"/>
            <w:vMerge w:val="restart"/>
          </w:tcPr>
          <w:p>
            <w:pPr>
              <w:pStyle w:val="TableParagraph"/>
              <w:spacing w:before="176" w:line="244" w:lineRule="auto"/>
              <w:ind w:left="380" w:right="263" w:hanging="106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有金属镀层</w:t>
            </w:r>
          </w:p>
        </w:tc>
      </w:tr>
      <w:tr>
        <w:tblPrEx>
          <w:tblW w:w="0" w:type="auto"/>
          <w:jc w:val="left"/>
          <w:tblInd w:w="10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7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332"/>
              </w:tabs>
              <w:spacing w:before="67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x</w:t>
              <w:tab/>
              <w:t>y</w:t>
            </w:r>
          </w:p>
        </w:tc>
        <w:tc>
          <w:tcPr>
            <w:tcW w:w="1548" w:type="dxa"/>
          </w:tcPr>
          <w:p>
            <w:pPr>
              <w:pStyle w:val="TableParagraph"/>
              <w:tabs>
                <w:tab w:val="left" w:pos="327"/>
              </w:tabs>
              <w:spacing w:before="67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x</w:t>
              <w:tab/>
              <w:t>y</w:t>
            </w:r>
          </w:p>
        </w:tc>
        <w:tc>
          <w:tcPr>
            <w:tcW w:w="1723" w:type="dxa"/>
          </w:tcPr>
          <w:p>
            <w:pPr>
              <w:pStyle w:val="TableParagraph"/>
              <w:tabs>
                <w:tab w:val="left" w:pos="325"/>
              </w:tabs>
              <w:spacing w:before="6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x</w:t>
              <w:tab/>
              <w:t>y</w:t>
            </w:r>
          </w:p>
        </w:tc>
        <w:tc>
          <w:tcPr>
            <w:tcW w:w="1565" w:type="dxa"/>
          </w:tcPr>
          <w:p>
            <w:pPr>
              <w:pStyle w:val="TableParagraph"/>
              <w:tabs>
                <w:tab w:val="left" w:pos="330"/>
              </w:tabs>
              <w:spacing w:before="67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x</w:t>
              <w:tab/>
              <w:t>y</w:t>
            </w:r>
          </w:p>
        </w:tc>
        <w:tc>
          <w:tcPr>
            <w:tcW w:w="11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"/>
          <w:jc w:val="left"/>
        </w:trPr>
        <w:tc>
          <w:tcPr>
            <w:tcW w:w="737" w:type="dxa"/>
          </w:tcPr>
          <w:p>
            <w:pPr>
              <w:pStyle w:val="TableParagraph"/>
              <w:spacing w:before="1" w:line="250" w:lineRule="exact"/>
              <w:ind w:left="139" w:right="128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白色</w:t>
            </w: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700"/>
              </w:tabs>
              <w:spacing w:before="7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0.350</w:t>
              <w:tab/>
              <w:t>0.360</w:t>
            </w:r>
          </w:p>
        </w:tc>
        <w:tc>
          <w:tcPr>
            <w:tcW w:w="1548" w:type="dxa"/>
          </w:tcPr>
          <w:p>
            <w:pPr>
              <w:pStyle w:val="TableParagraph"/>
              <w:tabs>
                <w:tab w:val="left" w:pos="695"/>
              </w:tabs>
              <w:spacing w:before="7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0.305</w:t>
              <w:tab/>
              <w:t>0.315</w:t>
            </w:r>
          </w:p>
        </w:tc>
        <w:tc>
          <w:tcPr>
            <w:tcW w:w="1723" w:type="dxa"/>
          </w:tcPr>
          <w:p>
            <w:pPr>
              <w:pStyle w:val="TableParagraph"/>
              <w:tabs>
                <w:tab w:val="left" w:pos="693"/>
              </w:tabs>
              <w:spacing w:before="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0.295</w:t>
              <w:tab/>
              <w:t>0.325</w:t>
            </w:r>
          </w:p>
        </w:tc>
        <w:tc>
          <w:tcPr>
            <w:tcW w:w="1565" w:type="dxa"/>
          </w:tcPr>
          <w:p>
            <w:pPr>
              <w:pStyle w:val="TableParagraph"/>
              <w:tabs>
                <w:tab w:val="left" w:pos="697"/>
              </w:tabs>
              <w:spacing w:before="7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0.340</w:t>
              <w:tab/>
              <w:t>0.370</w:t>
            </w:r>
          </w:p>
        </w:tc>
        <w:tc>
          <w:tcPr>
            <w:tcW w:w="1186" w:type="dxa"/>
          </w:tcPr>
          <w:p>
            <w:pPr>
              <w:pStyle w:val="TableParagraph"/>
              <w:spacing w:before="7"/>
              <w:ind w:left="148" w:right="135"/>
              <w:jc w:val="center"/>
              <w:rPr>
                <w:sz w:val="21"/>
              </w:rPr>
            </w:pPr>
            <w:r>
              <w:rPr>
                <w:sz w:val="21"/>
              </w:rPr>
              <w:t>≥0.27</w:t>
            </w:r>
          </w:p>
        </w:tc>
        <w:tc>
          <w:tcPr>
            <w:tcW w:w="1184" w:type="dxa"/>
          </w:tcPr>
          <w:p>
            <w:pPr>
              <w:pStyle w:val="TableParagraph"/>
              <w:spacing w:before="7"/>
              <w:ind w:left="146" w:right="137"/>
              <w:jc w:val="center"/>
              <w:rPr>
                <w:sz w:val="21"/>
              </w:rPr>
            </w:pPr>
            <w:r>
              <w:rPr>
                <w:sz w:val="21"/>
              </w:rPr>
              <w:t>≥0.15</w:t>
            </w:r>
          </w:p>
        </w:tc>
      </w:tr>
      <w:tr>
        <w:tblPrEx>
          <w:tblW w:w="0" w:type="auto"/>
          <w:jc w:val="left"/>
          <w:tblInd w:w="10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3"/>
          <w:jc w:val="left"/>
        </w:trPr>
        <w:tc>
          <w:tcPr>
            <w:tcW w:w="737" w:type="dxa"/>
          </w:tcPr>
          <w:p>
            <w:pPr>
              <w:pStyle w:val="TableParagraph"/>
              <w:spacing w:before="1" w:line="252" w:lineRule="exact"/>
              <w:ind w:left="139" w:right="128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红色</w:t>
            </w: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700"/>
              </w:tabs>
              <w:spacing w:before="10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0.735</w:t>
              <w:tab/>
              <w:t>0.265</w:t>
            </w:r>
          </w:p>
        </w:tc>
        <w:tc>
          <w:tcPr>
            <w:tcW w:w="1548" w:type="dxa"/>
          </w:tcPr>
          <w:p>
            <w:pPr>
              <w:pStyle w:val="TableParagraph"/>
              <w:tabs>
                <w:tab w:val="left" w:pos="695"/>
              </w:tabs>
              <w:spacing w:before="10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0.681</w:t>
              <w:tab/>
              <w:t>0.239</w:t>
            </w:r>
          </w:p>
        </w:tc>
        <w:tc>
          <w:tcPr>
            <w:tcW w:w="1723" w:type="dxa"/>
          </w:tcPr>
          <w:p>
            <w:pPr>
              <w:pStyle w:val="TableParagraph"/>
              <w:tabs>
                <w:tab w:val="left" w:pos="693"/>
              </w:tabs>
              <w:spacing w:before="10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0.579</w:t>
              <w:tab/>
              <w:t>0.341</w:t>
            </w:r>
          </w:p>
        </w:tc>
        <w:tc>
          <w:tcPr>
            <w:tcW w:w="1565" w:type="dxa"/>
          </w:tcPr>
          <w:p>
            <w:pPr>
              <w:pStyle w:val="TableParagraph"/>
              <w:tabs>
                <w:tab w:val="left" w:pos="697"/>
              </w:tabs>
              <w:spacing w:before="10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0.655</w:t>
              <w:tab/>
              <w:t>0.345</w:t>
            </w:r>
          </w:p>
        </w:tc>
        <w:tc>
          <w:tcPr>
            <w:tcW w:w="1186" w:type="dxa"/>
          </w:tcPr>
          <w:p>
            <w:pPr>
              <w:pStyle w:val="TableParagraph"/>
              <w:spacing w:before="10"/>
              <w:ind w:left="148" w:right="138"/>
              <w:jc w:val="center"/>
              <w:rPr>
                <w:sz w:val="21"/>
              </w:rPr>
            </w:pPr>
            <w:r>
              <w:rPr>
                <w:sz w:val="21"/>
              </w:rPr>
              <w:t>0.02~0.15</w:t>
            </w:r>
          </w:p>
        </w:tc>
        <w:tc>
          <w:tcPr>
            <w:tcW w:w="1184" w:type="dxa"/>
          </w:tcPr>
          <w:p>
            <w:pPr>
              <w:pStyle w:val="TableParagraph"/>
              <w:spacing w:before="10"/>
              <w:ind w:left="146" w:right="139"/>
              <w:jc w:val="center"/>
              <w:rPr>
                <w:sz w:val="21"/>
              </w:rPr>
            </w:pPr>
            <w:r>
              <w:rPr>
                <w:sz w:val="21"/>
              </w:rPr>
              <w:t>0.02~0.11</w:t>
            </w:r>
          </w:p>
        </w:tc>
      </w:tr>
      <w:tr>
        <w:tblPrEx>
          <w:tblW w:w="0" w:type="auto"/>
          <w:jc w:val="left"/>
          <w:tblInd w:w="10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3"/>
          <w:jc w:val="left"/>
        </w:trPr>
        <w:tc>
          <w:tcPr>
            <w:tcW w:w="737" w:type="dxa"/>
          </w:tcPr>
          <w:p>
            <w:pPr>
              <w:pStyle w:val="TableParagraph"/>
              <w:spacing w:before="1" w:line="252" w:lineRule="exact"/>
              <w:ind w:left="139" w:right="128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蓝色</w:t>
            </w:r>
          </w:p>
        </w:tc>
        <w:tc>
          <w:tcPr>
            <w:tcW w:w="1625" w:type="dxa"/>
          </w:tcPr>
          <w:p>
            <w:pPr>
              <w:pStyle w:val="TableParagraph"/>
              <w:tabs>
                <w:tab w:val="left" w:pos="700"/>
              </w:tabs>
              <w:spacing w:before="10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0.049</w:t>
              <w:tab/>
              <w:t>0.125</w:t>
            </w:r>
          </w:p>
        </w:tc>
        <w:tc>
          <w:tcPr>
            <w:tcW w:w="1548" w:type="dxa"/>
          </w:tcPr>
          <w:p>
            <w:pPr>
              <w:pStyle w:val="TableParagraph"/>
              <w:tabs>
                <w:tab w:val="left" w:pos="695"/>
              </w:tabs>
              <w:spacing w:before="10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0.172</w:t>
              <w:tab/>
              <w:t>0.198</w:t>
            </w:r>
          </w:p>
        </w:tc>
        <w:tc>
          <w:tcPr>
            <w:tcW w:w="1723" w:type="dxa"/>
          </w:tcPr>
          <w:p>
            <w:pPr>
              <w:pStyle w:val="TableParagraph"/>
              <w:tabs>
                <w:tab w:val="left" w:pos="693"/>
              </w:tabs>
              <w:spacing w:before="10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0.210</w:t>
              <w:tab/>
              <w:t>0.160</w:t>
            </w:r>
          </w:p>
        </w:tc>
        <w:tc>
          <w:tcPr>
            <w:tcW w:w="1565" w:type="dxa"/>
          </w:tcPr>
          <w:p>
            <w:pPr>
              <w:pStyle w:val="TableParagraph"/>
              <w:tabs>
                <w:tab w:val="left" w:pos="697"/>
              </w:tabs>
              <w:spacing w:before="10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0.137</w:t>
              <w:tab/>
              <w:t>0.038</w:t>
            </w:r>
          </w:p>
        </w:tc>
        <w:tc>
          <w:tcPr>
            <w:tcW w:w="1186" w:type="dxa"/>
          </w:tcPr>
          <w:p>
            <w:pPr>
              <w:pStyle w:val="TableParagraph"/>
              <w:spacing w:before="10"/>
              <w:ind w:left="148" w:right="138"/>
              <w:jc w:val="center"/>
              <w:rPr>
                <w:sz w:val="21"/>
              </w:rPr>
            </w:pPr>
            <w:r>
              <w:rPr>
                <w:sz w:val="21"/>
              </w:rPr>
              <w:t>0.01~0.10</w:t>
            </w:r>
          </w:p>
        </w:tc>
        <w:tc>
          <w:tcPr>
            <w:tcW w:w="1184" w:type="dxa"/>
          </w:tcPr>
          <w:p>
            <w:pPr>
              <w:pStyle w:val="TableParagraph"/>
              <w:spacing w:before="10"/>
              <w:ind w:left="146" w:right="139"/>
              <w:jc w:val="center"/>
              <w:rPr>
                <w:sz w:val="21"/>
              </w:rPr>
            </w:pPr>
            <w:r>
              <w:rPr>
                <w:sz w:val="21"/>
              </w:rPr>
              <w:t>0.01~0.10</w:t>
            </w:r>
          </w:p>
        </w:tc>
      </w:tr>
    </w:tbl>
    <w:p>
      <w:pPr>
        <w:pStyle w:val="BodyText"/>
        <w:spacing w:before="6"/>
        <w:rPr>
          <w:rFonts w:ascii="黑体"/>
          <w:sz w:val="25"/>
        </w:rPr>
      </w:pPr>
      <w:r>
        <w:pict>
          <v:group id="_x0000_s1051" style="width:458.05pt;height:346.7pt;margin-top:18.28pt;margin-left:70.8pt;mso-position-horizontal-relative:page;mso-wrap-distance-left:0;mso-wrap-distance-right:0;position:absolute;z-index:-251643904" coordorigin="1416,366" coordsize="9161,6934">
            <v:shape id="_x0000_s1052" type="#_x0000_t202" style="width:2015;height:212;left:1416;position:absolute;top:365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bookmarkStart w:id="83" w:name="6  路名牌安装和设置"/>
                    <w:bookmarkEnd w:id="83"/>
                    <w:r>
                      <w:rPr>
                        <w:rFonts w:ascii="黑体" w:eastAsia="黑体" w:hint="eastAsia"/>
                        <w:sz w:val="21"/>
                      </w:rPr>
                      <w:t>6 路名牌安装和设置</w:t>
                    </w:r>
                  </w:p>
                </w:txbxContent>
              </v:textbox>
            </v:shape>
            <v:shape id="_x0000_s1053" type="#_x0000_t202" style="width:4725;height:902;left:1416;position:absolute;top:987" filled="f" stroked="f">
              <v:textbox inset="0,0,0,0">
                <w:txbxContent>
                  <w:p>
                    <w:pPr>
                      <w:numPr>
                        <w:ilvl w:val="1"/>
                        <w:numId w:val="10"/>
                      </w:numPr>
                      <w:tabs>
                        <w:tab w:val="left" w:pos="526"/>
                      </w:tabs>
                      <w:spacing w:before="0" w:line="241" w:lineRule="exact"/>
                      <w:ind w:left="525" w:right="0" w:hanging="526"/>
                      <w:jc w:val="left"/>
                      <w:rPr>
                        <w:sz w:val="21"/>
                      </w:rPr>
                    </w:pPr>
                    <w:bookmarkStart w:id="84" w:name="6.1  路名牌基础预埋件"/>
                    <w:bookmarkEnd w:id="84"/>
                    <w:r>
                      <w:rPr>
                        <w:spacing w:val="-3"/>
                        <w:sz w:val="21"/>
                      </w:rPr>
                      <w:t>路名牌基础预埋件</w:t>
                    </w:r>
                  </w:p>
                  <w:p>
                    <w:pPr>
                      <w:numPr>
                        <w:ilvl w:val="2"/>
                        <w:numId w:val="10"/>
                      </w:numPr>
                      <w:tabs>
                        <w:tab w:val="left" w:pos="831"/>
                      </w:tabs>
                      <w:spacing w:before="93"/>
                      <w:ind w:left="830" w:right="0" w:hanging="411"/>
                      <w:jc w:val="left"/>
                      <w:rPr>
                        <w:sz w:val="21"/>
                      </w:rPr>
                    </w:pPr>
                    <w:bookmarkStart w:id="85" w:name="a） 预埋件的材料性能应不低于Q235A标准；"/>
                    <w:bookmarkEnd w:id="85"/>
                    <w:r>
                      <w:rPr>
                        <w:spacing w:val="-7"/>
                        <w:sz w:val="21"/>
                      </w:rPr>
                      <w:t xml:space="preserve">预埋件的材料性能应不低于 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Q235A</w:t>
                    </w:r>
                    <w:r>
                      <w:rPr>
                        <w:rFonts w:ascii="Times New Roman" w:eastAsia="Times New Roman"/>
                        <w:spacing w:val="4"/>
                        <w:sz w:val="21"/>
                      </w:rPr>
                      <w:t xml:space="preserve"> </w:t>
                    </w:r>
                    <w:r>
                      <w:rPr>
                        <w:spacing w:val="-2"/>
                        <w:sz w:val="21"/>
                      </w:rPr>
                      <w:t>标准；</w:t>
                    </w:r>
                  </w:p>
                  <w:p>
                    <w:pPr>
                      <w:numPr>
                        <w:ilvl w:val="2"/>
                        <w:numId w:val="10"/>
                      </w:numPr>
                      <w:tabs>
                        <w:tab w:val="left" w:pos="843"/>
                      </w:tabs>
                      <w:spacing w:before="43" w:line="256" w:lineRule="exact"/>
                      <w:ind w:left="842" w:right="0" w:hanging="423"/>
                      <w:jc w:val="left"/>
                      <w:rPr>
                        <w:sz w:val="21"/>
                      </w:rPr>
                    </w:pPr>
                    <w:bookmarkStart w:id="86" w:name="b） 预埋件尺寸参见图4；"/>
                    <w:bookmarkEnd w:id="86"/>
                    <w:r>
                      <w:rPr>
                        <w:spacing w:val="-9"/>
                        <w:sz w:val="21"/>
                      </w:rPr>
                      <w:t xml:space="preserve">预埋件尺寸参见图 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4</w:t>
                    </w:r>
                    <w:r>
                      <w:rPr>
                        <w:sz w:val="21"/>
                      </w:rPr>
                      <w:t>；</w:t>
                    </w:r>
                  </w:p>
                </w:txbxContent>
              </v:textbox>
            </v:shape>
            <v:shape id="_x0000_s1054" type="#_x0000_t202" style="width:390;height:212;left:5908;position:absolute;top:6704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bookmarkStart w:id="87" w:name="图4"/>
                    <w:bookmarkEnd w:id="87"/>
                    <w:r>
                      <w:rPr>
                        <w:rFonts w:ascii="黑体" w:eastAsia="黑体" w:hint="eastAsia"/>
                        <w:spacing w:val="-26"/>
                        <w:sz w:val="21"/>
                      </w:rPr>
                      <w:t xml:space="preserve">图 </w:t>
                    </w:r>
                    <w:r>
                      <w:rPr>
                        <w:rFonts w:ascii="黑体" w:eastAsia="黑体" w:hint="eastAsia"/>
                        <w:sz w:val="21"/>
                      </w:rPr>
                      <w:t>4</w:t>
                    </w:r>
                  </w:p>
                </w:txbxContent>
              </v:textbox>
            </v:shape>
            <v:shape id="_x0000_s1055" type="#_x0000_t202" style="width:110;height:200;left:10466;position:absolute;top:7099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7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5"/>
        </w:rPr>
        <w:sectPr>
          <w:headerReference w:type="even" r:id="rId37"/>
          <w:headerReference w:type="default" r:id="rId38"/>
          <w:pgSz w:w="11910" w:h="16840"/>
          <w:pgMar w:top="1640" w:right="160" w:bottom="280" w:left="240" w:header="1448" w:footer="0"/>
          <w:pgNumType w:start="20"/>
          <w:cols w:space="708"/>
        </w:sectPr>
      </w:pPr>
    </w:p>
    <w:p>
      <w:pPr>
        <w:pStyle w:val="BodyText"/>
        <w:spacing w:before="1"/>
        <w:rPr>
          <w:rFonts w:ascii="黑体"/>
          <w:sz w:val="20"/>
        </w:rPr>
      </w:pPr>
    </w:p>
    <w:p>
      <w:pPr>
        <w:pStyle w:val="BodyText"/>
        <w:spacing w:before="79" w:line="278" w:lineRule="auto"/>
        <w:ind w:left="2015" w:right="968" w:hanging="420"/>
      </w:pPr>
      <w:bookmarkStart w:id="88" w:name="c） 基础预埋件的中心位置应距侧石内侧25cm，高度位置为预埋件顶面低于侧石顶面"/>
      <w:bookmarkEnd w:id="88"/>
      <w:r>
        <w:rPr>
          <w:rFonts w:ascii="Times New Roman" w:eastAsia="Times New Roman"/>
        </w:rPr>
        <w:t>c</w:t>
      </w:r>
      <w:r>
        <w:t>）</w:t>
      </w:r>
      <w:r>
        <w:rPr>
          <w:spacing w:val="-6"/>
        </w:rPr>
        <w:t xml:space="preserve"> 基础预埋件的中心位置应距侧石内侧 </w:t>
      </w:r>
      <w:r>
        <w:rPr>
          <w:rFonts w:ascii="Times New Roman" w:eastAsia="Times New Roman"/>
          <w:spacing w:val="-6"/>
        </w:rPr>
        <w:t>25cm</w:t>
      </w:r>
      <w:r>
        <w:rPr>
          <w:spacing w:val="-6"/>
        </w:rPr>
        <w:t xml:space="preserve">，高度位置为预埋件顶面低于侧石顶面 </w:t>
      </w:r>
      <w:r>
        <w:rPr>
          <w:rFonts w:ascii="Times New Roman" w:eastAsia="Times New Roman"/>
          <w:spacing w:val="-7"/>
        </w:rPr>
        <w:t>10cm</w:t>
      </w:r>
      <w:r>
        <w:rPr>
          <w:spacing w:val="-3"/>
        </w:rPr>
        <w:t>，详见</w:t>
      </w:r>
      <w:r>
        <w:rPr>
          <w:spacing w:val="-28"/>
        </w:rPr>
        <w:t xml:space="preserve">图 </w:t>
      </w:r>
      <w:r>
        <w:rPr>
          <w:rFonts w:ascii="Times New Roman" w:eastAsia="Times New Roman"/>
        </w:rPr>
        <w:t>5</w:t>
      </w:r>
      <w:r>
        <w:t>。</w:t>
      </w: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1912194</wp:posOffset>
            </wp:positionH>
            <wp:positionV relativeFrom="paragraph">
              <wp:posOffset>175333</wp:posOffset>
            </wp:positionV>
            <wp:extent cx="3686175" cy="2393061"/>
            <wp:effectExtent l="0" t="0" r="0" b="0"/>
            <wp:wrapTopAndBottom/>
            <wp:docPr id="29" name="image7.png" descr="C:\Users\Administrator\Desktop\预埋件安装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2393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71"/>
        <w:ind w:left="200"/>
        <w:jc w:val="center"/>
        <w:rPr>
          <w:rFonts w:ascii="黑体" w:eastAsia="黑体" w:hint="eastAsia"/>
        </w:rPr>
      </w:pPr>
      <w:bookmarkStart w:id="89" w:name="图5"/>
      <w:bookmarkEnd w:id="89"/>
      <w:r>
        <w:rPr>
          <w:rFonts w:ascii="黑体" w:eastAsia="黑体" w:hint="eastAsia"/>
        </w:rPr>
        <w:t>图 5</w:t>
      </w:r>
    </w:p>
    <w:p>
      <w:pPr>
        <w:pStyle w:val="ListParagraph"/>
        <w:numPr>
          <w:ilvl w:val="1"/>
          <w:numId w:val="25"/>
        </w:numPr>
        <w:tabs>
          <w:tab w:val="left" w:pos="1702"/>
        </w:tabs>
        <w:spacing w:before="94" w:after="0" w:line="240" w:lineRule="auto"/>
        <w:ind w:left="1701" w:right="0" w:hanging="526"/>
        <w:jc w:val="left"/>
        <w:rPr>
          <w:sz w:val="21"/>
        </w:rPr>
      </w:pPr>
      <w:bookmarkStart w:id="90" w:name="6.2  路名牌基础施工"/>
      <w:bookmarkEnd w:id="90"/>
      <w:r>
        <w:rPr>
          <w:spacing w:val="-3"/>
          <w:sz w:val="21"/>
        </w:rPr>
        <w:t>路名牌基础施工</w:t>
      </w:r>
    </w:p>
    <w:p>
      <w:pPr>
        <w:pStyle w:val="BodyText"/>
        <w:spacing w:before="93"/>
        <w:ind w:left="1596"/>
      </w:pPr>
      <w:bookmarkStart w:id="91" w:name="a） 混凝土基础尺寸：≥400×400×500mm；"/>
      <w:bookmarkEnd w:id="91"/>
      <w:r>
        <w:rPr>
          <w:rFonts w:ascii="Times New Roman" w:eastAsia="Times New Roman" w:hAnsi="Times New Roman"/>
        </w:rPr>
        <w:t>a</w:t>
      </w:r>
      <w:r>
        <w:t>） 混凝土基础尺寸：</w:t>
      </w:r>
      <w:r>
        <w:rPr>
          <w:rFonts w:ascii="Times New Roman" w:eastAsia="Times New Roman" w:hAnsi="Times New Roman"/>
        </w:rPr>
        <w:t>≥400×400×500mm</w:t>
      </w:r>
      <w:r>
        <w:t>；</w:t>
      </w:r>
    </w:p>
    <w:p>
      <w:pPr>
        <w:pStyle w:val="ListParagraph"/>
        <w:numPr>
          <w:ilvl w:val="0"/>
          <w:numId w:val="8"/>
        </w:numPr>
        <w:tabs>
          <w:tab w:val="left" w:pos="2019"/>
        </w:tabs>
        <w:spacing w:before="43" w:after="0" w:line="240" w:lineRule="auto"/>
        <w:ind w:left="2018" w:right="0" w:hanging="424"/>
        <w:jc w:val="left"/>
        <w:rPr>
          <w:sz w:val="2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111911</wp:posOffset>
            </wp:positionV>
            <wp:extent cx="7112000" cy="48768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2" w:name="b） 混凝土标号：≥C20；"/>
      <w:bookmarkEnd w:id="92"/>
      <w:r>
        <w:rPr>
          <w:spacing w:val="-3"/>
          <w:sz w:val="21"/>
        </w:rPr>
        <w:t>混凝土标号：</w:t>
      </w:r>
      <w:r>
        <w:rPr>
          <w:rFonts w:ascii="Times New Roman" w:eastAsia="Times New Roman" w:hAnsi="Times New Roman"/>
          <w:sz w:val="21"/>
        </w:rPr>
        <w:t>≥C20</w:t>
      </w:r>
      <w:r>
        <w:rPr>
          <w:sz w:val="21"/>
        </w:rPr>
        <w:t>；</w:t>
      </w:r>
    </w:p>
    <w:p>
      <w:pPr>
        <w:pStyle w:val="ListParagraph"/>
        <w:numPr>
          <w:ilvl w:val="0"/>
          <w:numId w:val="8"/>
        </w:numPr>
        <w:tabs>
          <w:tab w:val="left" w:pos="2007"/>
        </w:tabs>
        <w:spacing w:before="43" w:after="0" w:line="240" w:lineRule="auto"/>
        <w:ind w:left="2006" w:right="0" w:hanging="411"/>
        <w:jc w:val="left"/>
        <w:rPr>
          <w:sz w:val="21"/>
        </w:rPr>
      </w:pPr>
      <w:bookmarkStart w:id="93" w:name="c） 路名牌设置完毕后应按原样恢复人行道路面。"/>
      <w:bookmarkEnd w:id="93"/>
      <w:r>
        <w:rPr>
          <w:spacing w:val="-3"/>
          <w:sz w:val="21"/>
        </w:rPr>
        <w:t>路名牌设置完毕后应按原样恢复人行道路面。</w:t>
      </w:r>
    </w:p>
    <w:p>
      <w:pPr>
        <w:pStyle w:val="ListParagraph"/>
        <w:numPr>
          <w:ilvl w:val="1"/>
          <w:numId w:val="25"/>
        </w:numPr>
        <w:tabs>
          <w:tab w:val="left" w:pos="1702"/>
        </w:tabs>
        <w:spacing w:before="93" w:after="0" w:line="240" w:lineRule="auto"/>
        <w:ind w:left="1701" w:right="0" w:hanging="527"/>
        <w:jc w:val="left"/>
        <w:rPr>
          <w:sz w:val="21"/>
        </w:rPr>
      </w:pPr>
      <w:bookmarkStart w:id="94" w:name="6.3  路名牌的安装和设置要求"/>
      <w:bookmarkEnd w:id="94"/>
      <w:r>
        <w:rPr>
          <w:spacing w:val="-3"/>
          <w:sz w:val="21"/>
        </w:rPr>
        <w:t>路名牌的安装和设置要求</w:t>
      </w:r>
    </w:p>
    <w:p>
      <w:pPr>
        <w:pStyle w:val="ListParagraph"/>
        <w:numPr>
          <w:ilvl w:val="2"/>
          <w:numId w:val="25"/>
        </w:numPr>
        <w:tabs>
          <w:tab w:val="left" w:pos="2007"/>
        </w:tabs>
        <w:spacing w:before="91" w:after="0" w:line="240" w:lineRule="auto"/>
        <w:ind w:left="2006" w:right="0" w:hanging="411"/>
        <w:jc w:val="left"/>
        <w:rPr>
          <w:sz w:val="21"/>
        </w:rPr>
      </w:pPr>
      <w:bookmarkStart w:id="95" w:name="a） 路名牌应设置牢固，构件完好无缺损；"/>
      <w:bookmarkEnd w:id="95"/>
      <w:r>
        <w:rPr>
          <w:spacing w:val="-3"/>
          <w:sz w:val="21"/>
        </w:rPr>
        <w:t>路名牌应设置牢固，构件完好无缺损；</w:t>
      </w:r>
    </w:p>
    <w:p>
      <w:pPr>
        <w:pStyle w:val="ListParagraph"/>
        <w:numPr>
          <w:ilvl w:val="2"/>
          <w:numId w:val="25"/>
        </w:numPr>
        <w:tabs>
          <w:tab w:val="left" w:pos="2019"/>
        </w:tabs>
        <w:spacing w:before="43" w:after="0" w:line="278" w:lineRule="auto"/>
        <w:ind w:left="1595" w:right="2103" w:firstLine="0"/>
        <w:jc w:val="left"/>
        <w:rPr>
          <w:sz w:val="21"/>
        </w:rPr>
      </w:pPr>
      <w:bookmarkStart w:id="96" w:name="b） 路名牌牌底距离地面净高应不小于2500mm，立杆安装垂直度应不大于4mm/"/>
      <w:bookmarkEnd w:id="96"/>
      <w:r>
        <w:rPr>
          <w:spacing w:val="-6"/>
          <w:sz w:val="21"/>
        </w:rPr>
        <w:t xml:space="preserve">路名牌牌底距离地面净高应不小于 </w:t>
      </w:r>
      <w:r>
        <w:rPr>
          <w:rFonts w:ascii="Times New Roman" w:eastAsia="Times New Roman"/>
          <w:sz w:val="21"/>
        </w:rPr>
        <w:t>2500mm</w:t>
      </w:r>
      <w:r>
        <w:rPr>
          <w:spacing w:val="-7"/>
          <w:sz w:val="21"/>
        </w:rPr>
        <w:t xml:space="preserve">，立杆安装垂直度应不大于 </w:t>
      </w:r>
      <w:r>
        <w:rPr>
          <w:rFonts w:ascii="Times New Roman" w:eastAsia="Times New Roman"/>
          <w:sz w:val="21"/>
        </w:rPr>
        <w:t>4mm/m</w:t>
      </w:r>
      <w:r>
        <w:rPr>
          <w:sz w:val="21"/>
        </w:rPr>
        <w:t xml:space="preserve">； </w:t>
      </w:r>
      <w:bookmarkStart w:id="97" w:name="c） 路名牌进口道的牌面平行于道路中心线；"/>
      <w:bookmarkEnd w:id="97"/>
      <w:r>
        <w:rPr>
          <w:rFonts w:ascii="Times New Roman" w:eastAsia="Times New Roman"/>
          <w:sz w:val="21"/>
        </w:rPr>
        <w:t>c</w:t>
      </w:r>
      <w:r>
        <w:rPr>
          <w:sz w:val="21"/>
        </w:rPr>
        <w:t>）</w:t>
      </w:r>
      <w:r>
        <w:rPr>
          <w:spacing w:val="-3"/>
          <w:sz w:val="21"/>
        </w:rPr>
        <w:t xml:space="preserve"> 路名牌进口道的牌面平行于道路中心线；</w:t>
      </w:r>
    </w:p>
    <w:p>
      <w:pPr>
        <w:pStyle w:val="BodyText"/>
        <w:spacing w:line="278" w:lineRule="auto"/>
        <w:ind w:left="2016" w:right="871" w:hanging="421"/>
      </w:pPr>
      <w:r>
        <w:pict>
          <v:shape id="_x0000_s1056" type="#_x0000_t202" style="width:12pt;height:6.5pt;margin-top:45.75pt;margin-left:513.05pt;mso-position-horizontal-relative:page;position:absolute;z-index:251674624" filled="f" stroked="f">
            <v:textbox style="layout-flow:vertical"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color w:val="414141"/>
                      <w:sz w:val="18"/>
                    </w:rPr>
                    <w:t>4</w:t>
                  </w:r>
                </w:p>
              </w:txbxContent>
            </v:textbox>
          </v:shape>
        </w:pict>
      </w:r>
      <w:bookmarkStart w:id="98" w:name="d） 路名牌设置时，道路长度测量应先测主干道。如果遇有交叉路，按道路中心线的交叉"/>
      <w:bookmarkEnd w:id="98"/>
      <w:r>
        <w:rPr>
          <w:rFonts w:ascii="Times New Roman" w:eastAsia="Times New Roman"/>
        </w:rPr>
        <w:t>d</w:t>
      </w:r>
      <w:r>
        <w:t>）</w:t>
      </w:r>
      <w:r>
        <w:rPr>
          <w:spacing w:val="-3"/>
        </w:rPr>
        <w:t xml:space="preserve"> 路名牌设置时，道路长度测量应先测主干道。如果遇有交叉路，按道路中心线的交叉中心点， </w:t>
      </w:r>
      <w:r>
        <w:rPr>
          <w:spacing w:val="-8"/>
        </w:rPr>
        <w:t xml:space="preserve">向路侧垂直放线，沿着人行道侧或低速车道侧测量长度。道路测量偏差无法避免，偏差允许 </w:t>
      </w:r>
      <w:r>
        <w:rPr>
          <w:rFonts w:ascii="Times New Roman" w:eastAsia="Times New Roman"/>
        </w:rPr>
        <w:t xml:space="preserve">5 </w:t>
      </w:r>
      <w:r>
        <w:rPr>
          <w:spacing w:val="-3"/>
        </w:rPr>
        <w:t>米内，暂不考虑路高差问题。</w:t>
      </w:r>
    </w:p>
    <w:p>
      <w:pPr>
        <w:pStyle w:val="ListParagraph"/>
        <w:numPr>
          <w:ilvl w:val="1"/>
          <w:numId w:val="25"/>
        </w:numPr>
        <w:tabs>
          <w:tab w:val="left" w:pos="1703"/>
        </w:tabs>
        <w:spacing w:before="0" w:after="0" w:line="269" w:lineRule="exact"/>
        <w:ind w:left="1702" w:right="0" w:hanging="527"/>
        <w:jc w:val="left"/>
        <w:rPr>
          <w:sz w:val="21"/>
        </w:rPr>
      </w:pPr>
      <w:bookmarkStart w:id="99" w:name="6.4  路名牌的设置密度"/>
      <w:bookmarkEnd w:id="99"/>
      <w:r>
        <w:rPr>
          <w:spacing w:val="-3"/>
          <w:sz w:val="21"/>
        </w:rPr>
        <w:t>路名牌的设置密度</w:t>
      </w:r>
    </w:p>
    <w:p>
      <w:pPr>
        <w:pStyle w:val="ListParagraph"/>
        <w:numPr>
          <w:ilvl w:val="0"/>
          <w:numId w:val="7"/>
        </w:numPr>
        <w:tabs>
          <w:tab w:val="left" w:pos="2017"/>
        </w:tabs>
        <w:spacing w:before="43" w:after="0" w:line="240" w:lineRule="auto"/>
        <w:ind w:left="2016" w:right="0" w:hanging="421"/>
        <w:jc w:val="left"/>
        <w:rPr>
          <w:sz w:val="21"/>
        </w:rPr>
      </w:pPr>
      <w:bookmarkStart w:id="100" w:name="a） 路名牌设置密度按300m-400m间距设置，如遇道路路口距离较近情况可灵活"/>
      <w:bookmarkEnd w:id="100"/>
      <w:r>
        <w:rPr>
          <w:spacing w:val="1"/>
          <w:sz w:val="21"/>
        </w:rPr>
        <w:t xml:space="preserve">路名牌设置密度按 </w:t>
      </w:r>
      <w:r>
        <w:rPr>
          <w:rFonts w:ascii="Times New Roman" w:eastAsia="Times New Roman"/>
          <w:sz w:val="21"/>
        </w:rPr>
        <w:t>300m-400m</w:t>
      </w:r>
      <w:r>
        <w:rPr>
          <w:rFonts w:ascii="Times New Roman" w:eastAsia="Times New Roman"/>
          <w:spacing w:val="6"/>
          <w:sz w:val="21"/>
        </w:rPr>
        <w:t xml:space="preserve"> </w:t>
      </w:r>
      <w:r>
        <w:rPr>
          <w:sz w:val="21"/>
        </w:rPr>
        <w:t>间距设置，如遇道路路口距离较近情况可灵活掌握距离小于</w:t>
      </w:r>
    </w:p>
    <w:p>
      <w:pPr>
        <w:pStyle w:val="BodyText"/>
        <w:spacing w:before="42"/>
        <w:ind w:left="2016"/>
      </w:pPr>
      <w:r>
        <w:rPr>
          <w:rFonts w:ascii="Times New Roman" w:eastAsia="Times New Roman"/>
        </w:rPr>
        <w:t xml:space="preserve">300m </w:t>
      </w:r>
      <w:r>
        <w:t xml:space="preserve">大于 </w:t>
      </w:r>
      <w:r>
        <w:rPr>
          <w:rFonts w:ascii="Times New Roman" w:eastAsia="Times New Roman"/>
        </w:rPr>
        <w:t xml:space="preserve">200m </w:t>
      </w:r>
      <w:r>
        <w:t>亦可；</w:t>
      </w:r>
    </w:p>
    <w:p>
      <w:pPr>
        <w:pStyle w:val="ListParagraph"/>
        <w:numPr>
          <w:ilvl w:val="0"/>
          <w:numId w:val="7"/>
        </w:numPr>
        <w:tabs>
          <w:tab w:val="left" w:pos="2019"/>
        </w:tabs>
        <w:spacing w:before="43" w:after="0" w:line="240" w:lineRule="auto"/>
        <w:ind w:left="2018" w:right="0" w:hanging="423"/>
        <w:jc w:val="left"/>
        <w:rPr>
          <w:sz w:val="21"/>
        </w:rPr>
      </w:pPr>
      <w:bookmarkStart w:id="101" w:name="b） 路名牌应设置在候驶停车位右侧人行道上，其中："/>
      <w:bookmarkEnd w:id="101"/>
      <w:r>
        <w:rPr>
          <w:spacing w:val="-3"/>
          <w:sz w:val="21"/>
        </w:rPr>
        <w:t>路名牌应设置在候驶停车位右侧人行道上，其中：</w:t>
      </w:r>
    </w:p>
    <w:p>
      <w:pPr>
        <w:pStyle w:val="ListParagraph"/>
        <w:numPr>
          <w:ilvl w:val="1"/>
          <w:numId w:val="7"/>
        </w:numPr>
        <w:tabs>
          <w:tab w:val="left" w:pos="2406"/>
        </w:tabs>
        <w:spacing w:before="43" w:after="0" w:line="240" w:lineRule="auto"/>
        <w:ind w:left="2405" w:right="0" w:hanging="390"/>
        <w:jc w:val="left"/>
        <w:rPr>
          <w:sz w:val="21"/>
        </w:rPr>
      </w:pPr>
      <w:bookmarkStart w:id="102" w:name="1） 六车道以下道路的丁字路口设置2块、六车道及六车道以上道路的丁字路口设置3块"/>
      <w:bookmarkEnd w:id="102"/>
      <w:r>
        <w:rPr>
          <w:spacing w:val="-7"/>
          <w:sz w:val="21"/>
        </w:rPr>
        <w:t xml:space="preserve">六车道以下道路的丁字路口设置 </w:t>
      </w:r>
      <w:r>
        <w:rPr>
          <w:rFonts w:ascii="Times New Roman" w:eastAsia="Times New Roman"/>
          <w:sz w:val="21"/>
        </w:rPr>
        <w:t>2</w:t>
      </w:r>
      <w:r>
        <w:rPr>
          <w:rFonts w:ascii="Times New Roman" w:eastAsia="Times New Roman"/>
          <w:spacing w:val="2"/>
          <w:sz w:val="21"/>
        </w:rPr>
        <w:t xml:space="preserve"> </w:t>
      </w:r>
      <w:r>
        <w:rPr>
          <w:spacing w:val="-11"/>
          <w:sz w:val="21"/>
        </w:rPr>
        <w:t xml:space="preserve">块、六车道及六车道以上道路的丁字路口设置 </w:t>
      </w:r>
      <w:r>
        <w:rPr>
          <w:rFonts w:ascii="Times New Roman" w:eastAsia="Times New Roman"/>
          <w:sz w:val="21"/>
        </w:rPr>
        <w:t>3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spacing w:val="-34"/>
          <w:sz w:val="21"/>
        </w:rPr>
        <w:t>块</w:t>
      </w:r>
      <w:r>
        <w:rPr>
          <w:sz w:val="21"/>
        </w:rPr>
        <w:t>（图</w:t>
      </w:r>
    </w:p>
    <w:p>
      <w:pPr>
        <w:pStyle w:val="BodyText"/>
        <w:spacing w:before="43"/>
        <w:ind w:left="2436"/>
      </w:pPr>
      <w:r>
        <w:rPr>
          <w:rFonts w:ascii="Times New Roman" w:eastAsia="Times New Roman"/>
        </w:rPr>
        <w:t>6</w:t>
      </w:r>
      <w:r>
        <w:t>）；</w:t>
      </w:r>
    </w:p>
    <w:p>
      <w:pPr>
        <w:pStyle w:val="ListParagraph"/>
        <w:numPr>
          <w:ilvl w:val="1"/>
          <w:numId w:val="7"/>
        </w:numPr>
        <w:tabs>
          <w:tab w:val="left" w:pos="2440"/>
        </w:tabs>
        <w:spacing w:before="43" w:after="0" w:line="278" w:lineRule="auto"/>
        <w:ind w:left="2436" w:right="969" w:hanging="421"/>
        <w:jc w:val="left"/>
        <w:rPr>
          <w:sz w:val="21"/>
        </w:rPr>
      </w:pPr>
      <w:bookmarkStart w:id="103" w:name="2） 四车道以下的十字路口对角设置2块（图7），Y字型路口设置3块（图8），四车"/>
      <w:bookmarkEnd w:id="103"/>
      <w:r>
        <w:rPr>
          <w:spacing w:val="-6"/>
          <w:sz w:val="21"/>
        </w:rPr>
        <w:t xml:space="preserve">四车道以下的十字路口对角设置 </w:t>
      </w:r>
      <w:r>
        <w:rPr>
          <w:rFonts w:ascii="Times New Roman" w:eastAsia="Times New Roman"/>
          <w:sz w:val="21"/>
        </w:rPr>
        <w:t>2</w:t>
      </w:r>
      <w:r>
        <w:rPr>
          <w:rFonts w:ascii="Times New Roman" w:eastAsia="Times New Roman"/>
          <w:spacing w:val="5"/>
          <w:sz w:val="21"/>
        </w:rPr>
        <w:t xml:space="preserve"> </w:t>
      </w:r>
      <w:r>
        <w:rPr>
          <w:sz w:val="21"/>
        </w:rPr>
        <w:t>块</w:t>
      </w:r>
      <w:r>
        <w:rPr>
          <w:spacing w:val="-3"/>
          <w:sz w:val="21"/>
        </w:rPr>
        <w:t>（</w:t>
      </w:r>
      <w:r>
        <w:rPr>
          <w:spacing w:val="-23"/>
          <w:sz w:val="21"/>
        </w:rPr>
        <w:t xml:space="preserve">图 </w:t>
      </w:r>
      <w:r>
        <w:rPr>
          <w:rFonts w:ascii="Times New Roman" w:eastAsia="Times New Roman"/>
          <w:sz w:val="21"/>
        </w:rPr>
        <w:t>7</w:t>
      </w:r>
      <w:r>
        <w:rPr>
          <w:sz w:val="21"/>
        </w:rPr>
        <w:t>），</w:t>
      </w:r>
      <w:r>
        <w:rPr>
          <w:rFonts w:ascii="Times New Roman" w:eastAsia="Times New Roman"/>
          <w:sz w:val="21"/>
        </w:rPr>
        <w:t>Y</w:t>
      </w:r>
      <w:r>
        <w:rPr>
          <w:rFonts w:ascii="Times New Roman" w:eastAsia="Times New Roman"/>
          <w:spacing w:val="6"/>
          <w:sz w:val="21"/>
        </w:rPr>
        <w:t xml:space="preserve"> </w:t>
      </w:r>
      <w:r>
        <w:rPr>
          <w:spacing w:val="-10"/>
          <w:sz w:val="21"/>
        </w:rPr>
        <w:t xml:space="preserve">字型路口设置 </w:t>
      </w:r>
      <w:r>
        <w:rPr>
          <w:rFonts w:ascii="Times New Roman" w:eastAsia="Times New Roman"/>
          <w:sz w:val="21"/>
        </w:rPr>
        <w:t>3</w:t>
      </w:r>
      <w:r>
        <w:rPr>
          <w:rFonts w:ascii="Times New Roman" w:eastAsia="Times New Roman"/>
          <w:spacing w:val="5"/>
          <w:sz w:val="21"/>
        </w:rPr>
        <w:t xml:space="preserve"> </w:t>
      </w:r>
      <w:r>
        <w:rPr>
          <w:sz w:val="21"/>
        </w:rPr>
        <w:t>块</w:t>
      </w:r>
      <w:r>
        <w:rPr>
          <w:spacing w:val="-3"/>
          <w:sz w:val="21"/>
        </w:rPr>
        <w:t>（</w:t>
      </w:r>
      <w:r>
        <w:rPr>
          <w:spacing w:val="-22"/>
          <w:sz w:val="21"/>
        </w:rPr>
        <w:t xml:space="preserve">图 </w:t>
      </w:r>
      <w:r>
        <w:rPr>
          <w:rFonts w:ascii="Times New Roman" w:eastAsia="Times New Roman"/>
          <w:sz w:val="21"/>
        </w:rPr>
        <w:t>8</w:t>
      </w:r>
      <w:r>
        <w:rPr>
          <w:sz w:val="21"/>
        </w:rPr>
        <w:t>）</w:t>
      </w:r>
      <w:r>
        <w:rPr>
          <w:spacing w:val="-3"/>
          <w:sz w:val="21"/>
        </w:rPr>
        <w:t>，四车道及</w:t>
      </w:r>
      <w:r>
        <w:rPr>
          <w:spacing w:val="-7"/>
          <w:sz w:val="21"/>
        </w:rPr>
        <w:t xml:space="preserve">四车道以上的十字路口对角设置 </w:t>
      </w:r>
      <w:r>
        <w:rPr>
          <w:rFonts w:ascii="Times New Roman" w:eastAsia="Times New Roman"/>
          <w:sz w:val="21"/>
        </w:rPr>
        <w:t xml:space="preserve">4 </w:t>
      </w:r>
      <w:r>
        <w:rPr>
          <w:spacing w:val="-3"/>
          <w:sz w:val="21"/>
        </w:rPr>
        <w:t>块（</w:t>
      </w: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>9</w:t>
      </w:r>
      <w:r>
        <w:rPr>
          <w:sz w:val="21"/>
        </w:rPr>
        <w:t>）；</w:t>
      </w:r>
    </w:p>
    <w:p>
      <w:pPr>
        <w:pStyle w:val="ListParagraph"/>
        <w:numPr>
          <w:ilvl w:val="1"/>
          <w:numId w:val="7"/>
        </w:numPr>
        <w:tabs>
          <w:tab w:val="left" w:pos="2440"/>
        </w:tabs>
        <w:spacing w:before="0" w:after="0" w:line="269" w:lineRule="exact"/>
        <w:ind w:left="2439" w:right="0" w:hanging="424"/>
        <w:jc w:val="left"/>
        <w:rPr>
          <w:sz w:val="21"/>
        </w:rPr>
      </w:pPr>
      <w:bookmarkStart w:id="104" w:name="3） 当相交的十字路口各向道路车道不一致时，以车道最多的道路为设置依据。"/>
      <w:bookmarkEnd w:id="104"/>
      <w:r>
        <w:rPr>
          <w:spacing w:val="-3"/>
          <w:sz w:val="21"/>
        </w:rPr>
        <w:t>当相交的十字路口各向道路车道不一致时，以车道最多的道路为设置依据。</w:t>
      </w:r>
    </w:p>
    <w:p>
      <w:pPr>
        <w:pStyle w:val="ListParagraph"/>
        <w:numPr>
          <w:ilvl w:val="0"/>
          <w:numId w:val="7"/>
        </w:numPr>
        <w:tabs>
          <w:tab w:val="left" w:pos="2007"/>
        </w:tabs>
        <w:spacing w:before="44" w:after="0" w:line="278" w:lineRule="auto"/>
        <w:ind w:left="2016" w:right="968" w:hanging="421"/>
        <w:jc w:val="left"/>
        <w:rPr>
          <w:sz w:val="21"/>
        </w:rPr>
      </w:pPr>
      <w:bookmarkStart w:id="105" w:name="c） 四车道以下的道路每隔300米左右错开设置1块路名牌（图10），四车道及四车"/>
      <w:bookmarkEnd w:id="105"/>
      <w:r>
        <w:rPr>
          <w:spacing w:val="-6"/>
          <w:sz w:val="21"/>
        </w:rPr>
        <w:t xml:space="preserve">四车道以下的道路每隔 </w:t>
      </w:r>
      <w:r>
        <w:rPr>
          <w:rFonts w:ascii="Times New Roman" w:eastAsia="Times New Roman"/>
          <w:sz w:val="21"/>
        </w:rPr>
        <w:t>300</w:t>
      </w:r>
      <w:r>
        <w:rPr>
          <w:rFonts w:ascii="Times New Roman" w:eastAsia="Times New Roman"/>
          <w:spacing w:val="20"/>
          <w:sz w:val="21"/>
        </w:rPr>
        <w:t xml:space="preserve"> </w:t>
      </w:r>
      <w:r>
        <w:rPr>
          <w:spacing w:val="-7"/>
          <w:sz w:val="21"/>
        </w:rPr>
        <w:t xml:space="preserve">米左右错开设置 </w:t>
      </w:r>
      <w:r>
        <w:rPr>
          <w:rFonts w:ascii="Times New Roman" w:eastAsia="Times New Roman"/>
          <w:sz w:val="21"/>
        </w:rPr>
        <w:t>1</w:t>
      </w:r>
      <w:r>
        <w:rPr>
          <w:rFonts w:ascii="Times New Roman" w:eastAsia="Times New Roman"/>
          <w:spacing w:val="19"/>
          <w:sz w:val="21"/>
        </w:rPr>
        <w:t xml:space="preserve"> </w:t>
      </w:r>
      <w:r>
        <w:rPr>
          <w:spacing w:val="-1"/>
          <w:sz w:val="21"/>
        </w:rPr>
        <w:t>块路名牌</w:t>
      </w:r>
      <w:r>
        <w:rPr>
          <w:spacing w:val="-3"/>
          <w:sz w:val="21"/>
        </w:rPr>
        <w:t>（</w:t>
      </w:r>
      <w:r>
        <w:rPr>
          <w:spacing w:val="-15"/>
          <w:sz w:val="21"/>
        </w:rPr>
        <w:t xml:space="preserve">图 </w:t>
      </w:r>
      <w:r>
        <w:rPr>
          <w:rFonts w:ascii="Times New Roman" w:eastAsia="Times New Roman"/>
          <w:sz w:val="21"/>
        </w:rPr>
        <w:t>10</w:t>
      </w:r>
      <w:r>
        <w:rPr>
          <w:sz w:val="21"/>
        </w:rPr>
        <w:t>）</w:t>
      </w:r>
      <w:r>
        <w:rPr>
          <w:spacing w:val="-3"/>
          <w:sz w:val="21"/>
        </w:rPr>
        <w:t>，四车道及四车道以上道路</w:t>
      </w:r>
      <w:r>
        <w:rPr>
          <w:spacing w:val="-13"/>
          <w:sz w:val="21"/>
        </w:rPr>
        <w:t xml:space="preserve">双向每隔 </w:t>
      </w:r>
      <w:r>
        <w:rPr>
          <w:rFonts w:ascii="Times New Roman" w:eastAsia="Times New Roman"/>
          <w:sz w:val="21"/>
        </w:rPr>
        <w:t xml:space="preserve">300 </w:t>
      </w:r>
      <w:r>
        <w:rPr>
          <w:spacing w:val="-8"/>
          <w:sz w:val="21"/>
        </w:rPr>
        <w:t xml:space="preserve">米左右对向对齐设置 </w:t>
      </w:r>
      <w:r>
        <w:rPr>
          <w:rFonts w:ascii="Times New Roman" w:eastAsia="Times New Roman"/>
          <w:sz w:val="21"/>
        </w:rPr>
        <w:t>2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pacing w:val="-3"/>
          <w:sz w:val="21"/>
        </w:rPr>
        <w:t>块路名牌（</w:t>
      </w:r>
      <w:r>
        <w:rPr>
          <w:spacing w:val="-28"/>
          <w:sz w:val="21"/>
        </w:rPr>
        <w:t xml:space="preserve">图 </w:t>
      </w:r>
      <w:r>
        <w:rPr>
          <w:rFonts w:ascii="Times New Roman" w:eastAsia="Times New Roman"/>
          <w:sz w:val="21"/>
        </w:rPr>
        <w:t>11</w:t>
      </w:r>
      <w:r>
        <w:rPr>
          <w:sz w:val="21"/>
        </w:rPr>
        <w:t>）。</w:t>
      </w:r>
    </w:p>
    <w:p>
      <w:pPr>
        <w:pStyle w:val="ListParagraph"/>
        <w:numPr>
          <w:ilvl w:val="0"/>
          <w:numId w:val="7"/>
        </w:numPr>
        <w:tabs>
          <w:tab w:val="left" w:pos="2019"/>
        </w:tabs>
        <w:spacing w:before="0" w:after="0" w:line="269" w:lineRule="exact"/>
        <w:ind w:left="2019" w:right="0" w:hanging="423"/>
        <w:jc w:val="left"/>
        <w:rPr>
          <w:sz w:val="21"/>
        </w:rPr>
      </w:pPr>
      <w:bookmarkStart w:id="106" w:name="d） 确定道路长度时，可按以下规定进行："/>
      <w:bookmarkEnd w:id="106"/>
      <w:r>
        <w:rPr>
          <w:spacing w:val="-3"/>
          <w:sz w:val="21"/>
        </w:rPr>
        <w:t>确定道路长度时，可按以下规定进行：</w:t>
      </w:r>
    </w:p>
    <w:p>
      <w:pPr>
        <w:pStyle w:val="ListParagraph"/>
        <w:numPr>
          <w:ilvl w:val="0"/>
          <w:numId w:val="6"/>
        </w:numPr>
        <w:tabs>
          <w:tab w:val="left" w:pos="2423"/>
        </w:tabs>
        <w:spacing w:before="43" w:after="0" w:line="240" w:lineRule="auto"/>
        <w:ind w:left="2422" w:right="0" w:hanging="407"/>
        <w:jc w:val="left"/>
        <w:rPr>
          <w:sz w:val="21"/>
        </w:rPr>
      </w:pPr>
      <w:bookmarkStart w:id="107" w:name="1） 跨小区、社区、学校或工厂的道路，如果道路归属小区社区、学校或工厂就是内部路"/>
      <w:bookmarkEnd w:id="107"/>
      <w:r>
        <w:rPr>
          <w:spacing w:val="-10"/>
          <w:sz w:val="21"/>
        </w:rPr>
        <w:t>跨小区、社区、学校或工厂的道路，如果道路归属小区社区、学校或工厂就是内部路，不</w:t>
      </w:r>
    </w:p>
    <w:p>
      <w:pPr>
        <w:pStyle w:val="BodyText"/>
        <w:spacing w:before="7"/>
        <w:rPr>
          <w:sz w:val="27"/>
        </w:rPr>
      </w:pPr>
    </w:p>
    <w:p>
      <w:pPr>
        <w:spacing w:before="75"/>
        <w:ind w:left="1404" w:right="0" w:firstLine="0"/>
        <w:jc w:val="left"/>
        <w:rPr>
          <w:sz w:val="18"/>
        </w:rPr>
      </w:pPr>
      <w:r>
        <w:rPr>
          <w:sz w:val="18"/>
        </w:rPr>
        <w:t>8</w:t>
      </w:r>
    </w:p>
    <w:p>
      <w:pPr>
        <w:spacing w:after="0"/>
        <w:jc w:val="left"/>
        <w:rPr>
          <w:sz w:val="18"/>
        </w:rPr>
        <w:sectPr>
          <w:headerReference w:type="even" r:id="rId40"/>
          <w:headerReference w:type="default" r:id="rId41"/>
          <w:pgSz w:w="11910" w:h="16840"/>
          <w:pgMar w:top="1640" w:right="160" w:bottom="280" w:left="240" w:header="1448" w:footer="0"/>
          <w:pgNumType w:start="21"/>
          <w:cols w:space="708"/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72"/>
        <w:ind w:left="2436"/>
      </w:pPr>
      <w:r>
        <w:t>算其中距离，出了小区或学校的部分要算其距离；</w:t>
      </w:r>
    </w:p>
    <w:p>
      <w:pPr>
        <w:pStyle w:val="ListParagraph"/>
        <w:numPr>
          <w:ilvl w:val="0"/>
          <w:numId w:val="6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108" w:name="2） 道路长度从起止点算，断开部分的直线距离计入其长度；"/>
      <w:bookmarkEnd w:id="108"/>
      <w:r>
        <w:rPr>
          <w:spacing w:val="-3"/>
          <w:sz w:val="21"/>
        </w:rPr>
        <w:t>道路长度从起止点算，断开部分的直线距离计入其长度；</w:t>
      </w:r>
    </w:p>
    <w:p>
      <w:pPr>
        <w:pStyle w:val="ListParagraph"/>
        <w:numPr>
          <w:ilvl w:val="0"/>
          <w:numId w:val="6"/>
        </w:numPr>
        <w:tabs>
          <w:tab w:val="left" w:pos="2439"/>
        </w:tabs>
        <w:spacing w:before="43" w:after="0" w:line="240" w:lineRule="auto"/>
        <w:ind w:left="2438" w:right="0" w:hanging="424"/>
        <w:jc w:val="left"/>
        <w:rPr>
          <w:sz w:val="21"/>
        </w:rPr>
      </w:pPr>
      <w:bookmarkStart w:id="109" w:name="3） 同一条道路方向发生变化时，按实际方向设置；"/>
      <w:bookmarkEnd w:id="109"/>
      <w:r>
        <w:rPr>
          <w:spacing w:val="-3"/>
          <w:sz w:val="21"/>
        </w:rPr>
        <w:t>同一条道路方向发生变化时，按实际方向设置；</w:t>
      </w:r>
    </w:p>
    <w:p>
      <w:pPr>
        <w:pStyle w:val="ListParagraph"/>
        <w:numPr>
          <w:ilvl w:val="0"/>
          <w:numId w:val="6"/>
        </w:numPr>
        <w:tabs>
          <w:tab w:val="left" w:pos="2439"/>
        </w:tabs>
        <w:spacing w:before="42" w:after="0" w:line="240" w:lineRule="auto"/>
        <w:ind w:left="2438" w:right="0" w:hanging="424"/>
        <w:jc w:val="left"/>
        <w:rPr>
          <w:sz w:val="2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938397</wp:posOffset>
            </wp:positionH>
            <wp:positionV relativeFrom="paragraph">
              <wp:posOffset>355808</wp:posOffset>
            </wp:positionV>
            <wp:extent cx="2767037" cy="1559052"/>
            <wp:effectExtent l="0" t="0" r="0" b="0"/>
            <wp:wrapTopAndBottom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037" cy="1559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3998559</wp:posOffset>
            </wp:positionH>
            <wp:positionV relativeFrom="paragraph">
              <wp:posOffset>254566</wp:posOffset>
            </wp:positionV>
            <wp:extent cx="2777132" cy="1614106"/>
            <wp:effectExtent l="0" t="0" r="0" b="0"/>
            <wp:wrapTopAndBottom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7132" cy="161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0" w:name="4） 规划道路与实际道路不符由地名办确认道路名字。"/>
      <w:bookmarkEnd w:id="110"/>
      <w:r>
        <w:rPr>
          <w:spacing w:val="-3"/>
          <w:sz w:val="21"/>
        </w:rPr>
        <w:t>规划道路与实际道路不符由地名办确认道路名字。</w:t>
      </w:r>
    </w:p>
    <w:p>
      <w:pPr>
        <w:pStyle w:val="BodyText"/>
        <w:spacing w:before="117"/>
        <w:ind w:left="5552"/>
        <w:jc w:val="center"/>
        <w:rPr>
          <w:rFonts w:ascii="黑体" w:eastAsia="黑体" w:hint="eastAsia"/>
        </w:rPr>
      </w:pPr>
      <w:bookmarkStart w:id="111" w:name="四车道以下十字路口，设两块路名牌"/>
      <w:bookmarkEnd w:id="111"/>
      <w:r>
        <w:rPr>
          <w:rFonts w:ascii="黑体" w:eastAsia="黑体" w:hint="eastAsia"/>
        </w:rPr>
        <w:t>四车道以下十字路口，设两块路名牌</w:t>
      </w:r>
    </w:p>
    <w:p>
      <w:pPr>
        <w:pStyle w:val="BodyText"/>
        <w:tabs>
          <w:tab w:val="left" w:pos="4760"/>
        </w:tabs>
        <w:spacing w:before="43"/>
        <w:ind w:left="87"/>
        <w:jc w:val="center"/>
        <w:rPr>
          <w:rFonts w:ascii="黑体" w:eastAsia="黑体" w:hint="eastAsia"/>
        </w:rPr>
      </w:pPr>
      <w:r>
        <w:pict>
          <v:group id="_x0000_s1057" style="width:560pt;height:443pt;margin-top:37.94pt;margin-left:17pt;mso-position-horizontal-relative:page;position:absolute;z-index:251678720" coordorigin="340,759" coordsize="11200,8860">
            <v:shape id="_x0000_s1058" type="#_x0000_t75" style="width:4503;height:2619;left:1422;position:absolute;top:758" stroked="f">
              <v:imagedata r:id="rId44" o:title=""/>
            </v:shape>
            <v:shape id="_x0000_s1059" type="#_x0000_t75" style="width:4377;height:2331;left:6227;position:absolute;top:851" stroked="f">
              <v:imagedata r:id="rId45" o:title=""/>
            </v:shape>
            <v:shape id="_x0000_s1060" type="#_x0000_t75" style="width:4634;height:2133;left:1417;position:absolute;top:4635" stroked="f">
              <v:imagedata r:id="rId46" o:title=""/>
            </v:shape>
            <v:shape id="_x0000_s1061" type="#_x0000_t75" style="width:4242;height:2090;left:6351;position:absolute;top:4702" stroked="f">
              <v:imagedata r:id="rId47" o:title=""/>
            </v:shape>
            <v:shape id="_x0000_s1062" type="#_x0000_t75" style="width:11200;height:7680;left:340;position:absolute;top:1937" stroked="f">
              <v:imagedata r:id="rId4" o:title=""/>
            </v:shape>
          </v:group>
        </w:pict>
      </w:r>
      <w:bookmarkStart w:id="112" w:name="图6                                      "/>
      <w:bookmarkEnd w:id="112"/>
      <w:r>
        <w:rPr>
          <w:rFonts w:ascii="黑体" w:eastAsia="黑体" w:hint="eastAsia"/>
        </w:rPr>
        <w:t>图</w:t>
      </w:r>
      <w:r>
        <w:rPr>
          <w:rFonts w:ascii="黑体" w:eastAsia="黑体" w:hint="eastAsia"/>
          <w:spacing w:val="-53"/>
        </w:rPr>
        <w:t xml:space="preserve"> </w:t>
      </w:r>
      <w:r>
        <w:rPr>
          <w:rFonts w:ascii="黑体" w:eastAsia="黑体" w:hint="eastAsia"/>
        </w:rPr>
        <w:t>6</w:t>
        <w:tab/>
        <w:t>图</w:t>
      </w:r>
      <w:r>
        <w:rPr>
          <w:rFonts w:ascii="黑体" w:eastAsia="黑体" w:hint="eastAsia"/>
          <w:spacing w:val="-53"/>
        </w:rPr>
        <w:t xml:space="preserve"> </w:t>
      </w:r>
      <w:r>
        <w:rPr>
          <w:rFonts w:ascii="黑体" w:eastAsia="黑体" w:hint="eastAsia"/>
        </w:rPr>
        <w:t>7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24"/>
        </w:rPr>
      </w:pPr>
      <w:r>
        <w:pict>
          <v:group id="_x0000_s1063" style="width:431.8pt;height:293.75pt;margin-top:17.58pt;margin-left:102.36pt;mso-position-horizontal-relative:page;mso-wrap-distance-left:0;mso-wrap-distance-right:0;position:absolute;z-index:-251636736" coordorigin="2047,352" coordsize="8636,5875">
            <v:shape id="_x0000_s1064" type="#_x0000_t202" style="width:1336;height:485;left:3095;position:absolute;top:351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B、C</w:t>
                    </w:r>
                    <w:r>
                      <w:rPr>
                        <w:rFonts w:ascii="黑体" w:eastAsia="黑体" w:hint="eastAsia"/>
                        <w:spacing w:val="-12"/>
                        <w:sz w:val="21"/>
                      </w:rPr>
                      <w:t xml:space="preserve"> 型路名牌</w:t>
                    </w:r>
                  </w:p>
                  <w:p>
                    <w:pPr>
                      <w:spacing w:before="4" w:line="240" w:lineRule="exact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图 8</w:t>
                    </w:r>
                  </w:p>
                </w:txbxContent>
              </v:textbox>
            </v:shape>
            <v:shape id="_x0000_s1065" type="#_x0000_t202" style="width:4218;height:485;left:6194;position:absolute;top:351" filled="f" stroked="f">
              <v:textbox inset="0,0,0,0">
                <w:txbxContent>
                  <w:p>
                    <w:pPr>
                      <w:spacing w:before="0" w:line="241" w:lineRule="exact"/>
                      <w:ind w:left="9" w:right="28" w:firstLine="0"/>
                      <w:jc w:val="center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pacing w:val="-3"/>
                        <w:sz w:val="21"/>
                      </w:rPr>
                      <w:t>四车道及四车道以上十字路口，设四块路名牌</w:t>
                    </w:r>
                  </w:p>
                  <w:p>
                    <w:pPr>
                      <w:spacing w:before="4" w:line="240" w:lineRule="exact"/>
                      <w:ind w:left="375" w:right="28" w:firstLine="0"/>
                      <w:jc w:val="center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图 9</w:t>
                    </w:r>
                  </w:p>
                </w:txbxContent>
              </v:textbox>
            </v:shape>
            <v:shape id="_x0000_s1066" type="#_x0000_t202" style="width:3805;height:756;left:2047;position:absolute;top:397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四车道（指道路宽度）以下（含四车道）</w:t>
                    </w:r>
                  </w:p>
                  <w:p>
                    <w:pPr>
                      <w:spacing w:before="0" w:line="270" w:lineRule="atLeast"/>
                      <w:ind w:left="1469" w:right="1280" w:hanging="421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路名牌错开设置图 10</w:t>
                    </w:r>
                  </w:p>
                </w:txbxContent>
              </v:textbox>
            </v:shape>
            <v:shape id="_x0000_s1067" type="#_x0000_t202" style="width:4223;height:485;left:6460;position:absolute;top:397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18" w:firstLine="0"/>
                      <w:jc w:val="center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四车道（指道路宽度）以上，路名牌对称设置</w:t>
                    </w:r>
                  </w:p>
                  <w:p>
                    <w:pPr>
                      <w:spacing w:before="4" w:line="240" w:lineRule="exact"/>
                      <w:ind w:left="0" w:right="185" w:firstLine="0"/>
                      <w:jc w:val="center"/>
                      <w:rPr>
                        <w:rFonts w:ascii="黑体" w:eastAsia="黑体" w:hint="eastAsia"/>
                        <w:sz w:val="21"/>
                      </w:rPr>
                    </w:pPr>
                    <w:r>
                      <w:rPr>
                        <w:rFonts w:ascii="黑体" w:eastAsia="黑体" w:hint="eastAsia"/>
                        <w:sz w:val="21"/>
                      </w:rPr>
                      <w:t>图 11</w:t>
                    </w:r>
                  </w:p>
                </w:txbxContent>
              </v:textbox>
            </v:shape>
            <v:shape id="_x0000_s1068" type="#_x0000_t202" style="width:110;height:200;left:10466;position:absolute;top:6027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4"/>
        </w:rPr>
      </w:pPr>
      <w:r>
        <w:rPr>
          <w:rFonts w:ascii="黑体"/>
          <w:sz w:val="24"/>
        </w:rPr>
        <w:br/>
      </w:r>
      <w:r>
        <w:rPr>
          <w:rFonts w:ascii="黑体"/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https://d.book118.com/327110140032006034</w:t>
        </w:r>
      </w:hyperlink>
    </w:p>
    <w:p>
      <w:pPr>
        <w:spacing w:after="0"/>
        <w:rPr>
          <w:rFonts w:ascii="黑体"/>
          <w:sz w:val="24"/>
        </w:rPr>
      </w:pPr>
    </w:p>
    <w:sectPr>
      <w:headerReference w:type="even" r:id="rId49"/>
      <w:headerReference w:type="default" r:id="rId50"/>
      <w:pgSz w:w="11910" w:h="16840"/>
      <w:pgMar w:top="1640" w:right="160" w:bottom="280" w:left="240" w:header="1448" w:footer="0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1.45pt;height:12.6pt;margin-top:71.4pt;margin-left:448.2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1.45pt;height:12.6pt;margin-top:71.4pt;margin-left:448.2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1.45pt;height:12.6pt;margin-top:71.4pt;margin-left:448.28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1.45pt;height:12.6pt;margin-top:71.4pt;margin-left:448.28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1.45pt;height:12.6pt;margin-top:71.4pt;margin-left:69.8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1.45pt;height:12.6pt;margin-top:71.4pt;margin-left:448.28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1.45pt;height:12.6pt;margin-top:71.4pt;margin-left:69.8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1.45pt;height:12.6pt;margin-top:71.4pt;margin-left:448.28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1.45pt;height:12.6pt;margin-top:71.4pt;margin-left:69.8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1.45pt;height:12.6pt;margin-top:71.4pt;margin-left:448.28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1.45pt;height:12.6pt;margin-top:71.4pt;margin-left:69.8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1.45pt;height:12.6pt;margin-top:71.4pt;margin-left:448.28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1.45pt;height:12.6pt;margin-top:71.4pt;margin-left:69.8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1.45pt;height:12.6pt;margin-top:71.4pt;margin-left:448.28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1.45pt;height:12.6pt;margin-top:71.4pt;margin-left:69.8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1.45pt;height:12.6pt;margin-top:71.4pt;margin-left:448.28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1.45pt;height:12.6pt;margin-top:71.4pt;margin-left:69.8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1.45pt;height:12.6pt;margin-top:71.4pt;margin-left:448.28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1.45pt;height:12.6pt;margin-top:71.4pt;margin-left:69.8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1.45pt;height:12.6pt;margin-top:71.4pt;margin-left:448.28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1.45pt;height:12.6pt;margin-top:71.4pt;margin-left:69.8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1.45pt;height:12.6pt;margin-top:71.4pt;margin-left:448.28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/>
                  </w:rPr>
                </w:pPr>
                <w:r>
                  <w:rPr>
                    <w:rFonts w:ascii="黑体"/>
                  </w:rPr>
                  <w:t>DB4201/T 619-2020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3E27E"/>
    <w:multiLevelType w:val="hybridMultilevel"/>
    <w:tmpl w:val="00000000"/>
    <w:lvl w:ilvl="0">
      <w:start w:val="1"/>
      <w:numFmt w:val="decimal"/>
      <w:lvlText w:val="%1）"/>
      <w:lvlJc w:val="left"/>
      <w:pPr>
        <w:ind w:left="2422" w:hanging="406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328" w:hanging="4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37" w:hanging="4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45" w:hanging="4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54" w:hanging="4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63" w:hanging="4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71" w:hanging="4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80" w:hanging="4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9" w:hanging="406"/>
      </w:pPr>
      <w:rPr>
        <w:rFonts w:hint="default"/>
        <w:lang w:val="en-US" w:eastAsia="en-US" w:bidi="ar-SA"/>
      </w:rPr>
    </w:lvl>
  </w:abstractNum>
  <w:abstractNum w:abstractNumId="1">
    <w:nsid w:val="157BA632"/>
    <w:multiLevelType w:val="hybridMultilevel"/>
    <w:tmpl w:val="00000000"/>
    <w:lvl w:ilvl="0">
      <w:start w:val="4"/>
      <w:numFmt w:val="decimal"/>
      <w:lvlText w:val="%1"/>
      <w:lvlJc w:val="left"/>
      <w:pPr>
        <w:ind w:left="1492" w:hanging="31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76" w:hanging="528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lowerLetter"/>
      <w:lvlText w:val="%3）"/>
      <w:lvlJc w:val="left"/>
      <w:pPr>
        <w:ind w:left="2016" w:hanging="41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0" w:hanging="41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5" w:hanging="41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0" w:hanging="41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5" w:hanging="41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40" w:hanging="41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6" w:hanging="418"/>
      </w:pPr>
      <w:rPr>
        <w:rFonts w:hint="default"/>
        <w:lang w:val="en-US" w:eastAsia="en-US" w:bidi="ar-SA"/>
      </w:rPr>
    </w:lvl>
  </w:abstractNum>
  <w:abstractNum w:abstractNumId="2">
    <w:nsid w:val="15C86ACD"/>
    <w:multiLevelType w:val="hybridMultilevel"/>
    <w:tmpl w:val="00000000"/>
    <w:lvl w:ilvl="0">
      <w:start w:val="2"/>
      <w:numFmt w:val="decimal"/>
      <w:lvlText w:val="%1）"/>
      <w:lvlJc w:val="left"/>
      <w:pPr>
        <w:ind w:left="243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346" w:hanging="42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3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59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66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73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79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86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93" w:hanging="423"/>
      </w:pPr>
      <w:rPr>
        <w:rFonts w:hint="default"/>
        <w:lang w:val="en-US" w:eastAsia="en-US" w:bidi="ar-SA"/>
      </w:rPr>
    </w:lvl>
  </w:abstractNum>
  <w:abstractNum w:abstractNumId="3">
    <w:nsid w:val="1BB43B2F"/>
    <w:multiLevelType w:val="hybridMultilevel"/>
    <w:tmpl w:val="00000000"/>
    <w:lvl w:ilvl="0">
      <w:start w:val="1"/>
      <w:numFmt w:val="decimal"/>
      <w:lvlText w:val="%1"/>
      <w:lvlJc w:val="left"/>
      <w:pPr>
        <w:ind w:left="1387" w:hanging="212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92" w:hanging="2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05" w:hanging="2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17" w:hanging="2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0" w:hanging="2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43" w:hanging="2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55" w:hanging="2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68" w:hanging="2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1" w:hanging="212"/>
      </w:pPr>
      <w:rPr>
        <w:rFonts w:hint="default"/>
        <w:lang w:val="en-US" w:eastAsia="en-US" w:bidi="ar-SA"/>
      </w:rPr>
    </w:lvl>
  </w:abstractNum>
  <w:abstractNum w:abstractNumId="4">
    <w:nsid w:val="211C72EB"/>
    <w:multiLevelType w:val="hybridMultilevel"/>
    <w:tmpl w:val="00000000"/>
    <w:lvl w:ilvl="0">
      <w:start w:val="1"/>
      <w:numFmt w:val="decimal"/>
      <w:lvlText w:val="%1"/>
      <w:lvlJc w:val="left"/>
      <w:pPr>
        <w:ind w:left="1387" w:hanging="212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92" w:hanging="2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05" w:hanging="2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17" w:hanging="2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0" w:hanging="2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43" w:hanging="2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55" w:hanging="2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68" w:hanging="2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1" w:hanging="212"/>
      </w:pPr>
      <w:rPr>
        <w:rFonts w:hint="default"/>
        <w:lang w:val="en-US" w:eastAsia="en-US" w:bidi="ar-SA"/>
      </w:rPr>
    </w:lvl>
  </w:abstractNum>
  <w:abstractNum w:abstractNumId="5">
    <w:nsid w:val="2A7781E8"/>
    <w:multiLevelType w:val="hybridMultilevel"/>
    <w:tmpl w:val="00000000"/>
    <w:lvl w:ilvl="0">
      <w:start w:val="1"/>
      <w:numFmt w:val="lowerLetter"/>
      <w:lvlText w:val="%1）"/>
      <w:lvlJc w:val="left"/>
      <w:pPr>
        <w:ind w:left="1596" w:hanging="4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37" w:hanging="42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1"/>
      </w:pPr>
      <w:rPr>
        <w:rFonts w:hint="default"/>
        <w:lang w:val="en-US" w:eastAsia="en-US" w:bidi="ar-SA"/>
      </w:rPr>
    </w:lvl>
  </w:abstractNum>
  <w:abstractNum w:abstractNumId="6">
    <w:nsid w:val="3132058D"/>
    <w:multiLevelType w:val="hybridMultilevel"/>
    <w:tmpl w:val="00000000"/>
    <w:lvl w:ilvl="0">
      <w:start w:val="6"/>
      <w:numFmt w:val="decimal"/>
      <w:lvlText w:val="%1"/>
      <w:lvlJc w:val="left"/>
      <w:pPr>
        <w:ind w:left="1701" w:hanging="526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lowerLetter"/>
      <w:lvlText w:val="%3）"/>
      <w:lvlJc w:val="left"/>
      <w:pPr>
        <w:ind w:left="2006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12" w:hanging="4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68" w:hanging="4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25" w:hanging="4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81" w:hanging="4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37" w:hanging="4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411"/>
      </w:pPr>
      <w:rPr>
        <w:rFonts w:hint="default"/>
        <w:lang w:val="en-US" w:eastAsia="en-US" w:bidi="ar-SA"/>
      </w:rPr>
    </w:lvl>
  </w:abstractNum>
  <w:abstractNum w:abstractNumId="7">
    <w:nsid w:val="374B4CE0"/>
    <w:multiLevelType w:val="hybridMultilevel"/>
    <w:tmpl w:val="00000000"/>
    <w:lvl w:ilvl="0">
      <w:start w:val="2"/>
      <w:numFmt w:val="lowerLetter"/>
      <w:lvlText w:val="%1）"/>
      <w:lvlJc w:val="left"/>
      <w:pPr>
        <w:ind w:left="201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968" w:hanging="42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17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65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4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63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11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60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09" w:hanging="423"/>
      </w:pPr>
      <w:rPr>
        <w:rFonts w:hint="default"/>
        <w:lang w:val="en-US" w:eastAsia="en-US" w:bidi="ar-SA"/>
      </w:rPr>
    </w:lvl>
  </w:abstractNum>
  <w:abstractNum w:abstractNumId="8">
    <w:nsid w:val="3BCD86AA"/>
    <w:multiLevelType w:val="hybridMultilevel"/>
    <w:tmpl w:val="00000000"/>
    <w:lvl w:ilvl="0">
      <w:start w:val="1"/>
      <w:numFmt w:val="lowerLetter"/>
      <w:lvlText w:val="%1）"/>
      <w:lvlJc w:val="left"/>
      <w:pPr>
        <w:ind w:left="2016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3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3"/>
      </w:pPr>
      <w:rPr>
        <w:rFonts w:hint="default"/>
        <w:lang w:val="en-US" w:eastAsia="en-US" w:bidi="ar-SA"/>
      </w:rPr>
    </w:lvl>
  </w:abstractNum>
  <w:abstractNum w:abstractNumId="9">
    <w:nsid w:val="3C99CD23"/>
    <w:multiLevelType w:val="hybridMultilevel"/>
    <w:tmpl w:val="00000000"/>
    <w:lvl w:ilvl="0">
      <w:start w:val="3"/>
      <w:numFmt w:val="upperLetter"/>
      <w:lvlText w:val="%1"/>
      <w:lvlJc w:val="left"/>
      <w:pPr>
        <w:ind w:left="2017" w:hanging="737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2017" w:hanging="737"/>
        <w:jc w:val="left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"/>
      <w:lvlJc w:val="left"/>
      <w:pPr>
        <w:ind w:left="2017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65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4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63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11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60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09" w:hanging="737"/>
      </w:pPr>
      <w:rPr>
        <w:rFonts w:hint="default"/>
        <w:lang w:val="en-US" w:eastAsia="en-US" w:bidi="ar-SA"/>
      </w:rPr>
    </w:lvl>
  </w:abstractNum>
  <w:abstractNum w:abstractNumId="10">
    <w:nsid w:val="4C625BDA"/>
    <w:multiLevelType w:val="hybridMultilevel"/>
    <w:tmpl w:val="00000000"/>
    <w:lvl w:ilvl="0">
      <w:start w:val="2"/>
      <w:numFmt w:val="lowerLetter"/>
      <w:lvlText w:val="%1）"/>
      <w:lvlJc w:val="left"/>
      <w:pPr>
        <w:ind w:left="2227" w:hanging="318"/>
        <w:jc w:val="left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148" w:hanging="31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77" w:hanging="31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05" w:hanging="31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34" w:hanging="31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63" w:hanging="31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91" w:hanging="31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20" w:hanging="31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49" w:hanging="318"/>
      </w:pPr>
      <w:rPr>
        <w:rFonts w:hint="default"/>
        <w:lang w:val="en-US" w:eastAsia="en-US" w:bidi="ar-SA"/>
      </w:rPr>
    </w:lvl>
  </w:abstractNum>
  <w:abstractNum w:abstractNumId="11">
    <w:nsid w:val="500379B1"/>
    <w:multiLevelType w:val="hybridMultilevel"/>
    <w:tmpl w:val="00000000"/>
    <w:lvl w:ilvl="0">
      <w:start w:val="1"/>
      <w:numFmt w:val="lowerLetter"/>
      <w:lvlText w:val="%1）"/>
      <w:lvlJc w:val="left"/>
      <w:pPr>
        <w:ind w:left="2006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3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3"/>
      </w:pPr>
      <w:rPr>
        <w:rFonts w:hint="default"/>
        <w:lang w:val="en-US" w:eastAsia="en-US" w:bidi="ar-SA"/>
      </w:rPr>
    </w:lvl>
  </w:abstractNum>
  <w:abstractNum w:abstractNumId="12">
    <w:nsid w:val="5433D683"/>
    <w:multiLevelType w:val="hybridMultilevel"/>
    <w:tmpl w:val="00000000"/>
    <w:lvl w:ilvl="0">
      <w:start w:val="6"/>
      <w:numFmt w:val="decimal"/>
      <w:lvlText w:val="%1"/>
      <w:lvlJc w:val="left"/>
      <w:pPr>
        <w:ind w:left="1701" w:hanging="526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lowerLetter"/>
      <w:lvlText w:val="%3）"/>
      <w:lvlJc w:val="left"/>
      <w:pPr>
        <w:ind w:left="2006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12" w:hanging="4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68" w:hanging="4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25" w:hanging="4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81" w:hanging="4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37" w:hanging="4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411"/>
      </w:pPr>
      <w:rPr>
        <w:rFonts w:hint="default"/>
        <w:lang w:val="en-US" w:eastAsia="en-US" w:bidi="ar-SA"/>
      </w:rPr>
    </w:lvl>
  </w:abstractNum>
  <w:abstractNum w:abstractNumId="13">
    <w:nsid w:val="5D4F5FC6"/>
    <w:multiLevelType w:val="hybridMultilevel"/>
    <w:tmpl w:val="00000000"/>
    <w:lvl w:ilvl="0">
      <w:start w:val="4"/>
      <w:numFmt w:val="lowerLetter"/>
      <w:lvlText w:val="%1）"/>
      <w:lvlJc w:val="left"/>
      <w:pPr>
        <w:ind w:left="201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3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3"/>
      </w:pPr>
      <w:rPr>
        <w:rFonts w:hint="default"/>
        <w:lang w:val="en-US" w:eastAsia="en-US" w:bidi="ar-SA"/>
      </w:rPr>
    </w:lvl>
  </w:abstractNum>
  <w:abstractNum w:abstractNumId="14">
    <w:nsid w:val="5DA92EDE"/>
    <w:multiLevelType w:val="hybridMultilevel"/>
    <w:tmpl w:val="00000000"/>
    <w:lvl w:ilvl="0">
      <w:start w:val="2"/>
      <w:numFmt w:val="upperLetter"/>
      <w:lvlText w:val="%1"/>
      <w:lvlJc w:val="left"/>
      <w:pPr>
        <w:ind w:left="1701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332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6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13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32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50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69" w:hanging="737"/>
      </w:pPr>
      <w:rPr>
        <w:rFonts w:hint="default"/>
        <w:lang w:val="en-US" w:eastAsia="en-US" w:bidi="ar-SA"/>
      </w:rPr>
    </w:lvl>
  </w:abstractNum>
  <w:abstractNum w:abstractNumId="15">
    <w:nsid w:val="5F9EB303"/>
    <w:multiLevelType w:val="hybridMultilevel"/>
    <w:tmpl w:val="00000000"/>
    <w:lvl w:ilvl="0">
      <w:start w:val="1"/>
      <w:numFmt w:val="lowerLetter"/>
      <w:lvlText w:val="%1）"/>
      <w:lvlJc w:val="left"/>
      <w:pPr>
        <w:ind w:left="2016" w:hanging="4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43" w:hanging="42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8"/>
      </w:pPr>
      <w:rPr>
        <w:rFonts w:hint="default"/>
        <w:lang w:val="en-US" w:eastAsia="en-US" w:bidi="ar-SA"/>
      </w:rPr>
    </w:lvl>
  </w:abstractNum>
  <w:abstractNum w:abstractNumId="16">
    <w:nsid w:val="62523AE2"/>
    <w:multiLevelType w:val="hybridMultilevel"/>
    <w:tmpl w:val="00000000"/>
    <w:lvl w:ilvl="0">
      <w:start w:val="1"/>
      <w:numFmt w:val="decimal"/>
      <w:lvlText w:val="%1"/>
      <w:lvlJc w:val="left"/>
      <w:pPr>
        <w:ind w:left="1492" w:hanging="31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9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9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8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8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37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27" w:hanging="526"/>
      </w:pPr>
      <w:rPr>
        <w:rFonts w:hint="default"/>
        <w:lang w:val="en-US" w:eastAsia="en-US" w:bidi="ar-SA"/>
      </w:rPr>
    </w:lvl>
  </w:abstractNum>
  <w:abstractNum w:abstractNumId="17">
    <w:nsid w:val="697DE5D7"/>
    <w:multiLevelType w:val="hybridMultilevel"/>
    <w:tmpl w:val="00000000"/>
    <w:lvl w:ilvl="0">
      <w:start w:val="6"/>
      <w:numFmt w:val="decimal"/>
      <w:lvlText w:val="%1"/>
      <w:lvlJc w:val="left"/>
      <w:pPr>
        <w:ind w:left="525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25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lowerLetter"/>
      <w:lvlText w:val="%3）"/>
      <w:lvlJc w:val="left"/>
      <w:pPr>
        <w:ind w:left="830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03" w:hanging="4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4" w:hanging="4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66" w:hanging="4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97" w:hanging="4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9" w:hanging="4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61" w:hanging="411"/>
      </w:pPr>
      <w:rPr>
        <w:rFonts w:hint="default"/>
        <w:lang w:val="en-US" w:eastAsia="en-US" w:bidi="ar-SA"/>
      </w:rPr>
    </w:lvl>
  </w:abstractNum>
  <w:abstractNum w:abstractNumId="18">
    <w:nsid w:val="6A3A2EBD"/>
    <w:multiLevelType w:val="hybridMultilevel"/>
    <w:tmpl w:val="00000000"/>
    <w:lvl w:ilvl="0">
      <w:start w:val="1"/>
      <w:numFmt w:val="lowerLetter"/>
      <w:lvlText w:val="%1）"/>
      <w:lvlJc w:val="left"/>
      <w:pPr>
        <w:ind w:left="2016" w:hanging="4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968" w:hanging="4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17" w:hanging="4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65" w:hanging="4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4" w:hanging="4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63" w:hanging="4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11" w:hanging="4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60" w:hanging="4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09" w:hanging="421"/>
      </w:pPr>
      <w:rPr>
        <w:rFonts w:hint="default"/>
        <w:lang w:val="en-US" w:eastAsia="en-US" w:bidi="ar-SA"/>
      </w:rPr>
    </w:lvl>
  </w:abstractNum>
  <w:abstractNum w:abstractNumId="19">
    <w:nsid w:val="6BAC2B4A"/>
    <w:multiLevelType w:val="hybridMultilevel"/>
    <w:tmpl w:val="00000000"/>
    <w:lvl w:ilvl="0">
      <w:start w:val="1"/>
      <w:numFmt w:val="lowerLetter"/>
      <w:lvlText w:val="%1）"/>
      <w:lvlJc w:val="left"/>
      <w:pPr>
        <w:ind w:left="2016" w:hanging="4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05" w:hanging="389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11" w:hanging="38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3" w:hanging="38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5" w:hanging="38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47" w:hanging="38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59" w:hanging="38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70" w:hanging="38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2" w:hanging="389"/>
      </w:pPr>
      <w:rPr>
        <w:rFonts w:hint="default"/>
        <w:lang w:val="en-US" w:eastAsia="en-US" w:bidi="ar-SA"/>
      </w:rPr>
    </w:lvl>
  </w:abstractNum>
  <w:abstractNum w:abstractNumId="20">
    <w:nsid w:val="706D256D"/>
    <w:multiLevelType w:val="hybridMultilevel"/>
    <w:tmpl w:val="00000000"/>
    <w:lvl w:ilvl="0">
      <w:start w:val="1"/>
      <w:numFmt w:val="lowerLetter"/>
      <w:lvlText w:val="%1）"/>
      <w:lvlJc w:val="left"/>
      <w:pPr>
        <w:ind w:left="2006" w:hanging="41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2436" w:hanging="42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7" w:hanging="4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54" w:hanging="4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4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69" w:hanging="4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6" w:hanging="4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4" w:hanging="4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1" w:hanging="421"/>
      </w:pPr>
      <w:rPr>
        <w:rFonts w:hint="default"/>
        <w:lang w:val="en-US" w:eastAsia="en-US" w:bidi="ar-SA"/>
      </w:rPr>
    </w:lvl>
  </w:abstractNum>
  <w:abstractNum w:abstractNumId="21">
    <w:nsid w:val="71D13763"/>
    <w:multiLevelType w:val="hybridMultilevel"/>
    <w:tmpl w:val="00000000"/>
    <w:lvl w:ilvl="0">
      <w:start w:val="3"/>
      <w:numFmt w:val="upperLetter"/>
      <w:lvlText w:val="%1"/>
      <w:lvlJc w:val="left"/>
      <w:pPr>
        <w:ind w:left="1701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76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9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8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8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37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27" w:hanging="737"/>
      </w:pPr>
      <w:rPr>
        <w:rFonts w:hint="default"/>
        <w:lang w:val="en-US" w:eastAsia="en-US" w:bidi="ar-SA"/>
      </w:rPr>
    </w:lvl>
  </w:abstractNum>
  <w:abstractNum w:abstractNumId="22">
    <w:nsid w:val="76082A6A"/>
    <w:multiLevelType w:val="hybridMultilevel"/>
    <w:tmpl w:val="00000000"/>
    <w:lvl w:ilvl="0">
      <w:start w:val="3"/>
      <w:numFmt w:val="upperLetter"/>
      <w:lvlText w:val="%1"/>
      <w:lvlJc w:val="left"/>
      <w:pPr>
        <w:ind w:left="736" w:hanging="737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736" w:hanging="737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36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32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96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60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4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8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52" w:hanging="737"/>
      </w:pPr>
      <w:rPr>
        <w:rFonts w:hint="default"/>
        <w:lang w:val="en-US" w:eastAsia="en-US" w:bidi="ar-SA"/>
      </w:rPr>
    </w:lvl>
  </w:abstractNum>
  <w:abstractNum w:abstractNumId="23">
    <w:nsid w:val="7657EF80"/>
    <w:multiLevelType w:val="hybridMultilevel"/>
    <w:tmpl w:val="00000000"/>
    <w:lvl w:ilvl="0">
      <w:start w:val="1"/>
      <w:numFmt w:val="decimal"/>
      <w:lvlText w:val="%1）"/>
      <w:lvlJc w:val="left"/>
      <w:pPr>
        <w:ind w:left="2438" w:hanging="42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346" w:hanging="42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3" w:hanging="42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59" w:hanging="42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66" w:hanging="42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73" w:hanging="42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79" w:hanging="42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86" w:hanging="42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93" w:hanging="423"/>
      </w:pPr>
      <w:rPr>
        <w:rFonts w:hint="default"/>
        <w:lang w:val="en-US" w:eastAsia="en-US" w:bidi="ar-SA"/>
      </w:rPr>
    </w:lvl>
  </w:abstractNum>
  <w:abstractNum w:abstractNumId="24">
    <w:nsid w:val="7B243DE2"/>
    <w:multiLevelType w:val="hybridMultilevel"/>
    <w:tmpl w:val="00000000"/>
    <w:lvl w:ilvl="0">
      <w:start w:val="1"/>
      <w:numFmt w:val="decimal"/>
      <w:lvlText w:val="%1"/>
      <w:lvlJc w:val="left"/>
      <w:pPr>
        <w:ind w:left="1492" w:hanging="31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1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9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9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8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8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37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27" w:hanging="526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0"/>
  </w:num>
  <w:num w:numId="3">
    <w:abstractNumId w:val="22"/>
  </w:num>
  <w:num w:numId="4">
    <w:abstractNumId w:val="21"/>
  </w:num>
  <w:num w:numId="5">
    <w:abstractNumId w:val="14"/>
  </w:num>
  <w:num w:numId="6">
    <w:abstractNumId w:val="0"/>
  </w:num>
  <w:num w:numId="7">
    <w:abstractNumId w:val="19"/>
  </w:num>
  <w:num w:numId="8">
    <w:abstractNumId w:val="7"/>
  </w:num>
  <w:num w:numId="9">
    <w:abstractNumId w:val="6"/>
  </w:num>
  <w:num w:numId="10">
    <w:abstractNumId w:val="17"/>
  </w:num>
  <w:num w:numId="11">
    <w:abstractNumId w:val="2"/>
  </w:num>
  <w:num w:numId="12">
    <w:abstractNumId w:val="13"/>
  </w:num>
  <w:num w:numId="13">
    <w:abstractNumId w:val="23"/>
  </w:num>
  <w:num w:numId="14">
    <w:abstractNumId w:val="11"/>
  </w:num>
  <w:num w:numId="15">
    <w:abstractNumId w:val="8"/>
  </w:num>
  <w:num w:numId="16">
    <w:abstractNumId w:val="20"/>
  </w:num>
  <w:num w:numId="17">
    <w:abstractNumId w:val="15"/>
  </w:num>
  <w:num w:numId="18">
    <w:abstractNumId w:val="5"/>
  </w:num>
  <w:num w:numId="19">
    <w:abstractNumId w:val="18"/>
  </w:num>
  <w:num w:numId="20">
    <w:abstractNumId w:val="1"/>
  </w:num>
  <w:num w:numId="21">
    <w:abstractNumId w:val="24"/>
  </w:num>
  <w:num w:numId="22">
    <w:abstractNumId w:val="4"/>
  </w:num>
  <w:num w:numId="23">
    <w:abstractNumId w:val="3"/>
  </w:num>
  <w:num w:numId="24">
    <w:abstractNumId w:val="16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before="55"/>
      <w:ind w:left="198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before="419"/>
      <w:ind w:left="1159" w:right="1161"/>
      <w:jc w:val="center"/>
    </w:pPr>
    <w:rPr>
      <w:rFonts w:ascii="Times New Roman" w:eastAsia="Times New Roman" w:hAnsi="Times New Roman" w:cs="Times New Roman"/>
      <w:b/>
      <w:bCs/>
      <w:sz w:val="96"/>
      <w:szCs w:val="96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43"/>
      <w:ind w:left="2438" w:hanging="423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eader" Target="header19.xml" /><Relationship Id="rId25" Type="http://schemas.openxmlformats.org/officeDocument/2006/relationships/image" Target="media/image3.jpeg" /><Relationship Id="rId26" Type="http://schemas.openxmlformats.org/officeDocument/2006/relationships/header" Target="header20.xml" /><Relationship Id="rId27" Type="http://schemas.openxmlformats.org/officeDocument/2006/relationships/header" Target="header21.xml" /><Relationship Id="rId28" Type="http://schemas.openxmlformats.org/officeDocument/2006/relationships/image" Target="media/image4.jpeg" /><Relationship Id="rId29" Type="http://schemas.openxmlformats.org/officeDocument/2006/relationships/header" Target="header22.xml" /><Relationship Id="rId3" Type="http://schemas.openxmlformats.org/officeDocument/2006/relationships/fontTable" Target="fontTable.xml" /><Relationship Id="rId30" Type="http://schemas.openxmlformats.org/officeDocument/2006/relationships/header" Target="header23.xml" /><Relationship Id="rId31" Type="http://schemas.openxmlformats.org/officeDocument/2006/relationships/header" Target="header24.xml" /><Relationship Id="rId32" Type="http://schemas.openxmlformats.org/officeDocument/2006/relationships/header" Target="header25.xml" /><Relationship Id="rId33" Type="http://schemas.openxmlformats.org/officeDocument/2006/relationships/image" Target="media/image5.png" /><Relationship Id="rId34" Type="http://schemas.openxmlformats.org/officeDocument/2006/relationships/header" Target="header26.xml" /><Relationship Id="rId35" Type="http://schemas.openxmlformats.org/officeDocument/2006/relationships/header" Target="header27.xml" /><Relationship Id="rId36" Type="http://schemas.openxmlformats.org/officeDocument/2006/relationships/image" Target="media/image6.png" /><Relationship Id="rId37" Type="http://schemas.openxmlformats.org/officeDocument/2006/relationships/header" Target="header28.xml" /><Relationship Id="rId38" Type="http://schemas.openxmlformats.org/officeDocument/2006/relationships/header" Target="header29.xml" /><Relationship Id="rId39" Type="http://schemas.openxmlformats.org/officeDocument/2006/relationships/image" Target="media/image7.png" /><Relationship Id="rId4" Type="http://schemas.openxmlformats.org/officeDocument/2006/relationships/image" Target="media/image1.png" /><Relationship Id="rId40" Type="http://schemas.openxmlformats.org/officeDocument/2006/relationships/header" Target="header30.xml" /><Relationship Id="rId41" Type="http://schemas.openxmlformats.org/officeDocument/2006/relationships/header" Target="header31.xml" /><Relationship Id="rId42" Type="http://schemas.openxmlformats.org/officeDocument/2006/relationships/image" Target="media/image8.png" /><Relationship Id="rId43" Type="http://schemas.openxmlformats.org/officeDocument/2006/relationships/image" Target="media/image9.png" /><Relationship Id="rId44" Type="http://schemas.openxmlformats.org/officeDocument/2006/relationships/image" Target="media/image10.png" /><Relationship Id="rId45" Type="http://schemas.openxmlformats.org/officeDocument/2006/relationships/image" Target="media/image11.png" /><Relationship Id="rId46" Type="http://schemas.openxmlformats.org/officeDocument/2006/relationships/image" Target="media/image12.png" /><Relationship Id="rId47" Type="http://schemas.openxmlformats.org/officeDocument/2006/relationships/image" Target="media/image13.png" /><Relationship Id="rId48" Type="http://schemas.openxmlformats.org/officeDocument/2006/relationships/hyperlink" Target="https://d.book118.com/327110140032006034" TargetMode="External" /><Relationship Id="rId49" Type="http://schemas.openxmlformats.org/officeDocument/2006/relationships/header" Target="header32.xml" /><Relationship Id="rId5" Type="http://schemas.openxmlformats.org/officeDocument/2006/relationships/image" Target="media/image2.png" /><Relationship Id="rId50" Type="http://schemas.openxmlformats.org/officeDocument/2006/relationships/header" Target="header33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cp:revision>0</cp:revision>
  <dcterms:created xsi:type="dcterms:W3CDTF">2024-01-24T08:56:53Z</dcterms:created>
  <dcterms:modified xsi:type="dcterms:W3CDTF">2024-01-24T08:56:53Z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Acrobat PDFMaker 20 Word 版</vt:lpwstr>
  </property>
  <property fmtid="{D5CDD505-2E9C-101B-9397-08002B2CF9AE}" pid="4" name="LastSaved">
    <vt:filetime>2024-01-24T00:00:00Z</vt:filetime>
  </property>
</Properties>
</file>