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防静电超净技术产品项目规划设计方案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2" w:history="1">
        <w:r>
          <w:rPr>
            <w:rFonts w:ascii="仿宋" w:eastAsia="仿宋" w:hAnsi="仿宋" w:cs="仿宋" w:hint="eastAsia"/>
            <w:lang w:eastAsia="zh-CN"/>
          </w:rPr>
          <w:t>序言</w:t>
        </w:r>
        <w:r>
          <w:tab/>
        </w:r>
        <w:r>
          <w:fldChar w:fldCharType="begin"/>
        </w:r>
        <w:r>
          <w:instrText xml:space="preserve"> PAGEREF _Toc14702 \h </w:instrText>
        </w:r>
        <w:r>
          <w:fldChar w:fldCharType="separate"/>
        </w:r>
        <w:r>
          <w:t>3</w:t>
        </w:r>
        <w:r>
          <w:fldChar w:fldCharType="end"/>
        </w:r>
      </w:hyperlink>
    </w:p>
    <w:p>
      <w:pPr>
        <w:pStyle w:val="TOC1"/>
        <w:tabs>
          <w:tab w:val="right" w:leader="dot" w:pos="8306"/>
        </w:tabs>
      </w:pPr>
      <w:hyperlink w:anchor="_Toc16626" w:history="1">
        <w:r>
          <w:rPr>
            <w:rFonts w:ascii="仿宋" w:eastAsia="仿宋" w:hAnsi="仿宋" w:cs="仿宋" w:hint="eastAsia"/>
            <w:lang w:eastAsia="zh-CN"/>
          </w:rPr>
          <w:t>一、防静电超净技术产品项目可持续发展</w:t>
        </w:r>
        <w:r>
          <w:tab/>
        </w:r>
        <w:r>
          <w:fldChar w:fldCharType="begin"/>
        </w:r>
        <w:r>
          <w:instrText xml:space="preserve"> PAGEREF _Toc16626 \h </w:instrText>
        </w:r>
        <w:r>
          <w:fldChar w:fldCharType="separate"/>
        </w:r>
        <w:r>
          <w:t>3</w:t>
        </w:r>
        <w:r>
          <w:fldChar w:fldCharType="end"/>
        </w:r>
      </w:hyperlink>
    </w:p>
    <w:p>
      <w:pPr>
        <w:pStyle w:val="TOC2"/>
        <w:tabs>
          <w:tab w:val="right" w:leader="dot" w:pos="8306"/>
        </w:tabs>
      </w:pPr>
      <w:hyperlink w:anchor="_Toc5054" w:history="1">
        <w:r>
          <w:rPr>
            <w:rFonts w:ascii="仿宋" w:eastAsia="仿宋" w:hAnsi="仿宋" w:cs="仿宋" w:hint="eastAsia"/>
            <w:lang w:eastAsia="zh-CN"/>
          </w:rPr>
          <w:t>(一)、可持续战略与实践</w:t>
        </w:r>
        <w:r>
          <w:tab/>
        </w:r>
        <w:r>
          <w:fldChar w:fldCharType="begin"/>
        </w:r>
        <w:r>
          <w:instrText xml:space="preserve"> PAGEREF _Toc5054 \h </w:instrText>
        </w:r>
        <w:r>
          <w:fldChar w:fldCharType="separate"/>
        </w:r>
        <w:r>
          <w:t>3</w:t>
        </w:r>
        <w:r>
          <w:fldChar w:fldCharType="end"/>
        </w:r>
      </w:hyperlink>
    </w:p>
    <w:p>
      <w:pPr>
        <w:pStyle w:val="TOC2"/>
        <w:tabs>
          <w:tab w:val="right" w:leader="dot" w:pos="8306"/>
        </w:tabs>
      </w:pPr>
      <w:hyperlink w:anchor="_Toc19582" w:history="1">
        <w:r>
          <w:rPr>
            <w:rFonts w:ascii="仿宋" w:eastAsia="仿宋" w:hAnsi="仿宋" w:cs="仿宋" w:hint="eastAsia"/>
            <w:lang w:eastAsia="zh-CN"/>
          </w:rPr>
          <w:t>(二)、环保与社会责任</w:t>
        </w:r>
        <w:r>
          <w:tab/>
        </w:r>
        <w:r>
          <w:fldChar w:fldCharType="begin"/>
        </w:r>
        <w:r>
          <w:instrText xml:space="preserve"> PAGEREF _Toc19582 \h </w:instrText>
        </w:r>
        <w:r>
          <w:fldChar w:fldCharType="separate"/>
        </w:r>
        <w:r>
          <w:t>4</w:t>
        </w:r>
        <w:r>
          <w:fldChar w:fldCharType="end"/>
        </w:r>
      </w:hyperlink>
    </w:p>
    <w:p>
      <w:pPr>
        <w:pStyle w:val="TOC1"/>
        <w:tabs>
          <w:tab w:val="right" w:leader="dot" w:pos="8306"/>
        </w:tabs>
      </w:pPr>
      <w:hyperlink w:anchor="_Toc1860" w:history="1">
        <w:r>
          <w:rPr>
            <w:rFonts w:ascii="仿宋" w:eastAsia="仿宋" w:hAnsi="仿宋" w:cs="仿宋" w:hint="eastAsia"/>
            <w:lang w:eastAsia="zh-CN"/>
          </w:rPr>
          <w:t>二、防静电超净技术产品项目选址可行性分析</w:t>
        </w:r>
        <w:r>
          <w:tab/>
        </w:r>
        <w:r>
          <w:fldChar w:fldCharType="begin"/>
        </w:r>
        <w:r>
          <w:instrText xml:space="preserve"> PAGEREF _Toc1860 \h </w:instrText>
        </w:r>
        <w:r>
          <w:fldChar w:fldCharType="separate"/>
        </w:r>
        <w:r>
          <w:t>5</w:t>
        </w:r>
        <w:r>
          <w:fldChar w:fldCharType="end"/>
        </w:r>
      </w:hyperlink>
    </w:p>
    <w:p>
      <w:pPr>
        <w:pStyle w:val="TOC2"/>
        <w:tabs>
          <w:tab w:val="right" w:leader="dot" w:pos="8306"/>
        </w:tabs>
      </w:pPr>
      <w:hyperlink w:anchor="_Toc32399" w:history="1">
        <w:r>
          <w:rPr>
            <w:rFonts w:ascii="仿宋" w:eastAsia="仿宋" w:hAnsi="仿宋" w:cs="仿宋" w:hint="eastAsia"/>
            <w:lang w:eastAsia="zh-CN"/>
          </w:rPr>
          <w:t>(一)、防静电超净技术产品项目选址</w:t>
        </w:r>
        <w:r>
          <w:tab/>
        </w:r>
        <w:r>
          <w:fldChar w:fldCharType="begin"/>
        </w:r>
        <w:r>
          <w:instrText xml:space="preserve"> PAGEREF _Toc32399 \h </w:instrText>
        </w:r>
        <w:r>
          <w:fldChar w:fldCharType="separate"/>
        </w:r>
        <w:r>
          <w:t>5</w:t>
        </w:r>
        <w:r>
          <w:fldChar w:fldCharType="end"/>
        </w:r>
      </w:hyperlink>
    </w:p>
    <w:p>
      <w:pPr>
        <w:pStyle w:val="TOC2"/>
        <w:tabs>
          <w:tab w:val="right" w:leader="dot" w:pos="8306"/>
        </w:tabs>
      </w:pPr>
      <w:hyperlink w:anchor="_Toc24004" w:history="1">
        <w:r>
          <w:rPr>
            <w:rFonts w:ascii="仿宋" w:eastAsia="仿宋" w:hAnsi="仿宋" w:cs="仿宋" w:hint="eastAsia"/>
            <w:lang w:eastAsia="zh-CN"/>
          </w:rPr>
          <w:t>(二)、用地控制指标</w:t>
        </w:r>
        <w:r>
          <w:tab/>
        </w:r>
        <w:r>
          <w:fldChar w:fldCharType="begin"/>
        </w:r>
        <w:r>
          <w:instrText xml:space="preserve"> PAGEREF _Toc24004 \h </w:instrText>
        </w:r>
        <w:r>
          <w:fldChar w:fldCharType="separate"/>
        </w:r>
        <w:r>
          <w:t>5</w:t>
        </w:r>
        <w:r>
          <w:fldChar w:fldCharType="end"/>
        </w:r>
      </w:hyperlink>
    </w:p>
    <w:p>
      <w:pPr>
        <w:pStyle w:val="TOC2"/>
        <w:tabs>
          <w:tab w:val="right" w:leader="dot" w:pos="8306"/>
        </w:tabs>
      </w:pPr>
      <w:hyperlink w:anchor="_Toc32022" w:history="1">
        <w:r>
          <w:rPr>
            <w:rFonts w:ascii="仿宋" w:eastAsia="仿宋" w:hAnsi="仿宋" w:cs="仿宋" w:hint="eastAsia"/>
            <w:lang w:eastAsia="zh-CN"/>
          </w:rPr>
          <w:t>(三)、节约用地措施</w:t>
        </w:r>
        <w:r>
          <w:tab/>
        </w:r>
        <w:r>
          <w:fldChar w:fldCharType="begin"/>
        </w:r>
        <w:r>
          <w:instrText xml:space="preserve"> PAGEREF _Toc32022 \h </w:instrText>
        </w:r>
        <w:r>
          <w:fldChar w:fldCharType="separate"/>
        </w:r>
        <w:r>
          <w:t>7</w:t>
        </w:r>
        <w:r>
          <w:fldChar w:fldCharType="end"/>
        </w:r>
      </w:hyperlink>
    </w:p>
    <w:p>
      <w:pPr>
        <w:pStyle w:val="TOC2"/>
        <w:tabs>
          <w:tab w:val="right" w:leader="dot" w:pos="8306"/>
        </w:tabs>
      </w:pPr>
      <w:hyperlink w:anchor="_Toc961" w:history="1">
        <w:r>
          <w:rPr>
            <w:rFonts w:ascii="仿宋" w:eastAsia="仿宋" w:hAnsi="仿宋" w:cs="仿宋" w:hint="eastAsia"/>
            <w:lang w:eastAsia="zh-CN"/>
          </w:rPr>
          <w:t>(四)、总图布置方案</w:t>
        </w:r>
        <w:r>
          <w:tab/>
        </w:r>
        <w:r>
          <w:fldChar w:fldCharType="begin"/>
        </w:r>
        <w:r>
          <w:instrText xml:space="preserve"> PAGEREF _Toc961 \h </w:instrText>
        </w:r>
        <w:r>
          <w:fldChar w:fldCharType="separate"/>
        </w:r>
        <w:r>
          <w:t>8</w:t>
        </w:r>
        <w:r>
          <w:fldChar w:fldCharType="end"/>
        </w:r>
      </w:hyperlink>
    </w:p>
    <w:p>
      <w:pPr>
        <w:pStyle w:val="TOC2"/>
        <w:tabs>
          <w:tab w:val="right" w:leader="dot" w:pos="8306"/>
        </w:tabs>
      </w:pPr>
      <w:hyperlink w:anchor="_Toc12176" w:history="1">
        <w:r>
          <w:rPr>
            <w:rFonts w:ascii="仿宋" w:eastAsia="仿宋" w:hAnsi="仿宋" w:cs="仿宋" w:hint="eastAsia"/>
            <w:lang w:eastAsia="zh-CN"/>
          </w:rPr>
          <w:t>(五)、选址综合评价</w:t>
        </w:r>
        <w:r>
          <w:tab/>
        </w:r>
        <w:r>
          <w:fldChar w:fldCharType="begin"/>
        </w:r>
        <w:r>
          <w:instrText xml:space="preserve"> PAGEREF _Toc12176 \h </w:instrText>
        </w:r>
        <w:r>
          <w:fldChar w:fldCharType="separate"/>
        </w:r>
        <w:r>
          <w:t>9</w:t>
        </w:r>
        <w:r>
          <w:fldChar w:fldCharType="end"/>
        </w:r>
      </w:hyperlink>
    </w:p>
    <w:p>
      <w:pPr>
        <w:pStyle w:val="TOC1"/>
        <w:tabs>
          <w:tab w:val="right" w:leader="dot" w:pos="8306"/>
        </w:tabs>
      </w:pPr>
      <w:hyperlink w:anchor="_Toc25504" w:history="1">
        <w:r>
          <w:rPr>
            <w:rFonts w:ascii="仿宋" w:eastAsia="仿宋" w:hAnsi="仿宋" w:cs="仿宋" w:hint="eastAsia"/>
            <w:lang w:eastAsia="zh-CN"/>
          </w:rPr>
          <w:t>三、防静电超净技术产品项目建设背景及必要性分析</w:t>
        </w:r>
        <w:r>
          <w:tab/>
        </w:r>
        <w:r>
          <w:fldChar w:fldCharType="begin"/>
        </w:r>
        <w:r>
          <w:instrText xml:space="preserve"> PAGEREF _Toc25504 \h </w:instrText>
        </w:r>
        <w:r>
          <w:fldChar w:fldCharType="separate"/>
        </w:r>
        <w:r>
          <w:t>10</w:t>
        </w:r>
        <w:r>
          <w:fldChar w:fldCharType="end"/>
        </w:r>
      </w:hyperlink>
    </w:p>
    <w:p>
      <w:pPr>
        <w:pStyle w:val="TOC2"/>
        <w:tabs>
          <w:tab w:val="right" w:leader="dot" w:pos="8306"/>
        </w:tabs>
      </w:pPr>
      <w:hyperlink w:anchor="_Toc31783" w:history="1">
        <w:r>
          <w:rPr>
            <w:rFonts w:ascii="仿宋" w:eastAsia="仿宋" w:hAnsi="仿宋" w:cs="仿宋" w:hint="eastAsia"/>
            <w:lang w:eastAsia="zh-CN"/>
          </w:rPr>
          <w:t>(一)、防静电超净技术产品项目背景分析</w:t>
        </w:r>
        <w:r>
          <w:tab/>
        </w:r>
        <w:r>
          <w:fldChar w:fldCharType="begin"/>
        </w:r>
        <w:r>
          <w:instrText xml:space="preserve"> PAGEREF _Toc31783 \h </w:instrText>
        </w:r>
        <w:r>
          <w:fldChar w:fldCharType="separate"/>
        </w:r>
        <w:r>
          <w:t>10</w:t>
        </w:r>
        <w:r>
          <w:fldChar w:fldCharType="end"/>
        </w:r>
      </w:hyperlink>
    </w:p>
    <w:p>
      <w:pPr>
        <w:pStyle w:val="TOC2"/>
        <w:tabs>
          <w:tab w:val="right" w:leader="dot" w:pos="8306"/>
        </w:tabs>
      </w:pPr>
      <w:hyperlink w:anchor="_Toc17113" w:history="1">
        <w:r>
          <w:rPr>
            <w:rFonts w:ascii="仿宋" w:eastAsia="仿宋" w:hAnsi="仿宋" w:cs="仿宋" w:hint="eastAsia"/>
            <w:lang w:eastAsia="zh-CN"/>
          </w:rPr>
          <w:t>(二)、防静电超净技术产品项目建设必要性分析</w:t>
        </w:r>
        <w:r>
          <w:tab/>
        </w:r>
        <w:r>
          <w:fldChar w:fldCharType="begin"/>
        </w:r>
        <w:r>
          <w:instrText xml:space="preserve"> PAGEREF _Toc17113 \h </w:instrText>
        </w:r>
        <w:r>
          <w:fldChar w:fldCharType="separate"/>
        </w:r>
        <w:r>
          <w:t>12</w:t>
        </w:r>
        <w:r>
          <w:fldChar w:fldCharType="end"/>
        </w:r>
      </w:hyperlink>
    </w:p>
    <w:p>
      <w:pPr>
        <w:pStyle w:val="TOC1"/>
        <w:tabs>
          <w:tab w:val="right" w:leader="dot" w:pos="8306"/>
        </w:tabs>
      </w:pPr>
      <w:hyperlink w:anchor="_Toc29348" w:history="1">
        <w:r>
          <w:rPr>
            <w:rFonts w:ascii="仿宋" w:eastAsia="仿宋" w:hAnsi="仿宋" w:cs="仿宋" w:hint="eastAsia"/>
            <w:lang w:eastAsia="zh-CN"/>
          </w:rPr>
          <w:t>四、市场分析、调研</w:t>
        </w:r>
        <w:r>
          <w:tab/>
        </w:r>
        <w:r>
          <w:fldChar w:fldCharType="begin"/>
        </w:r>
        <w:r>
          <w:instrText xml:space="preserve"> PAGEREF _Toc29348 \h </w:instrText>
        </w:r>
        <w:r>
          <w:fldChar w:fldCharType="separate"/>
        </w:r>
        <w:r>
          <w:t>14</w:t>
        </w:r>
        <w:r>
          <w:fldChar w:fldCharType="end"/>
        </w:r>
      </w:hyperlink>
    </w:p>
    <w:p>
      <w:pPr>
        <w:pStyle w:val="TOC2"/>
        <w:tabs>
          <w:tab w:val="right" w:leader="dot" w:pos="8306"/>
        </w:tabs>
      </w:pPr>
      <w:hyperlink w:anchor="_Toc31124" w:history="1">
        <w:r>
          <w:rPr>
            <w:rFonts w:ascii="仿宋" w:eastAsia="仿宋" w:hAnsi="仿宋" w:cs="仿宋" w:hint="eastAsia"/>
            <w:lang w:eastAsia="zh-CN"/>
          </w:rPr>
          <w:t>(一)、防静电超净技术产品行业分析</w:t>
        </w:r>
        <w:r>
          <w:tab/>
        </w:r>
        <w:r>
          <w:fldChar w:fldCharType="begin"/>
        </w:r>
        <w:r>
          <w:instrText xml:space="preserve"> PAGEREF _Toc31124 \h </w:instrText>
        </w:r>
        <w:r>
          <w:fldChar w:fldCharType="separate"/>
        </w:r>
        <w:r>
          <w:t>14</w:t>
        </w:r>
        <w:r>
          <w:fldChar w:fldCharType="end"/>
        </w:r>
      </w:hyperlink>
    </w:p>
    <w:p>
      <w:pPr>
        <w:pStyle w:val="TOC2"/>
        <w:tabs>
          <w:tab w:val="right" w:leader="dot" w:pos="8306"/>
        </w:tabs>
      </w:pPr>
      <w:hyperlink w:anchor="_Toc31745" w:history="1">
        <w:r>
          <w:rPr>
            <w:rFonts w:ascii="仿宋" w:eastAsia="仿宋" w:hAnsi="仿宋" w:cs="仿宋" w:hint="eastAsia"/>
            <w:lang w:eastAsia="zh-CN"/>
          </w:rPr>
          <w:t>(二)、防静电超净技术产品市场分析预测</w:t>
        </w:r>
        <w:r>
          <w:tab/>
        </w:r>
        <w:r>
          <w:fldChar w:fldCharType="begin"/>
        </w:r>
        <w:r>
          <w:instrText xml:space="preserve"> PAGEREF _Toc31745 \h </w:instrText>
        </w:r>
        <w:r>
          <w:fldChar w:fldCharType="separate"/>
        </w:r>
        <w:r>
          <w:t>14</w:t>
        </w:r>
        <w:r>
          <w:fldChar w:fldCharType="end"/>
        </w:r>
      </w:hyperlink>
    </w:p>
    <w:p>
      <w:pPr>
        <w:pStyle w:val="TOC1"/>
        <w:tabs>
          <w:tab w:val="right" w:leader="dot" w:pos="8306"/>
        </w:tabs>
      </w:pPr>
      <w:hyperlink w:anchor="_Toc24688" w:history="1">
        <w:r>
          <w:rPr>
            <w:rFonts w:ascii="仿宋" w:eastAsia="仿宋" w:hAnsi="仿宋" w:cs="仿宋" w:hint="eastAsia"/>
            <w:lang w:eastAsia="zh-CN"/>
          </w:rPr>
          <w:t>五、防静电超净技术产品项目危机管理</w:t>
        </w:r>
        <w:r>
          <w:tab/>
        </w:r>
        <w:r>
          <w:fldChar w:fldCharType="begin"/>
        </w:r>
        <w:r>
          <w:instrText xml:space="preserve"> PAGEREF _Toc24688 \h </w:instrText>
        </w:r>
        <w:r>
          <w:fldChar w:fldCharType="separate"/>
        </w:r>
        <w:r>
          <w:t>15</w:t>
        </w:r>
        <w:r>
          <w:fldChar w:fldCharType="end"/>
        </w:r>
      </w:hyperlink>
    </w:p>
    <w:p>
      <w:pPr>
        <w:pStyle w:val="TOC2"/>
        <w:tabs>
          <w:tab w:val="right" w:leader="dot" w:pos="8306"/>
        </w:tabs>
      </w:pPr>
      <w:hyperlink w:anchor="_Toc7085" w:history="1">
        <w:r>
          <w:rPr>
            <w:rFonts w:ascii="仿宋" w:eastAsia="仿宋" w:hAnsi="仿宋" w:cs="仿宋" w:hint="eastAsia"/>
            <w:lang w:eastAsia="zh-CN"/>
          </w:rPr>
          <w:t>(一)、危机预警与识别</w:t>
        </w:r>
        <w:r>
          <w:tab/>
        </w:r>
        <w:r>
          <w:fldChar w:fldCharType="begin"/>
        </w:r>
        <w:r>
          <w:instrText xml:space="preserve"> PAGEREF _Toc7085 \h </w:instrText>
        </w:r>
        <w:r>
          <w:fldChar w:fldCharType="separate"/>
        </w:r>
        <w:r>
          <w:t>15</w:t>
        </w:r>
        <w:r>
          <w:fldChar w:fldCharType="end"/>
        </w:r>
      </w:hyperlink>
    </w:p>
    <w:p>
      <w:pPr>
        <w:pStyle w:val="TOC2"/>
        <w:tabs>
          <w:tab w:val="right" w:leader="dot" w:pos="8306"/>
        </w:tabs>
      </w:pPr>
      <w:hyperlink w:anchor="_Toc27976" w:history="1">
        <w:r>
          <w:rPr>
            <w:rFonts w:ascii="仿宋" w:eastAsia="仿宋" w:hAnsi="仿宋" w:cs="仿宋" w:hint="eastAsia"/>
            <w:lang w:eastAsia="zh-CN"/>
          </w:rPr>
          <w:t>(二)、危机应对与恢复</w:t>
        </w:r>
        <w:r>
          <w:tab/>
        </w:r>
        <w:r>
          <w:fldChar w:fldCharType="begin"/>
        </w:r>
        <w:r>
          <w:instrText xml:space="preserve"> PAGEREF _Toc27976 \h </w:instrText>
        </w:r>
        <w:r>
          <w:fldChar w:fldCharType="separate"/>
        </w:r>
        <w:r>
          <w:t>16</w:t>
        </w:r>
        <w:r>
          <w:fldChar w:fldCharType="end"/>
        </w:r>
      </w:hyperlink>
    </w:p>
    <w:p>
      <w:pPr>
        <w:pStyle w:val="TOC1"/>
        <w:tabs>
          <w:tab w:val="right" w:leader="dot" w:pos="8306"/>
        </w:tabs>
      </w:pPr>
      <w:hyperlink w:anchor="_Toc30646" w:history="1">
        <w:r>
          <w:rPr>
            <w:rFonts w:ascii="仿宋" w:eastAsia="仿宋" w:hAnsi="仿宋" w:cs="仿宋" w:hint="eastAsia"/>
            <w:lang w:eastAsia="zh-CN"/>
          </w:rPr>
          <w:t>六、工艺说明</w:t>
        </w:r>
        <w:r>
          <w:tab/>
        </w:r>
        <w:r>
          <w:fldChar w:fldCharType="begin"/>
        </w:r>
        <w:r>
          <w:instrText xml:space="preserve"> PAGEREF _Toc30646 \h </w:instrText>
        </w:r>
        <w:r>
          <w:fldChar w:fldCharType="separate"/>
        </w:r>
        <w:r>
          <w:t>18</w:t>
        </w:r>
        <w:r>
          <w:fldChar w:fldCharType="end"/>
        </w:r>
      </w:hyperlink>
    </w:p>
    <w:p>
      <w:pPr>
        <w:pStyle w:val="TOC2"/>
        <w:tabs>
          <w:tab w:val="right" w:leader="dot" w:pos="8306"/>
        </w:tabs>
      </w:pPr>
      <w:hyperlink w:anchor="_Toc32544" w:history="1">
        <w:r>
          <w:rPr>
            <w:rFonts w:ascii="仿宋" w:eastAsia="仿宋" w:hAnsi="仿宋" w:cs="仿宋" w:hint="eastAsia"/>
            <w:lang w:eastAsia="zh-CN"/>
          </w:rPr>
          <w:t>(一)、技术管理特点</w:t>
        </w:r>
        <w:r>
          <w:tab/>
        </w:r>
        <w:r>
          <w:fldChar w:fldCharType="begin"/>
        </w:r>
        <w:r>
          <w:instrText xml:space="preserve"> PAGEREF _Toc32544 \h </w:instrText>
        </w:r>
        <w:r>
          <w:fldChar w:fldCharType="separate"/>
        </w:r>
        <w:r>
          <w:t>18</w:t>
        </w:r>
        <w:r>
          <w:fldChar w:fldCharType="end"/>
        </w:r>
      </w:hyperlink>
    </w:p>
    <w:p>
      <w:pPr>
        <w:pStyle w:val="TOC2"/>
        <w:tabs>
          <w:tab w:val="right" w:leader="dot" w:pos="8306"/>
        </w:tabs>
      </w:pPr>
      <w:hyperlink w:anchor="_Toc18292" w:history="1">
        <w:r>
          <w:rPr>
            <w:rFonts w:ascii="仿宋" w:eastAsia="仿宋" w:hAnsi="仿宋" w:cs="仿宋" w:hint="eastAsia"/>
            <w:lang w:eastAsia="zh-CN"/>
          </w:rPr>
          <w:t>(二)、防静电超净技术产品项目工艺技术设计方案</w:t>
        </w:r>
        <w:r>
          <w:tab/>
        </w:r>
        <w:r>
          <w:fldChar w:fldCharType="begin"/>
        </w:r>
        <w:r>
          <w:instrText xml:space="preserve"> PAGEREF _Toc18292 \h </w:instrText>
        </w:r>
        <w:r>
          <w:fldChar w:fldCharType="separate"/>
        </w:r>
        <w:r>
          <w:t>19</w:t>
        </w:r>
        <w:r>
          <w:fldChar w:fldCharType="end"/>
        </w:r>
      </w:hyperlink>
    </w:p>
    <w:p>
      <w:pPr>
        <w:pStyle w:val="TOC2"/>
        <w:tabs>
          <w:tab w:val="right" w:leader="dot" w:pos="8306"/>
        </w:tabs>
      </w:pPr>
      <w:hyperlink w:anchor="_Toc6835" w:history="1">
        <w:r>
          <w:rPr>
            <w:rFonts w:ascii="仿宋" w:eastAsia="仿宋" w:hAnsi="仿宋" w:cs="仿宋" w:hint="eastAsia"/>
            <w:lang w:eastAsia="zh-CN"/>
          </w:rPr>
          <w:t>(三)、设备选型方案</w:t>
        </w:r>
        <w:r>
          <w:tab/>
        </w:r>
        <w:r>
          <w:fldChar w:fldCharType="begin"/>
        </w:r>
        <w:r>
          <w:instrText xml:space="preserve"> PAGEREF _Toc6835 \h </w:instrText>
        </w:r>
        <w:r>
          <w:fldChar w:fldCharType="separate"/>
        </w:r>
        <w:r>
          <w:t>20</w:t>
        </w:r>
        <w:r>
          <w:fldChar w:fldCharType="end"/>
        </w:r>
      </w:hyperlink>
    </w:p>
    <w:p>
      <w:pPr>
        <w:pStyle w:val="TOC1"/>
        <w:tabs>
          <w:tab w:val="right" w:leader="dot" w:pos="8306"/>
        </w:tabs>
      </w:pPr>
      <w:hyperlink w:anchor="_Toc1137" w:history="1">
        <w:r>
          <w:rPr>
            <w:rFonts w:ascii="仿宋" w:eastAsia="仿宋" w:hAnsi="仿宋" w:cs="仿宋" w:hint="eastAsia"/>
            <w:lang w:eastAsia="zh-CN"/>
          </w:rPr>
          <w:t>七、防静电超净技术产品项目投资规划</w:t>
        </w:r>
        <w:r>
          <w:tab/>
        </w:r>
        <w:r>
          <w:fldChar w:fldCharType="begin"/>
        </w:r>
        <w:r>
          <w:instrText xml:space="preserve"> PAGEREF _Toc1137 \h </w:instrText>
        </w:r>
        <w:r>
          <w:fldChar w:fldCharType="separate"/>
        </w:r>
        <w:r>
          <w:t>22</w:t>
        </w:r>
        <w:r>
          <w:fldChar w:fldCharType="end"/>
        </w:r>
      </w:hyperlink>
    </w:p>
    <w:p>
      <w:pPr>
        <w:pStyle w:val="TOC2"/>
        <w:tabs>
          <w:tab w:val="right" w:leader="dot" w:pos="8306"/>
        </w:tabs>
      </w:pPr>
      <w:hyperlink w:anchor="_Toc9270" w:history="1">
        <w:r>
          <w:rPr>
            <w:rFonts w:ascii="仿宋" w:eastAsia="仿宋" w:hAnsi="仿宋" w:cs="仿宋" w:hint="eastAsia"/>
            <w:lang w:eastAsia="zh-CN"/>
          </w:rPr>
          <w:t>(一)、防静电超净技术产品项目总投资估算</w:t>
        </w:r>
        <w:r>
          <w:tab/>
        </w:r>
        <w:r>
          <w:fldChar w:fldCharType="begin"/>
        </w:r>
        <w:r>
          <w:instrText xml:space="preserve"> PAGEREF _Toc9270 \h </w:instrText>
        </w:r>
        <w:r>
          <w:fldChar w:fldCharType="separate"/>
        </w:r>
        <w:r>
          <w:t>22</w:t>
        </w:r>
        <w:r>
          <w:fldChar w:fldCharType="end"/>
        </w:r>
      </w:hyperlink>
    </w:p>
    <w:p>
      <w:pPr>
        <w:pStyle w:val="TOC2"/>
        <w:tabs>
          <w:tab w:val="right" w:leader="dot" w:pos="8306"/>
        </w:tabs>
      </w:pPr>
      <w:hyperlink w:anchor="_Toc22427" w:history="1">
        <w:r>
          <w:rPr>
            <w:rFonts w:ascii="仿宋" w:eastAsia="仿宋" w:hAnsi="仿宋" w:cs="仿宋" w:hint="eastAsia"/>
            <w:lang w:eastAsia="zh-CN"/>
          </w:rPr>
          <w:t>(二)、资金筹措</w:t>
        </w:r>
        <w:r>
          <w:tab/>
        </w:r>
        <w:r>
          <w:fldChar w:fldCharType="begin"/>
        </w:r>
        <w:r>
          <w:instrText xml:space="preserve"> PAGEREF _Toc22427 \h </w:instrText>
        </w:r>
        <w:r>
          <w:fldChar w:fldCharType="separate"/>
        </w:r>
        <w:r>
          <w:t>23</w:t>
        </w:r>
        <w:r>
          <w:fldChar w:fldCharType="end"/>
        </w:r>
      </w:hyperlink>
    </w:p>
    <w:p>
      <w:pPr>
        <w:pStyle w:val="TOC1"/>
        <w:tabs>
          <w:tab w:val="right" w:leader="dot" w:pos="8306"/>
        </w:tabs>
      </w:pPr>
      <w:hyperlink w:anchor="_Toc18494" w:history="1">
        <w:r>
          <w:rPr>
            <w:rFonts w:ascii="仿宋" w:eastAsia="仿宋" w:hAnsi="仿宋" w:cs="仿宋" w:hint="eastAsia"/>
            <w:lang w:eastAsia="zh-CN"/>
          </w:rPr>
          <w:t>八、生产安全保护</w:t>
        </w:r>
        <w:r>
          <w:tab/>
        </w:r>
        <w:r>
          <w:fldChar w:fldCharType="begin"/>
        </w:r>
        <w:r>
          <w:instrText xml:space="preserve"> PAGEREF _Toc18494 \h </w:instrText>
        </w:r>
        <w:r>
          <w:fldChar w:fldCharType="separate"/>
        </w:r>
        <w:r>
          <w:t>24</w:t>
        </w:r>
        <w:r>
          <w:fldChar w:fldCharType="end"/>
        </w:r>
      </w:hyperlink>
    </w:p>
    <w:p>
      <w:pPr>
        <w:pStyle w:val="TOC2"/>
        <w:tabs>
          <w:tab w:val="right" w:leader="dot" w:pos="8306"/>
        </w:tabs>
      </w:pPr>
      <w:hyperlink w:anchor="_Toc19721" w:history="1">
        <w:r>
          <w:rPr>
            <w:rFonts w:ascii="仿宋" w:eastAsia="仿宋" w:hAnsi="仿宋" w:cs="仿宋" w:hint="eastAsia"/>
            <w:lang w:eastAsia="zh-CN"/>
          </w:rPr>
          <w:t>(一)、消防安全</w:t>
        </w:r>
        <w:r>
          <w:tab/>
        </w:r>
        <w:r>
          <w:fldChar w:fldCharType="begin"/>
        </w:r>
        <w:r>
          <w:instrText xml:space="preserve"> PAGEREF _Toc19721 \h </w:instrText>
        </w:r>
        <w:r>
          <w:fldChar w:fldCharType="separate"/>
        </w:r>
        <w:r>
          <w:t>24</w:t>
        </w:r>
        <w:r>
          <w:fldChar w:fldCharType="end"/>
        </w:r>
      </w:hyperlink>
    </w:p>
    <w:p>
      <w:pPr>
        <w:pStyle w:val="TOC2"/>
        <w:tabs>
          <w:tab w:val="right" w:leader="dot" w:pos="8306"/>
        </w:tabs>
      </w:pPr>
      <w:hyperlink w:anchor="_Toc5373" w:history="1">
        <w:r>
          <w:rPr>
            <w:rFonts w:ascii="仿宋" w:eastAsia="仿宋" w:hAnsi="仿宋" w:cs="仿宋" w:hint="eastAsia"/>
            <w:lang w:eastAsia="zh-CN"/>
          </w:rPr>
          <w:t>(二)、防火防爆总图布置措施</w:t>
        </w:r>
        <w:r>
          <w:tab/>
        </w:r>
        <w:r>
          <w:fldChar w:fldCharType="begin"/>
        </w:r>
        <w:r>
          <w:instrText xml:space="preserve"> PAGEREF _Toc5373 \h </w:instrText>
        </w:r>
        <w:r>
          <w:fldChar w:fldCharType="separate"/>
        </w:r>
        <w:r>
          <w:t>25</w:t>
        </w:r>
        <w:r>
          <w:fldChar w:fldCharType="end"/>
        </w:r>
      </w:hyperlink>
    </w:p>
    <w:p>
      <w:pPr>
        <w:pStyle w:val="TOC2"/>
        <w:tabs>
          <w:tab w:val="right" w:leader="dot" w:pos="8306"/>
        </w:tabs>
      </w:pPr>
      <w:hyperlink w:anchor="_Toc27348" w:history="1">
        <w:r>
          <w:rPr>
            <w:rFonts w:ascii="仿宋" w:eastAsia="仿宋" w:hAnsi="仿宋" w:cs="仿宋" w:hint="eastAsia"/>
            <w:lang w:eastAsia="zh-CN"/>
          </w:rPr>
          <w:t>(三)、自然灾害防范措施</w:t>
        </w:r>
        <w:r>
          <w:tab/>
        </w:r>
        <w:r>
          <w:fldChar w:fldCharType="begin"/>
        </w:r>
        <w:r>
          <w:instrText xml:space="preserve"> PAGEREF _Toc27348 \h </w:instrText>
        </w:r>
        <w:r>
          <w:fldChar w:fldCharType="separate"/>
        </w:r>
        <w:r>
          <w:t>26</w:t>
        </w:r>
        <w:r>
          <w:fldChar w:fldCharType="end"/>
        </w:r>
      </w:hyperlink>
    </w:p>
    <w:p>
      <w:pPr>
        <w:pStyle w:val="TOC2"/>
        <w:tabs>
          <w:tab w:val="right" w:leader="dot" w:pos="8306"/>
        </w:tabs>
      </w:pPr>
      <w:hyperlink w:anchor="_Toc3623" w:history="1">
        <w:r>
          <w:rPr>
            <w:rFonts w:ascii="仿宋" w:eastAsia="仿宋" w:hAnsi="仿宋" w:cs="仿宋" w:hint="eastAsia"/>
            <w:lang w:eastAsia="zh-CN"/>
          </w:rPr>
          <w:t>(四)、安全色及安全标志使用要求</w:t>
        </w:r>
        <w:r>
          <w:tab/>
        </w:r>
        <w:r>
          <w:fldChar w:fldCharType="begin"/>
        </w:r>
        <w:r>
          <w:instrText xml:space="preserve"> PAGEREF _Toc3623 \h </w:instrText>
        </w:r>
        <w:r>
          <w:fldChar w:fldCharType="separate"/>
        </w:r>
        <w:r>
          <w:t>27</w:t>
        </w:r>
        <w:r>
          <w:fldChar w:fldCharType="end"/>
        </w:r>
      </w:hyperlink>
    </w:p>
    <w:p>
      <w:pPr>
        <w:pStyle w:val="TOC2"/>
        <w:tabs>
          <w:tab w:val="right" w:leader="dot" w:pos="8306"/>
        </w:tabs>
      </w:pPr>
      <w:hyperlink w:anchor="_Toc27606" w:history="1">
        <w:r>
          <w:rPr>
            <w:rFonts w:ascii="仿宋" w:eastAsia="仿宋" w:hAnsi="仿宋" w:cs="仿宋" w:hint="eastAsia"/>
            <w:lang w:eastAsia="zh-CN"/>
          </w:rPr>
          <w:t>(五)、防尘防毒措施</w:t>
        </w:r>
        <w:r>
          <w:tab/>
        </w:r>
        <w:r>
          <w:fldChar w:fldCharType="begin"/>
        </w:r>
        <w:r>
          <w:instrText xml:space="preserve"> PAGEREF _Toc27606 \h </w:instrText>
        </w:r>
        <w:r>
          <w:fldChar w:fldCharType="separate"/>
        </w:r>
        <w:r>
          <w:t>28</w:t>
        </w:r>
        <w:r>
          <w:fldChar w:fldCharType="end"/>
        </w:r>
      </w:hyperlink>
    </w:p>
    <w:p>
      <w:pPr>
        <w:pStyle w:val="TOC2"/>
        <w:tabs>
          <w:tab w:val="right" w:leader="dot" w:pos="8306"/>
        </w:tabs>
      </w:pPr>
      <w:hyperlink w:anchor="_Toc6464" w:history="1">
        <w:r>
          <w:rPr>
            <w:rFonts w:ascii="仿宋" w:eastAsia="仿宋" w:hAnsi="仿宋" w:cs="仿宋" w:hint="eastAsia"/>
            <w:lang w:eastAsia="zh-CN"/>
          </w:rPr>
          <w:t>(六)、防静电、触电防护及防雷措施</w:t>
        </w:r>
        <w:r>
          <w:tab/>
        </w:r>
        <w:r>
          <w:fldChar w:fldCharType="begin"/>
        </w:r>
        <w:r>
          <w:instrText xml:space="preserve"> PAGEREF _Toc6464 \h </w:instrText>
        </w:r>
        <w:r>
          <w:fldChar w:fldCharType="separate"/>
        </w:r>
        <w:r>
          <w:t>29</w:t>
        </w:r>
        <w:r>
          <w:fldChar w:fldCharType="end"/>
        </w:r>
      </w:hyperlink>
    </w:p>
    <w:p>
      <w:pPr>
        <w:pStyle w:val="TOC2"/>
        <w:tabs>
          <w:tab w:val="right" w:leader="dot" w:pos="8306"/>
        </w:tabs>
      </w:pPr>
      <w:hyperlink w:anchor="_Toc9553" w:history="1">
        <w:r>
          <w:rPr>
            <w:rFonts w:ascii="仿宋" w:eastAsia="仿宋" w:hAnsi="仿宋" w:cs="仿宋" w:hint="eastAsia"/>
            <w:lang w:eastAsia="zh-CN"/>
          </w:rPr>
          <w:t>(七)、机械设备安全保障措施</w:t>
        </w:r>
        <w:r>
          <w:tab/>
        </w:r>
        <w:r>
          <w:fldChar w:fldCharType="begin"/>
        </w:r>
        <w:r>
          <w:instrText xml:space="preserve"> PAGEREF _Toc9553 \h </w:instrText>
        </w:r>
        <w:r>
          <w:fldChar w:fldCharType="separate"/>
        </w:r>
        <w:r>
          <w:t>31</w:t>
        </w:r>
        <w:r>
          <w:fldChar w:fldCharType="end"/>
        </w:r>
      </w:hyperlink>
    </w:p>
    <w:p>
      <w:pPr>
        <w:pStyle w:val="TOC1"/>
        <w:tabs>
          <w:tab w:val="right" w:leader="dot" w:pos="8306"/>
        </w:tabs>
      </w:pPr>
      <w:hyperlink w:anchor="_Toc19748" w:history="1">
        <w:r>
          <w:rPr>
            <w:rFonts w:ascii="仿宋" w:eastAsia="仿宋" w:hAnsi="仿宋" w:cs="仿宋" w:hint="eastAsia"/>
            <w:lang w:eastAsia="zh-CN"/>
          </w:rPr>
          <w:t>九、防静电超净技术产品项目经营效益</w:t>
        </w:r>
        <w:r>
          <w:tab/>
        </w:r>
        <w:r>
          <w:fldChar w:fldCharType="begin"/>
        </w:r>
        <w:r>
          <w:instrText xml:space="preserve"> PAGEREF _Toc19748 \h </w:instrText>
        </w:r>
        <w:r>
          <w:fldChar w:fldCharType="separate"/>
        </w:r>
        <w:r>
          <w:t>32</w:t>
        </w:r>
        <w:r>
          <w:fldChar w:fldCharType="end"/>
        </w:r>
      </w:hyperlink>
    </w:p>
    <w:p>
      <w:pPr>
        <w:pStyle w:val="TOC2"/>
        <w:tabs>
          <w:tab w:val="right" w:leader="dot" w:pos="8306"/>
        </w:tabs>
      </w:pPr>
      <w:hyperlink w:anchor="_Toc5828" w:history="1">
        <w:r>
          <w:rPr>
            <w:rFonts w:ascii="仿宋" w:eastAsia="仿宋" w:hAnsi="仿宋" w:cs="仿宋" w:hint="eastAsia"/>
            <w:lang w:eastAsia="zh-CN"/>
          </w:rPr>
          <w:t>(一)、经济评价财务测算</w:t>
        </w:r>
        <w:r>
          <w:tab/>
        </w:r>
        <w:r>
          <w:fldChar w:fldCharType="begin"/>
        </w:r>
        <w:r>
          <w:instrText xml:space="preserve"> PAGEREF _Toc5828 \h </w:instrText>
        </w:r>
        <w:r>
          <w:fldChar w:fldCharType="separate"/>
        </w:r>
        <w:r>
          <w:t>32</w:t>
        </w:r>
        <w:r>
          <w:fldChar w:fldCharType="end"/>
        </w:r>
      </w:hyperlink>
    </w:p>
    <w:p>
      <w:pPr>
        <w:pStyle w:val="TOC2"/>
        <w:tabs>
          <w:tab w:val="right" w:leader="dot" w:pos="8306"/>
        </w:tabs>
      </w:pPr>
      <w:hyperlink w:anchor="_Toc18186" w:history="1">
        <w:r>
          <w:rPr>
            <w:rFonts w:ascii="仿宋" w:eastAsia="仿宋" w:hAnsi="仿宋" w:cs="仿宋" w:hint="eastAsia"/>
            <w:lang w:eastAsia="zh-CN"/>
          </w:rPr>
          <w:t>(二)、防静电超净技术产品项目盈利能力分析</w:t>
        </w:r>
        <w:r>
          <w:tab/>
        </w:r>
        <w:r>
          <w:fldChar w:fldCharType="begin"/>
        </w:r>
        <w:r>
          <w:instrText xml:space="preserve"> PAGEREF _Toc18186 \h </w:instrText>
        </w:r>
        <w:r>
          <w:fldChar w:fldCharType="separate"/>
        </w:r>
        <w:r>
          <w:t>34</w:t>
        </w:r>
        <w:r>
          <w:fldChar w:fldCharType="end"/>
        </w:r>
      </w:hyperlink>
    </w:p>
    <w:p>
      <w:pPr>
        <w:pStyle w:val="TOC1"/>
        <w:tabs>
          <w:tab w:val="right" w:leader="dot" w:pos="8306"/>
        </w:tabs>
      </w:pPr>
      <w:hyperlink w:anchor="_Toc23932" w:history="1">
        <w:r>
          <w:rPr>
            <w:rFonts w:ascii="仿宋" w:eastAsia="仿宋" w:hAnsi="仿宋" w:cs="仿宋" w:hint="eastAsia"/>
            <w:lang w:eastAsia="zh-CN"/>
          </w:rPr>
          <w:t>十、防静电超净技术产品项目技术管理</w:t>
        </w:r>
        <w:r>
          <w:tab/>
        </w:r>
        <w:r>
          <w:fldChar w:fldCharType="begin"/>
        </w:r>
        <w:r>
          <w:instrText xml:space="preserve"> PAGEREF _Toc23932 \h </w:instrText>
        </w:r>
        <w:r>
          <w:fldChar w:fldCharType="separate"/>
        </w:r>
        <w:r>
          <w:t>35</w:t>
        </w:r>
        <w:r>
          <w:fldChar w:fldCharType="end"/>
        </w:r>
      </w:hyperlink>
    </w:p>
    <w:p>
      <w:pPr>
        <w:pStyle w:val="TOC2"/>
        <w:tabs>
          <w:tab w:val="right" w:leader="dot" w:pos="8306"/>
        </w:tabs>
      </w:pPr>
      <w:hyperlink w:anchor="_Toc30794" w:history="1">
        <w:r>
          <w:rPr>
            <w:rFonts w:ascii="仿宋" w:eastAsia="仿宋" w:hAnsi="仿宋" w:cs="仿宋" w:hint="eastAsia"/>
            <w:lang w:eastAsia="zh-CN"/>
          </w:rPr>
          <w:t>(一)、技术方案选用方向</w:t>
        </w:r>
        <w:r>
          <w:tab/>
        </w:r>
        <w:r>
          <w:fldChar w:fldCharType="begin"/>
        </w:r>
        <w:r>
          <w:instrText xml:space="preserve"> PAGEREF _Toc30794 \h </w:instrText>
        </w:r>
        <w:r>
          <w:fldChar w:fldCharType="separate"/>
        </w:r>
        <w:r>
          <w:t>35</w:t>
        </w:r>
        <w:r>
          <w:fldChar w:fldCharType="end"/>
        </w:r>
      </w:hyperlink>
    </w:p>
    <w:p>
      <w:pPr>
        <w:pStyle w:val="TOC2"/>
        <w:tabs>
          <w:tab w:val="right" w:leader="dot" w:pos="8306"/>
        </w:tabs>
      </w:pPr>
      <w:hyperlink w:anchor="_Toc20901" w:history="1">
        <w:r>
          <w:rPr>
            <w:rFonts w:ascii="仿宋" w:eastAsia="仿宋" w:hAnsi="仿宋" w:cs="仿宋" w:hint="eastAsia"/>
            <w:lang w:eastAsia="zh-CN"/>
          </w:rPr>
          <w:t>(二)、工艺技术方案选用原则</w:t>
        </w:r>
        <w:r>
          <w:tab/>
        </w:r>
        <w:r>
          <w:fldChar w:fldCharType="begin"/>
        </w:r>
        <w:r>
          <w:instrText xml:space="preserve"> PAGEREF _Toc20901 \h </w:instrText>
        </w:r>
        <w:r>
          <w:fldChar w:fldCharType="separate"/>
        </w:r>
        <w:r>
          <w:t>37</w:t>
        </w:r>
        <w:r>
          <w:fldChar w:fldCharType="end"/>
        </w:r>
      </w:hyperlink>
    </w:p>
    <w:p>
      <w:pPr>
        <w:pStyle w:val="TOC2"/>
        <w:tabs>
          <w:tab w:val="right" w:leader="dot" w:pos="8306"/>
        </w:tabs>
      </w:pPr>
      <w:hyperlink w:anchor="_Toc15280" w:history="1">
        <w:r>
          <w:rPr>
            <w:rFonts w:ascii="仿宋" w:eastAsia="仿宋" w:hAnsi="仿宋" w:cs="仿宋" w:hint="eastAsia"/>
            <w:lang w:eastAsia="zh-CN"/>
          </w:rPr>
          <w:t>(三)、工艺技术方案要求</w:t>
        </w:r>
        <w:r>
          <w:tab/>
        </w:r>
        <w:r>
          <w:fldChar w:fldCharType="begin"/>
        </w:r>
        <w:r>
          <w:instrText xml:space="preserve"> PAGEREF _Toc15280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 w:history="1">
        <w:r>
          <w:rPr>
            <w:rFonts w:ascii="仿宋" w:eastAsia="仿宋" w:hAnsi="仿宋" w:cs="仿宋" w:hint="eastAsia"/>
            <w:lang w:eastAsia="zh-CN"/>
          </w:rPr>
          <w:t>十一、防静电超净技术产品项目人力资源管理</w:t>
        </w:r>
        <w:r>
          <w:tab/>
        </w:r>
        <w:r>
          <w:fldChar w:fldCharType="begin"/>
        </w:r>
        <w:r>
          <w:instrText xml:space="preserve"> PAGEREF _Toc231 \h </w:instrText>
        </w:r>
        <w:r>
          <w:fldChar w:fldCharType="separate"/>
        </w:r>
        <w:r>
          <w:t>41</w:t>
        </w:r>
        <w:r>
          <w:fldChar w:fldCharType="end"/>
        </w:r>
      </w:hyperlink>
    </w:p>
    <w:p>
      <w:pPr>
        <w:pStyle w:val="TOC2"/>
        <w:tabs>
          <w:tab w:val="right" w:leader="dot" w:pos="8306"/>
        </w:tabs>
      </w:pPr>
      <w:hyperlink w:anchor="_Toc13868" w:history="1">
        <w:r>
          <w:rPr>
            <w:rFonts w:ascii="仿宋" w:eastAsia="仿宋" w:hAnsi="仿宋" w:cs="仿宋" w:hint="eastAsia"/>
            <w:lang w:eastAsia="zh-CN"/>
          </w:rPr>
          <w:t>(一)、建立健全的预算管理制度</w:t>
        </w:r>
        <w:r>
          <w:tab/>
        </w:r>
        <w:r>
          <w:fldChar w:fldCharType="begin"/>
        </w:r>
        <w:r>
          <w:instrText xml:space="preserve"> PAGEREF _Toc13868 \h </w:instrText>
        </w:r>
        <w:r>
          <w:fldChar w:fldCharType="separate"/>
        </w:r>
        <w:r>
          <w:t>41</w:t>
        </w:r>
        <w:r>
          <w:fldChar w:fldCharType="end"/>
        </w:r>
      </w:hyperlink>
    </w:p>
    <w:p>
      <w:pPr>
        <w:pStyle w:val="TOC2"/>
        <w:tabs>
          <w:tab w:val="right" w:leader="dot" w:pos="8306"/>
        </w:tabs>
      </w:pPr>
      <w:hyperlink w:anchor="_Toc6860" w:history="1">
        <w:r>
          <w:rPr>
            <w:rFonts w:ascii="仿宋" w:eastAsia="仿宋" w:hAnsi="仿宋" w:cs="仿宋" w:hint="eastAsia"/>
            <w:lang w:eastAsia="zh-CN"/>
          </w:rPr>
          <w:t>(二)、加强资金流动监控</w:t>
        </w:r>
        <w:r>
          <w:tab/>
        </w:r>
        <w:r>
          <w:fldChar w:fldCharType="begin"/>
        </w:r>
        <w:r>
          <w:instrText xml:space="preserve"> PAGEREF _Toc6860 \h </w:instrText>
        </w:r>
        <w:r>
          <w:fldChar w:fldCharType="separate"/>
        </w:r>
        <w:r>
          <w:t>43</w:t>
        </w:r>
        <w:r>
          <w:fldChar w:fldCharType="end"/>
        </w:r>
      </w:hyperlink>
    </w:p>
    <w:p>
      <w:pPr>
        <w:pStyle w:val="TOC2"/>
        <w:tabs>
          <w:tab w:val="right" w:leader="dot" w:pos="8306"/>
        </w:tabs>
      </w:pPr>
      <w:hyperlink w:anchor="_Toc26129" w:history="1">
        <w:r>
          <w:rPr>
            <w:rFonts w:ascii="仿宋" w:eastAsia="仿宋" w:hAnsi="仿宋" w:cs="仿宋" w:hint="eastAsia"/>
            <w:lang w:eastAsia="zh-CN"/>
          </w:rPr>
          <w:t>(三)、制定完善的风险控制机制</w:t>
        </w:r>
        <w:r>
          <w:tab/>
        </w:r>
        <w:r>
          <w:fldChar w:fldCharType="begin"/>
        </w:r>
        <w:r>
          <w:instrText xml:space="preserve"> PAGEREF _Toc26129 \h </w:instrText>
        </w:r>
        <w:r>
          <w:fldChar w:fldCharType="separate"/>
        </w:r>
        <w:r>
          <w:t>44</w:t>
        </w:r>
        <w:r>
          <w:fldChar w:fldCharType="end"/>
        </w:r>
      </w:hyperlink>
    </w:p>
    <w:p>
      <w:pPr>
        <w:pStyle w:val="TOC2"/>
        <w:tabs>
          <w:tab w:val="right" w:leader="dot" w:pos="8306"/>
        </w:tabs>
      </w:pPr>
      <w:hyperlink w:anchor="_Toc17798" w:history="1">
        <w:r>
          <w:rPr>
            <w:rFonts w:ascii="仿宋" w:eastAsia="仿宋" w:hAnsi="仿宋" w:cs="仿宋" w:hint="eastAsia"/>
            <w:lang w:eastAsia="zh-CN"/>
          </w:rPr>
          <w:t>(四)、优化成本管理</w:t>
        </w:r>
        <w:r>
          <w:tab/>
        </w:r>
        <w:r>
          <w:fldChar w:fldCharType="begin"/>
        </w:r>
        <w:r>
          <w:instrText xml:space="preserve"> PAGEREF _Toc17798 \h </w:instrText>
        </w:r>
        <w:r>
          <w:fldChar w:fldCharType="separate"/>
        </w:r>
        <w:r>
          <w:t>46</w:t>
        </w:r>
        <w:r>
          <w:fldChar w:fldCharType="end"/>
        </w:r>
      </w:hyperlink>
    </w:p>
    <w:p>
      <w:pPr>
        <w:pStyle w:val="TOC1"/>
        <w:tabs>
          <w:tab w:val="right" w:leader="dot" w:pos="8306"/>
        </w:tabs>
      </w:pPr>
      <w:hyperlink w:anchor="_Toc7495" w:history="1">
        <w:r>
          <w:rPr>
            <w:rFonts w:ascii="仿宋" w:eastAsia="仿宋" w:hAnsi="仿宋" w:cs="仿宋" w:hint="eastAsia"/>
            <w:lang w:eastAsia="zh-CN"/>
          </w:rPr>
          <w:t>十二、防静电超净技术产品项目人力资源培养与发展</w:t>
        </w:r>
        <w:r>
          <w:tab/>
        </w:r>
        <w:r>
          <w:fldChar w:fldCharType="begin"/>
        </w:r>
        <w:r>
          <w:instrText xml:space="preserve"> PAGEREF _Toc7495 \h </w:instrText>
        </w:r>
        <w:r>
          <w:fldChar w:fldCharType="separate"/>
        </w:r>
        <w:r>
          <w:t>47</w:t>
        </w:r>
        <w:r>
          <w:fldChar w:fldCharType="end"/>
        </w:r>
      </w:hyperlink>
    </w:p>
    <w:p>
      <w:pPr>
        <w:pStyle w:val="TOC2"/>
        <w:tabs>
          <w:tab w:val="right" w:leader="dot" w:pos="8306"/>
        </w:tabs>
      </w:pPr>
      <w:hyperlink w:anchor="_Toc17879" w:history="1">
        <w:r>
          <w:rPr>
            <w:rFonts w:ascii="仿宋" w:eastAsia="仿宋" w:hAnsi="仿宋" w:cs="仿宋" w:hint="eastAsia"/>
            <w:lang w:eastAsia="zh-CN"/>
          </w:rPr>
          <w:t>(一)、人才需求与规划</w:t>
        </w:r>
        <w:r>
          <w:tab/>
        </w:r>
        <w:r>
          <w:fldChar w:fldCharType="begin"/>
        </w:r>
        <w:r>
          <w:instrText xml:space="preserve"> PAGEREF _Toc17879 \h </w:instrText>
        </w:r>
        <w:r>
          <w:fldChar w:fldCharType="separate"/>
        </w:r>
        <w:r>
          <w:t>47</w:t>
        </w:r>
        <w:r>
          <w:fldChar w:fldCharType="end"/>
        </w:r>
      </w:hyperlink>
    </w:p>
    <w:p>
      <w:pPr>
        <w:pStyle w:val="TOC2"/>
        <w:tabs>
          <w:tab w:val="right" w:leader="dot" w:pos="8306"/>
        </w:tabs>
      </w:pPr>
      <w:hyperlink w:anchor="_Toc17949" w:history="1">
        <w:r>
          <w:rPr>
            <w:rFonts w:ascii="仿宋" w:eastAsia="仿宋" w:hAnsi="仿宋" w:cs="仿宋" w:hint="eastAsia"/>
            <w:lang w:eastAsia="zh-CN"/>
          </w:rPr>
          <w:t>(二)、培训与发展计划</w:t>
        </w:r>
        <w:r>
          <w:tab/>
        </w:r>
        <w:r>
          <w:fldChar w:fldCharType="begin"/>
        </w:r>
        <w:r>
          <w:instrText xml:space="preserve"> PAGEREF _Toc17949 \h </w:instrText>
        </w:r>
        <w:r>
          <w:fldChar w:fldCharType="separate"/>
        </w:r>
        <w:r>
          <w:t>47</w:t>
        </w:r>
        <w:r>
          <w:fldChar w:fldCharType="end"/>
        </w:r>
      </w:hyperlink>
    </w:p>
    <w:p>
      <w:pPr>
        <w:pStyle w:val="TOC1"/>
        <w:tabs>
          <w:tab w:val="right" w:leader="dot" w:pos="8306"/>
        </w:tabs>
      </w:pPr>
      <w:hyperlink w:anchor="_Toc31516" w:history="1">
        <w:r>
          <w:rPr>
            <w:rFonts w:ascii="仿宋" w:eastAsia="仿宋" w:hAnsi="仿宋" w:cs="仿宋" w:hint="eastAsia"/>
            <w:lang w:eastAsia="zh-CN"/>
          </w:rPr>
          <w:t>十三、防静电超净技术产品项目治理与监督</w:t>
        </w:r>
        <w:r>
          <w:tab/>
        </w:r>
        <w:r>
          <w:fldChar w:fldCharType="begin"/>
        </w:r>
        <w:r>
          <w:instrText xml:space="preserve"> PAGEREF _Toc31516 \h </w:instrText>
        </w:r>
        <w:r>
          <w:fldChar w:fldCharType="separate"/>
        </w:r>
        <w:r>
          <w:t>48</w:t>
        </w:r>
        <w:r>
          <w:fldChar w:fldCharType="end"/>
        </w:r>
      </w:hyperlink>
    </w:p>
    <w:p>
      <w:pPr>
        <w:pStyle w:val="TOC2"/>
        <w:tabs>
          <w:tab w:val="right" w:leader="dot" w:pos="8306"/>
        </w:tabs>
      </w:pPr>
      <w:hyperlink w:anchor="_Toc3998" w:history="1">
        <w:r>
          <w:rPr>
            <w:rFonts w:ascii="仿宋" w:eastAsia="仿宋" w:hAnsi="仿宋" w:cs="仿宋" w:hint="eastAsia"/>
            <w:lang w:eastAsia="zh-CN"/>
          </w:rPr>
          <w:t>(一)、防静电超净技术产品项目治理结构</w:t>
        </w:r>
        <w:r>
          <w:tab/>
        </w:r>
        <w:r>
          <w:fldChar w:fldCharType="begin"/>
        </w:r>
        <w:r>
          <w:instrText xml:space="preserve"> PAGEREF _Toc3998 \h </w:instrText>
        </w:r>
        <w:r>
          <w:fldChar w:fldCharType="separate"/>
        </w:r>
        <w:r>
          <w:t>48</w:t>
        </w:r>
        <w:r>
          <w:fldChar w:fldCharType="end"/>
        </w:r>
      </w:hyperlink>
    </w:p>
    <w:p>
      <w:pPr>
        <w:pStyle w:val="TOC2"/>
        <w:tabs>
          <w:tab w:val="right" w:leader="dot" w:pos="8306"/>
        </w:tabs>
      </w:pPr>
      <w:hyperlink w:anchor="_Toc30924" w:history="1">
        <w:r>
          <w:rPr>
            <w:rFonts w:ascii="仿宋" w:eastAsia="仿宋" w:hAnsi="仿宋" w:cs="仿宋" w:hint="eastAsia"/>
            <w:lang w:eastAsia="zh-CN"/>
          </w:rPr>
          <w:t>(二)、监督与审计</w:t>
        </w:r>
        <w:r>
          <w:tab/>
        </w:r>
        <w:r>
          <w:fldChar w:fldCharType="begin"/>
        </w:r>
        <w:r>
          <w:instrText xml:space="preserve"> PAGEREF _Toc30924 \h </w:instrText>
        </w:r>
        <w:r>
          <w:fldChar w:fldCharType="separate"/>
        </w:r>
        <w:r>
          <w:t>50</w:t>
        </w:r>
        <w:r>
          <w:fldChar w:fldCharType="end"/>
        </w:r>
      </w:hyperlink>
    </w:p>
    <w:p>
      <w:pPr>
        <w:pStyle w:val="TOC1"/>
        <w:tabs>
          <w:tab w:val="right" w:leader="dot" w:pos="8306"/>
        </w:tabs>
      </w:pPr>
      <w:hyperlink w:anchor="_Toc17812" w:history="1">
        <w:r>
          <w:rPr>
            <w:rFonts w:ascii="仿宋" w:eastAsia="仿宋" w:hAnsi="仿宋" w:cs="仿宋" w:hint="eastAsia"/>
            <w:lang w:eastAsia="zh-CN"/>
          </w:rPr>
          <w:t>十四、防静电超净技术产品项目实施保障措施</w:t>
        </w:r>
        <w:r>
          <w:tab/>
        </w:r>
        <w:r>
          <w:fldChar w:fldCharType="begin"/>
        </w:r>
        <w:r>
          <w:instrText xml:space="preserve"> PAGEREF _Toc17812 \h </w:instrText>
        </w:r>
        <w:r>
          <w:fldChar w:fldCharType="separate"/>
        </w:r>
        <w:r>
          <w:t>51</w:t>
        </w:r>
        <w:r>
          <w:fldChar w:fldCharType="end"/>
        </w:r>
      </w:hyperlink>
    </w:p>
    <w:p>
      <w:pPr>
        <w:pStyle w:val="TOC2"/>
        <w:tabs>
          <w:tab w:val="right" w:leader="dot" w:pos="8306"/>
        </w:tabs>
      </w:pPr>
      <w:hyperlink w:anchor="_Toc4339" w:history="1">
        <w:r>
          <w:rPr>
            <w:rFonts w:ascii="仿宋" w:eastAsia="仿宋" w:hAnsi="仿宋" w:cs="仿宋" w:hint="eastAsia"/>
            <w:lang w:eastAsia="zh-CN"/>
          </w:rPr>
          <w:t>(一)、防静电超净技术产品项目实施保障机制</w:t>
        </w:r>
        <w:r>
          <w:tab/>
        </w:r>
        <w:r>
          <w:fldChar w:fldCharType="begin"/>
        </w:r>
        <w:r>
          <w:instrText xml:space="preserve"> PAGEREF _Toc4339 \h </w:instrText>
        </w:r>
        <w:r>
          <w:fldChar w:fldCharType="separate"/>
        </w:r>
        <w:r>
          <w:t>51</w:t>
        </w:r>
        <w:r>
          <w:fldChar w:fldCharType="end"/>
        </w:r>
      </w:hyperlink>
    </w:p>
    <w:p>
      <w:pPr>
        <w:pStyle w:val="TOC2"/>
        <w:tabs>
          <w:tab w:val="right" w:leader="dot" w:pos="8306"/>
        </w:tabs>
      </w:pPr>
      <w:hyperlink w:anchor="_Toc31137" w:history="1">
        <w:r>
          <w:rPr>
            <w:rFonts w:ascii="仿宋" w:eastAsia="仿宋" w:hAnsi="仿宋" w:cs="仿宋" w:hint="eastAsia"/>
            <w:lang w:eastAsia="zh-CN"/>
          </w:rPr>
          <w:t>(二)、防静电超净技术产品项目法律合规要求</w:t>
        </w:r>
        <w:r>
          <w:tab/>
        </w:r>
        <w:r>
          <w:fldChar w:fldCharType="begin"/>
        </w:r>
        <w:r>
          <w:instrText xml:space="preserve"> PAGEREF _Toc31137 \h </w:instrText>
        </w:r>
        <w:r>
          <w:fldChar w:fldCharType="separate"/>
        </w:r>
        <w:r>
          <w:t>55</w:t>
        </w:r>
        <w:r>
          <w:fldChar w:fldCharType="end"/>
        </w:r>
      </w:hyperlink>
    </w:p>
    <w:p>
      <w:pPr>
        <w:pStyle w:val="TOC2"/>
        <w:tabs>
          <w:tab w:val="right" w:leader="dot" w:pos="8306"/>
        </w:tabs>
      </w:pPr>
      <w:hyperlink w:anchor="_Toc32616" w:history="1">
        <w:r>
          <w:rPr>
            <w:rFonts w:ascii="仿宋" w:eastAsia="仿宋" w:hAnsi="仿宋" w:cs="仿宋" w:hint="eastAsia"/>
            <w:lang w:eastAsia="zh-CN"/>
          </w:rPr>
          <w:t>(三)、防静电超净技术产品项目合同管理与法律事务</w:t>
        </w:r>
        <w:r>
          <w:tab/>
        </w:r>
        <w:r>
          <w:fldChar w:fldCharType="begin"/>
        </w:r>
        <w:r>
          <w:instrText xml:space="preserve"> PAGEREF _Toc32616 \h </w:instrText>
        </w:r>
        <w:r>
          <w:fldChar w:fldCharType="separate"/>
        </w:r>
        <w:r>
          <w:t>60</w:t>
        </w:r>
        <w:r>
          <w:fldChar w:fldCharType="end"/>
        </w:r>
      </w:hyperlink>
    </w:p>
    <w:p>
      <w:pPr>
        <w:pStyle w:val="TOC2"/>
        <w:tabs>
          <w:tab w:val="right" w:leader="dot" w:pos="8306"/>
        </w:tabs>
      </w:pPr>
      <w:hyperlink w:anchor="_Toc3600" w:history="1">
        <w:r>
          <w:rPr>
            <w:rFonts w:ascii="仿宋" w:eastAsia="仿宋" w:hAnsi="仿宋" w:cs="仿宋" w:hint="eastAsia"/>
            <w:lang w:eastAsia="zh-CN"/>
          </w:rPr>
          <w:t>(四)、防静电超净技术产品项目知识产权保护策略</w:t>
        </w:r>
        <w:r>
          <w:tab/>
        </w:r>
        <w:r>
          <w:fldChar w:fldCharType="begin"/>
        </w:r>
        <w:r>
          <w:instrText xml:space="preserve"> PAGEREF _Toc3600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26"/>
      <w:r>
        <w:rPr>
          <w:rFonts w:ascii="仿宋" w:eastAsia="仿宋" w:hAnsi="仿宋" w:cs="仿宋" w:hint="eastAsia"/>
          <w:sz w:val="28"/>
          <w:lang w:eastAsia="zh-CN"/>
        </w:rPr>
        <w:t>一、防静电超净技术产品项目可持续发展</w:t>
      </w:r>
      <w:bookmarkEnd w:id="2"/>
    </w:p>
    <w:p>
      <w:pPr>
        <w:pStyle w:val="Heading2"/>
        <w:rPr>
          <w:rFonts w:ascii="仿宋" w:eastAsia="仿宋" w:hAnsi="仿宋" w:cs="仿宋" w:hint="eastAsia"/>
          <w:lang w:eastAsia="zh-CN"/>
        </w:rPr>
      </w:pPr>
      <w:bookmarkStart w:id="3" w:name="_Toc50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中，防静电超净技术产品项目团队着眼于未来，明确了可持续发展的战略方向。制定的具体可持续发展目标包括降低资源使用、采用环保技术、最大化社会效益等。这一步骤不仅有助于防静电超净技术产品项目在环保和社会责任方面达到最高标准，也为未来提供了明确的指引，确保防静电超净技术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可持续实践的融入防静电超净技术产品项目管理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超净技术产品项目管理周期。从防静电超净技术产品项目规划开始，防静电超净技术产品项目团队就考虑了环境和社会的因素。在执行阶段，防静电超净技术产品项目团队积极推动绿色技术的应用，优化资源利用。此外，关注员工的社会责任，通过培训和沟通活动提高员工对可持续发展的认知，使他们能够在日常工作中践行可持续实践。这些举措不仅为防静电超净技术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5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超净技术产品项目的可持续发展理念，我们深信环保与社会责任是防静电超净技术产品项目成功的关键支柱。在防静电超净技术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团队通过引入先进的环保技术、建立高效的废物处理系统以及推动能源节约措施，积极履行环保责任。定期的环保监测和评估确保防静电超净技术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不仅致力于自身可持续发展，还注重对社会的回馈。通过支持社区防静电超净技术产品项目、参与慈善事业、提供培训机会等方式，防静电超净技术产品项目积极履行社会责任。与当地社区建立积极互动，关注员工的工作与生活平衡，以及员工的身心健康，是防静电超净技术产品项目在社会责任层面的关键举措。这样的实践不仅增强了防静电超净技术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60"/>
      <w:r>
        <w:rPr>
          <w:rFonts w:ascii="仿宋" w:eastAsia="仿宋" w:hAnsi="仿宋" w:cs="仿宋" w:hint="eastAsia"/>
          <w:sz w:val="28"/>
          <w:lang w:eastAsia="zh-CN"/>
        </w:rPr>
        <w:t>二、防静电超净技术产品项目选址可行性分析</w:t>
      </w:r>
      <w:bookmarkEnd w:id="5"/>
    </w:p>
    <w:p>
      <w:pPr>
        <w:pStyle w:val="Heading2"/>
        <w:rPr>
          <w:rFonts w:ascii="仿宋" w:eastAsia="仿宋" w:hAnsi="仿宋" w:cs="仿宋" w:hint="eastAsia"/>
          <w:lang w:eastAsia="zh-CN"/>
        </w:rPr>
      </w:pPr>
      <w:bookmarkStart w:id="6" w:name="_Toc32399"/>
      <w:r>
        <w:rPr>
          <w:rFonts w:ascii="仿宋" w:eastAsia="仿宋" w:hAnsi="仿宋" w:cs="仿宋" w:hint="eastAsia"/>
          <w:lang w:eastAsia="zh-CN"/>
        </w:rPr>
        <w:t>(一)、防静电超净技术产品项目选址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该防静电超净技术产品项目选址位于XX省XX市XX区XXX街道</w:t>
      </w:r>
    </w:p>
    <w:p>
      <w:pPr>
        <w:pStyle w:val="Heading2"/>
        <w:ind w:firstLine="560" w:firstLineChars="200"/>
        <w:rPr>
          <w:rFonts w:ascii="仿宋" w:eastAsia="仿宋" w:hAnsi="仿宋" w:cs="仿宋" w:hint="eastAsia"/>
          <w:sz w:val="28"/>
          <w:lang w:eastAsia="zh-CN"/>
        </w:rPr>
      </w:pPr>
      <w:bookmarkStart w:id="7" w:name="_Toc240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超净技术产品项目的征地面积将根据防静电超净技术产品项目的实际规模和需求进行精确规划。具体面积XXX平方米，旨在确保防静电超净技术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净用地面积是在征地面积基础上去除不可利用面积后的实际可开发用地。具体面积XXX平方米，考虑到环保、交通、安全等多方面因素，以确保防静电超净技术产品项目在整体利用效率上达到最优。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防静电超净技术产品项目计划建设的建筑总规模具体面积XXX平方米。这一规模的确定综合考虑了防静电超净技术产品项目的性质、规模，以及城市规划的相关要求，确保建筑布局与周边环境协调一致。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绿地率是防静电超净技术产品项目用地中被规划为绿地的比例。具体面积XXX平方米，旨在通过合理规划绿地，改善防静电超净技术产品项目周边环境，提升居民生活质量，并符合城市整体绿化规划。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容积率是用地上可以建设的建筑总体积与用地面积之比。具体面积XXX，通过合理的容积率规划，确保防静电超净技术产品项目建筑规模与周边环境和谐共生。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超净技术产品项目选址与当地城市规划相一致，具体面积XXX平方米。通过与城市规划部门深入沟通，确保防静电超净技术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超净技术产品项目选址符合当地产业政策，具体面积XXX平方米。这包括防静电超净技术产品项目对当地经济的促进作用，以及对相关产业的带动效应，确保防静电超净技术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用地总体要求必须符合环保和可持续发展的原则，具体面积XXX平方米。通过采用绿色建筑设计、节能减排等措施，确保防静电超净技术产品项目在建设和运营过程中对环境的影响最小化，达到可持续发展的要求。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确保防静电超净技术产品项目选址具备必要的公共设施配套，具体面积XXX平方米。这包括交通便利性、教育、医疗等基础设施，以提高居民生活品质，使得防静电超净技术产品项目选址更具吸引力。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考虑用地总体要求对当地社会稳定性的影响，具体面积XXX平方米。通过深入了解当地社区反馈，确保防静电超净技术产品项目的选址和建设过程对当地社会和谐稳定产生积极作用。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超净技术产品项目选址不仅符合法规和规划，还在实际操作中具有可行性。这一全面规划将为防静电超净技术产品项目的成功实施提供坚实的基础，确保防静电超净技术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0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超净技术产品项目的设备规划和空间设计中，我们将采取灵活设备布局的措施。设备布局将根据实际需求进行灵活设计，避免不必要的浪费。通过合理规划设备摆放位置，我们将提高设备的利用率，减少设备间距，以确保防静电超净技术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超净技术产品项目内部引入共享设施的概念，例如共享会议室、办公区等。通过这种方式，我们可以减少对资源的重复建设，提高资源共享效率，从而减小防静电超净技术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超净技术产品项目的总图布置中，我们将不同功能区域进行明确的规划，以最大程度满足防静电超净技术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1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静电超净技术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静电超净技术产品项目对环境的影响是综合评价的重要因素之一。我们将详细考虑选址周边的自然环境、生态保护区、水源地等情况，确保防静电超净技术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对选址的评价还需充分考虑当地政府的产业政策和法规。我们将详细了解防静电超净技术产品项目所在地的相关政策，确保防静电超净技术产品项目的规划和运营与当地法规相符，降低不必要的法律风险。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考虑到社会稳定性对企业运营的重要性，我们将评估选址地区的社会安全情况、劳工关系、社区反馈等方面，以确保防静电超净技术产品项目的建设和运营不会受到社会稳定性的负面影响。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最后，我们将综合考虑用地成本，包括土地购置费用、土地开发成本等。通过对用地成本的详细评估，我们能够做出更为精确的经济效益分析，为防静电超净技术产品项目的投资决策提供有力支持。</w:t>
      </w:r>
    </w:p>
    <w:p>
      <w:pPr>
        <w:pStyle w:val="Heading1"/>
        <w:ind w:firstLine="560" w:firstLineChars="200"/>
        <w:rPr>
          <w:rFonts w:ascii="仿宋" w:eastAsia="仿宋" w:hAnsi="仿宋" w:cs="仿宋" w:hint="eastAsia"/>
          <w:sz w:val="28"/>
          <w:lang w:eastAsia="zh-CN"/>
        </w:rPr>
      </w:pPr>
      <w:bookmarkStart w:id="11" w:name="_Toc25504"/>
      <w:r>
        <w:rPr>
          <w:rFonts w:ascii="仿宋" w:eastAsia="仿宋" w:hAnsi="仿宋" w:cs="仿宋" w:hint="eastAsia"/>
          <w:sz w:val="28"/>
          <w:lang w:eastAsia="zh-CN"/>
        </w:rPr>
        <w:t>三、防静电超净技术产品项目建设背景及必要性分析</w:t>
      </w:r>
      <w:bookmarkEnd w:id="11"/>
    </w:p>
    <w:p>
      <w:pPr>
        <w:pStyle w:val="Heading2"/>
        <w:rPr>
          <w:rFonts w:ascii="仿宋" w:eastAsia="仿宋" w:hAnsi="仿宋" w:cs="仿宋" w:hint="eastAsia"/>
          <w:lang w:eastAsia="zh-CN"/>
        </w:rPr>
      </w:pPr>
      <w:bookmarkStart w:id="12" w:name="_Toc31783"/>
      <w:r>
        <w:rPr>
          <w:rFonts w:ascii="仿宋" w:eastAsia="仿宋" w:hAnsi="仿宋" w:cs="仿宋" w:hint="eastAsia"/>
          <w:lang w:eastAsia="zh-CN"/>
        </w:rPr>
        <w:t>(一)、防静电超净技术产品项目背景分析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超净技术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超净技术产品项目在这个潮流中的定位。同时，我们将关注行业内涌现的新兴机遇，以便防静电超净技术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超净技术产品项目提供了强大的发展动力。我们将聚焦于行业内最新的技术发展趋势，包括但不限于人工智能、大数据分析、物联网等领域。通过深度的技术研究，我们将确保防静电超净技术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超净技术产品项目发展的源泉。我们将投入更多的精力对市场需求进行深入剖析，超越表面的需求，深入挖掘潜在的市场痛点和机遇。通过对市场需求的细致了解，防静电超净技术产品项目将更有针对性地设计解决方案，满足市场的多样化需求，从而更好地促进防静电超净技术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超净技术产品项目战略至关重要。我们将对竞争态势进行更为深入的分析，包括但不限于市场份额、产品特点、客户满意度等多个维度。通过深度的竞争分析，防静电超净技术产品项目将能够更准确地把握市场脉搏，制定具有竞争力的防静电超净技术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超净技术产品项目的发展具有直接的影响。我们将进行更为全面的法规和政策分析，了解行业发展中的潜在法律风险和合规挑战。通过充分了解和遵守相关法规，防静电超净技术产品项目将确保在法律框架内合法合规运营，为防静电超净技术产品项目的稳健发展提供有力支持。</w:t>
      </w:r>
    </w:p>
    <w:p>
      <w:pPr>
        <w:pStyle w:val="Heading2"/>
        <w:ind w:firstLine="560" w:firstLineChars="200"/>
        <w:rPr>
          <w:rFonts w:ascii="仿宋" w:eastAsia="仿宋" w:hAnsi="仿宋" w:cs="仿宋" w:hint="eastAsia"/>
          <w:sz w:val="28"/>
          <w:lang w:eastAsia="zh-CN"/>
        </w:rPr>
      </w:pPr>
      <w:bookmarkStart w:id="13" w:name="_Toc17113"/>
      <w:r>
        <w:rPr>
          <w:rFonts w:ascii="仿宋" w:eastAsia="仿宋" w:hAnsi="仿宋" w:cs="仿宋" w:hint="eastAsia"/>
          <w:sz w:val="28"/>
          <w:lang w:eastAsia="zh-CN"/>
        </w:rPr>
        <w:t>(二)、防静电超净技术产品项目建设必要性分析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建设的迫切性源于对行业发展趋势的深刻洞察。我们正处于一个行业变革的时代，科技创新、数字化转型成为企业发展的关键动力。防静电超净技术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项目建设不仅仅是为了跟上潮流，更是为了通过技术创新推动企业的持续发展。通过引入先进的技术和解决方案，防静电超净技术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超净技术产品项目的建设成为必然选择，通过提高产品质量、拓展服务领域，从而在竞争中获得更多的机会。防静电超净技术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超净技术产品项目建设的必要性体现在对客户需求更精准的满足。通过防静电超净技术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防静电超净技术产品项目建设的背后是对企业持续创新的追求。只有通过不断创新，企业才能在竞争中立于不败之地。防静电超净技术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34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124"/>
      <w:r>
        <w:rPr>
          <w:rFonts w:ascii="仿宋" w:eastAsia="仿宋" w:hAnsi="仿宋" w:cs="仿宋" w:hint="eastAsia"/>
          <w:lang w:eastAsia="zh-CN"/>
        </w:rPr>
        <w:t>(一)、防静电超净技术产品行业分析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超净技术产品行业一直以来都是市场的关注焦点。行业内的发展趋势、竞争态势以及潜在机会都对防静电超净技术产品项目的推进产生深远的影响。通过深入研究行业的整体概貌，我们将更好地理解行业的核心特征，为防静电超净技术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行业，技术一直是推动创新和发展的关键因素。我们将对当前技术趋势进行详尽分析，包括但不限于人工智能、大数据应用、先进制造技术等。这有助于防静电超净技术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超净技术产品项目成功的基础。我们将对主要竞争对手进行深入研究，包括其市场份额、产品特点、市场定位等。通过全面了解竞争对手的优势和劣势，防静电超净技术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1745"/>
      <w:r>
        <w:rPr>
          <w:rFonts w:ascii="仿宋" w:eastAsia="仿宋" w:hAnsi="仿宋" w:cs="仿宋" w:hint="eastAsia"/>
          <w:sz w:val="28"/>
          <w:lang w:eastAsia="zh-CN"/>
        </w:rPr>
        <w:t>(二)、防静电超净技术产品市场分析预测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超净技术产品市场未来的增长趋势。这包括市场的整体规模、各细分领域的发展趋势等。防静电超净技术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超净技术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超净技术产品项目实施过程中需要充分考虑的因素。我们将对市场风险进行全面评估，包括但不限于政策法规风险、市场竞争风险、技术变革风险等。通过对潜在风险的深入分析，防静电超净技术产品项目可以制定相应的风险缓解策略，降低不确定性对防静电超净技术产品项目的影响。</w:t>
      </w:r>
    </w:p>
    <w:p>
      <w:pPr>
        <w:pStyle w:val="Heading1"/>
        <w:ind w:firstLine="560" w:firstLineChars="200"/>
        <w:rPr>
          <w:rFonts w:ascii="仿宋" w:eastAsia="仿宋" w:hAnsi="仿宋" w:cs="仿宋" w:hint="eastAsia"/>
          <w:sz w:val="28"/>
          <w:lang w:eastAsia="zh-CN"/>
        </w:rPr>
      </w:pPr>
      <w:bookmarkStart w:id="17" w:name="_Toc24688"/>
      <w:r>
        <w:rPr>
          <w:rFonts w:ascii="仿宋" w:eastAsia="仿宋" w:hAnsi="仿宋" w:cs="仿宋" w:hint="eastAsia"/>
          <w:sz w:val="28"/>
          <w:lang w:eastAsia="zh-CN"/>
        </w:rPr>
        <w:t>五、防静电超净技术产品项目危机管理</w:t>
      </w:r>
      <w:bookmarkEnd w:id="17"/>
    </w:p>
    <w:p>
      <w:pPr>
        <w:pStyle w:val="Heading2"/>
        <w:rPr>
          <w:rFonts w:ascii="仿宋" w:eastAsia="仿宋" w:hAnsi="仿宋" w:cs="仿宋" w:hint="eastAsia"/>
          <w:lang w:eastAsia="zh-CN"/>
        </w:rPr>
      </w:pPr>
      <w:bookmarkStart w:id="18" w:name="_Toc708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超净技术产品项目危机管理中，危机预警与识别是确保防静电超净技术产品项目稳健运行的核心步骤。通过建立全面的监测机制，防静电超净技术产品项目团队旨在及时发现和理解潜在的风险和危机因素，以便采取及时的预防和应对措施，确保防静电超净技术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超净技术产品项目团队全面分析了整个防静电超净技术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超净技术产品项目团队着重于明确定义防静电超净技术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超净技术产品项目进展的持续监控，团队能够及时发现潜在问题并作出迅速反应。防静电超净技术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超净技术产品项目得以更有序、可控地推进。</w:t>
      </w:r>
    </w:p>
    <w:p>
      <w:pPr>
        <w:pStyle w:val="Heading2"/>
        <w:ind w:firstLine="560" w:firstLineChars="200"/>
        <w:rPr>
          <w:rFonts w:ascii="仿宋" w:eastAsia="仿宋" w:hAnsi="仿宋" w:cs="仿宋" w:hint="eastAsia"/>
          <w:sz w:val="28"/>
          <w:lang w:eastAsia="zh-CN"/>
        </w:rPr>
      </w:pPr>
      <w:bookmarkStart w:id="19" w:name="_Toc2797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https://d.book118.com/328001065006006036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防静电超净技术产品项目规划设计方案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34A52"/>
    <w:rsid w:val="2CF34A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106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2024-02-06T20:17:00Z</dcterms:created>
  <dcterms:modified xsi:type="dcterms:W3CDTF">2024-02-06T20:17:25Z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4C8A4BEBF2794357A9CED1B3D4D54479_11</vt:lpwstr>
  </property>
  <property fmtid="{D5CDD505-2E9C-101B-9397-08002B2CF9AE}" pid="3" name="KSOProductBuildVer">
    <vt:lpwstr>2052-12.1.0.16250</vt:lpwstr>
  </property>
</Properties>
</file>