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等离子体沉积和刻蚀设备项目规划设计纲要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86" w:history="1">
        <w:r>
          <w:rPr>
            <w:rFonts w:ascii="仿宋" w:eastAsia="仿宋" w:hAnsi="仿宋" w:cs="仿宋" w:hint="eastAsia"/>
            <w:lang w:eastAsia="zh-CN"/>
          </w:rPr>
          <w:t>概论</w:t>
        </w:r>
        <w:r>
          <w:tab/>
        </w:r>
        <w:r>
          <w:fldChar w:fldCharType="begin"/>
        </w:r>
        <w:r>
          <w:instrText xml:space="preserve"> PAGEREF _Toc17886 \h </w:instrText>
        </w:r>
        <w:r>
          <w:fldChar w:fldCharType="separate"/>
        </w:r>
        <w:r>
          <w:t>3</w:t>
        </w:r>
        <w:r>
          <w:fldChar w:fldCharType="end"/>
        </w:r>
      </w:hyperlink>
    </w:p>
    <w:p>
      <w:pPr>
        <w:pStyle w:val="TOC1"/>
        <w:tabs>
          <w:tab w:val="right" w:leader="dot" w:pos="8306"/>
        </w:tabs>
      </w:pPr>
      <w:hyperlink w:anchor="_Toc11507" w:history="1">
        <w:r>
          <w:rPr>
            <w:rFonts w:ascii="仿宋" w:eastAsia="仿宋" w:hAnsi="仿宋" w:cs="仿宋" w:hint="eastAsia"/>
            <w:lang w:eastAsia="zh-CN"/>
          </w:rPr>
          <w:t>一、等离子体沉积和刻蚀设备项目选址可行性分析</w:t>
        </w:r>
        <w:r>
          <w:tab/>
        </w:r>
        <w:r>
          <w:fldChar w:fldCharType="begin"/>
        </w:r>
        <w:r>
          <w:instrText xml:space="preserve"> PAGEREF _Toc11507 \h </w:instrText>
        </w:r>
        <w:r>
          <w:fldChar w:fldCharType="separate"/>
        </w:r>
        <w:r>
          <w:t>3</w:t>
        </w:r>
        <w:r>
          <w:fldChar w:fldCharType="end"/>
        </w:r>
      </w:hyperlink>
    </w:p>
    <w:p>
      <w:pPr>
        <w:pStyle w:val="TOC2"/>
        <w:tabs>
          <w:tab w:val="right" w:leader="dot" w:pos="8306"/>
        </w:tabs>
      </w:pPr>
      <w:hyperlink w:anchor="_Toc14167" w:history="1">
        <w:r>
          <w:rPr>
            <w:rFonts w:ascii="仿宋" w:eastAsia="仿宋" w:hAnsi="仿宋" w:cs="仿宋" w:hint="eastAsia"/>
            <w:lang w:eastAsia="zh-CN"/>
          </w:rPr>
          <w:t>(一)、等离子体沉积和刻蚀设备项目选址</w:t>
        </w:r>
        <w:r>
          <w:tab/>
        </w:r>
        <w:r>
          <w:fldChar w:fldCharType="begin"/>
        </w:r>
        <w:r>
          <w:instrText xml:space="preserve"> PAGEREF _Toc14167 \h </w:instrText>
        </w:r>
        <w:r>
          <w:fldChar w:fldCharType="separate"/>
        </w:r>
        <w:r>
          <w:t>3</w:t>
        </w:r>
        <w:r>
          <w:fldChar w:fldCharType="end"/>
        </w:r>
      </w:hyperlink>
    </w:p>
    <w:p>
      <w:pPr>
        <w:pStyle w:val="TOC2"/>
        <w:tabs>
          <w:tab w:val="right" w:leader="dot" w:pos="8306"/>
        </w:tabs>
      </w:pPr>
      <w:hyperlink w:anchor="_Toc6195" w:history="1">
        <w:r>
          <w:rPr>
            <w:rFonts w:ascii="仿宋" w:eastAsia="仿宋" w:hAnsi="仿宋" w:cs="仿宋" w:hint="eastAsia"/>
            <w:lang w:eastAsia="zh-CN"/>
          </w:rPr>
          <w:t>(二)、用地控制指标</w:t>
        </w:r>
        <w:r>
          <w:tab/>
        </w:r>
        <w:r>
          <w:fldChar w:fldCharType="begin"/>
        </w:r>
        <w:r>
          <w:instrText xml:space="preserve"> PAGEREF _Toc6195 \h </w:instrText>
        </w:r>
        <w:r>
          <w:fldChar w:fldCharType="separate"/>
        </w:r>
        <w:r>
          <w:t>3</w:t>
        </w:r>
        <w:r>
          <w:fldChar w:fldCharType="end"/>
        </w:r>
      </w:hyperlink>
    </w:p>
    <w:p>
      <w:pPr>
        <w:pStyle w:val="TOC2"/>
        <w:tabs>
          <w:tab w:val="right" w:leader="dot" w:pos="8306"/>
        </w:tabs>
      </w:pPr>
      <w:hyperlink w:anchor="_Toc30904" w:history="1">
        <w:r>
          <w:rPr>
            <w:rFonts w:ascii="仿宋" w:eastAsia="仿宋" w:hAnsi="仿宋" w:cs="仿宋" w:hint="eastAsia"/>
            <w:lang w:eastAsia="zh-CN"/>
          </w:rPr>
          <w:t>(三)、节约用地措施</w:t>
        </w:r>
        <w:r>
          <w:tab/>
        </w:r>
        <w:r>
          <w:fldChar w:fldCharType="begin"/>
        </w:r>
        <w:r>
          <w:instrText xml:space="preserve"> PAGEREF _Toc30904 \h </w:instrText>
        </w:r>
        <w:r>
          <w:fldChar w:fldCharType="separate"/>
        </w:r>
        <w:r>
          <w:t>5</w:t>
        </w:r>
        <w:r>
          <w:fldChar w:fldCharType="end"/>
        </w:r>
      </w:hyperlink>
    </w:p>
    <w:p>
      <w:pPr>
        <w:pStyle w:val="TOC2"/>
        <w:tabs>
          <w:tab w:val="right" w:leader="dot" w:pos="8306"/>
        </w:tabs>
      </w:pPr>
      <w:hyperlink w:anchor="_Toc1099" w:history="1">
        <w:r>
          <w:rPr>
            <w:rFonts w:ascii="仿宋" w:eastAsia="仿宋" w:hAnsi="仿宋" w:cs="仿宋" w:hint="eastAsia"/>
            <w:lang w:eastAsia="zh-CN"/>
          </w:rPr>
          <w:t>(四)、总图布置方案</w:t>
        </w:r>
        <w:r>
          <w:tab/>
        </w:r>
        <w:r>
          <w:fldChar w:fldCharType="begin"/>
        </w:r>
        <w:r>
          <w:instrText xml:space="preserve"> PAGEREF _Toc1099 \h </w:instrText>
        </w:r>
        <w:r>
          <w:fldChar w:fldCharType="separate"/>
        </w:r>
        <w:r>
          <w:t>6</w:t>
        </w:r>
        <w:r>
          <w:fldChar w:fldCharType="end"/>
        </w:r>
      </w:hyperlink>
    </w:p>
    <w:p>
      <w:pPr>
        <w:pStyle w:val="TOC2"/>
        <w:tabs>
          <w:tab w:val="right" w:leader="dot" w:pos="8306"/>
        </w:tabs>
      </w:pPr>
      <w:hyperlink w:anchor="_Toc30435" w:history="1">
        <w:r>
          <w:rPr>
            <w:rFonts w:ascii="仿宋" w:eastAsia="仿宋" w:hAnsi="仿宋" w:cs="仿宋" w:hint="eastAsia"/>
            <w:lang w:eastAsia="zh-CN"/>
          </w:rPr>
          <w:t>(五)、选址综合评价</w:t>
        </w:r>
        <w:r>
          <w:tab/>
        </w:r>
        <w:r>
          <w:fldChar w:fldCharType="begin"/>
        </w:r>
        <w:r>
          <w:instrText xml:space="preserve"> PAGEREF _Toc30435 \h </w:instrText>
        </w:r>
        <w:r>
          <w:fldChar w:fldCharType="separate"/>
        </w:r>
        <w:r>
          <w:t>8</w:t>
        </w:r>
        <w:r>
          <w:fldChar w:fldCharType="end"/>
        </w:r>
      </w:hyperlink>
    </w:p>
    <w:p>
      <w:pPr>
        <w:pStyle w:val="TOC1"/>
        <w:tabs>
          <w:tab w:val="right" w:leader="dot" w:pos="8306"/>
        </w:tabs>
      </w:pPr>
      <w:hyperlink w:anchor="_Toc18710" w:history="1">
        <w:r>
          <w:rPr>
            <w:rFonts w:ascii="仿宋" w:eastAsia="仿宋" w:hAnsi="仿宋" w:cs="仿宋" w:hint="eastAsia"/>
            <w:lang w:eastAsia="zh-CN"/>
          </w:rPr>
          <w:t>二、工艺说明</w:t>
        </w:r>
        <w:r>
          <w:tab/>
        </w:r>
        <w:r>
          <w:fldChar w:fldCharType="begin"/>
        </w:r>
        <w:r>
          <w:instrText xml:space="preserve"> PAGEREF _Toc18710 \h </w:instrText>
        </w:r>
        <w:r>
          <w:fldChar w:fldCharType="separate"/>
        </w:r>
        <w:r>
          <w:t>9</w:t>
        </w:r>
        <w:r>
          <w:fldChar w:fldCharType="end"/>
        </w:r>
      </w:hyperlink>
    </w:p>
    <w:p>
      <w:pPr>
        <w:pStyle w:val="TOC2"/>
        <w:tabs>
          <w:tab w:val="right" w:leader="dot" w:pos="8306"/>
        </w:tabs>
      </w:pPr>
      <w:hyperlink w:anchor="_Toc22203" w:history="1">
        <w:r>
          <w:rPr>
            <w:rFonts w:ascii="仿宋" w:eastAsia="仿宋" w:hAnsi="仿宋" w:cs="仿宋" w:hint="eastAsia"/>
            <w:lang w:eastAsia="zh-CN"/>
          </w:rPr>
          <w:t>(一)、技术管理特点</w:t>
        </w:r>
        <w:r>
          <w:tab/>
        </w:r>
        <w:r>
          <w:fldChar w:fldCharType="begin"/>
        </w:r>
        <w:r>
          <w:instrText xml:space="preserve"> PAGEREF _Toc22203 \h </w:instrText>
        </w:r>
        <w:r>
          <w:fldChar w:fldCharType="separate"/>
        </w:r>
        <w:r>
          <w:t>9</w:t>
        </w:r>
        <w:r>
          <w:fldChar w:fldCharType="end"/>
        </w:r>
      </w:hyperlink>
    </w:p>
    <w:p>
      <w:pPr>
        <w:pStyle w:val="TOC2"/>
        <w:tabs>
          <w:tab w:val="right" w:leader="dot" w:pos="8306"/>
        </w:tabs>
      </w:pPr>
      <w:hyperlink w:anchor="_Toc23165" w:history="1">
        <w:r>
          <w:rPr>
            <w:rFonts w:ascii="仿宋" w:eastAsia="仿宋" w:hAnsi="仿宋" w:cs="仿宋" w:hint="eastAsia"/>
            <w:lang w:eastAsia="zh-CN"/>
          </w:rPr>
          <w:t>(二)、等离子体沉积和刻蚀设备项目工艺技术设计方案</w:t>
        </w:r>
        <w:r>
          <w:tab/>
        </w:r>
        <w:r>
          <w:fldChar w:fldCharType="begin"/>
        </w:r>
        <w:r>
          <w:instrText xml:space="preserve"> PAGEREF _Toc23165 \h </w:instrText>
        </w:r>
        <w:r>
          <w:fldChar w:fldCharType="separate"/>
        </w:r>
        <w:r>
          <w:t>10</w:t>
        </w:r>
        <w:r>
          <w:fldChar w:fldCharType="end"/>
        </w:r>
      </w:hyperlink>
    </w:p>
    <w:p>
      <w:pPr>
        <w:pStyle w:val="TOC2"/>
        <w:tabs>
          <w:tab w:val="right" w:leader="dot" w:pos="8306"/>
        </w:tabs>
      </w:pPr>
      <w:hyperlink w:anchor="_Toc23765" w:history="1">
        <w:r>
          <w:rPr>
            <w:rFonts w:ascii="仿宋" w:eastAsia="仿宋" w:hAnsi="仿宋" w:cs="仿宋" w:hint="eastAsia"/>
            <w:lang w:eastAsia="zh-CN"/>
          </w:rPr>
          <w:t>(三)、设备选型方案</w:t>
        </w:r>
        <w:r>
          <w:tab/>
        </w:r>
        <w:r>
          <w:fldChar w:fldCharType="begin"/>
        </w:r>
        <w:r>
          <w:instrText xml:space="preserve"> PAGEREF _Toc23765 \h </w:instrText>
        </w:r>
        <w:r>
          <w:fldChar w:fldCharType="separate"/>
        </w:r>
        <w:r>
          <w:t>11</w:t>
        </w:r>
        <w:r>
          <w:fldChar w:fldCharType="end"/>
        </w:r>
      </w:hyperlink>
    </w:p>
    <w:p>
      <w:pPr>
        <w:pStyle w:val="TOC1"/>
        <w:tabs>
          <w:tab w:val="right" w:leader="dot" w:pos="8306"/>
        </w:tabs>
      </w:pPr>
      <w:hyperlink w:anchor="_Toc12775" w:history="1">
        <w:r>
          <w:rPr>
            <w:rFonts w:ascii="仿宋" w:eastAsia="仿宋" w:hAnsi="仿宋" w:cs="仿宋" w:hint="eastAsia"/>
            <w:lang w:eastAsia="zh-CN"/>
          </w:rPr>
          <w:t>三、等离子体沉积和刻蚀设备项目文档管理</w:t>
        </w:r>
        <w:r>
          <w:tab/>
        </w:r>
        <w:r>
          <w:fldChar w:fldCharType="begin"/>
        </w:r>
        <w:r>
          <w:instrText xml:space="preserve"> PAGEREF _Toc12775 \h </w:instrText>
        </w:r>
        <w:r>
          <w:fldChar w:fldCharType="separate"/>
        </w:r>
        <w:r>
          <w:t>13</w:t>
        </w:r>
        <w:r>
          <w:fldChar w:fldCharType="end"/>
        </w:r>
      </w:hyperlink>
    </w:p>
    <w:p>
      <w:pPr>
        <w:pStyle w:val="TOC2"/>
        <w:tabs>
          <w:tab w:val="right" w:leader="dot" w:pos="8306"/>
        </w:tabs>
      </w:pPr>
      <w:hyperlink w:anchor="_Toc20370" w:history="1">
        <w:r>
          <w:rPr>
            <w:rFonts w:ascii="仿宋" w:eastAsia="仿宋" w:hAnsi="仿宋" w:cs="仿宋" w:hint="eastAsia"/>
            <w:lang w:eastAsia="zh-CN"/>
          </w:rPr>
          <w:t>(一)、文档编制与审查</w:t>
        </w:r>
        <w:r>
          <w:tab/>
        </w:r>
        <w:r>
          <w:fldChar w:fldCharType="begin"/>
        </w:r>
        <w:r>
          <w:instrText xml:space="preserve"> PAGEREF _Toc20370 \h </w:instrText>
        </w:r>
        <w:r>
          <w:fldChar w:fldCharType="separate"/>
        </w:r>
        <w:r>
          <w:t>13</w:t>
        </w:r>
        <w:r>
          <w:fldChar w:fldCharType="end"/>
        </w:r>
      </w:hyperlink>
    </w:p>
    <w:p>
      <w:pPr>
        <w:pStyle w:val="TOC2"/>
        <w:tabs>
          <w:tab w:val="right" w:leader="dot" w:pos="8306"/>
        </w:tabs>
      </w:pPr>
      <w:hyperlink w:anchor="_Toc19551" w:history="1">
        <w:r>
          <w:rPr>
            <w:rFonts w:ascii="仿宋" w:eastAsia="仿宋" w:hAnsi="仿宋" w:cs="仿宋" w:hint="eastAsia"/>
            <w:lang w:eastAsia="zh-CN"/>
          </w:rPr>
          <w:t>(二)、文档发布与分发</w:t>
        </w:r>
        <w:r>
          <w:tab/>
        </w:r>
        <w:r>
          <w:fldChar w:fldCharType="begin"/>
        </w:r>
        <w:r>
          <w:instrText xml:space="preserve"> PAGEREF _Toc19551 \h </w:instrText>
        </w:r>
        <w:r>
          <w:fldChar w:fldCharType="separate"/>
        </w:r>
        <w:r>
          <w:t>14</w:t>
        </w:r>
        <w:r>
          <w:fldChar w:fldCharType="end"/>
        </w:r>
      </w:hyperlink>
    </w:p>
    <w:p>
      <w:pPr>
        <w:pStyle w:val="TOC2"/>
        <w:tabs>
          <w:tab w:val="right" w:leader="dot" w:pos="8306"/>
        </w:tabs>
      </w:pPr>
      <w:hyperlink w:anchor="_Toc3900" w:history="1">
        <w:r>
          <w:rPr>
            <w:rFonts w:ascii="仿宋" w:eastAsia="仿宋" w:hAnsi="仿宋" w:cs="仿宋" w:hint="eastAsia"/>
            <w:lang w:eastAsia="zh-CN"/>
          </w:rPr>
          <w:t>(三)、文档存档与归档</w:t>
        </w:r>
        <w:r>
          <w:tab/>
        </w:r>
        <w:r>
          <w:fldChar w:fldCharType="begin"/>
        </w:r>
        <w:r>
          <w:instrText xml:space="preserve"> PAGEREF _Toc3900 \h </w:instrText>
        </w:r>
        <w:r>
          <w:fldChar w:fldCharType="separate"/>
        </w:r>
        <w:r>
          <w:t>15</w:t>
        </w:r>
        <w:r>
          <w:fldChar w:fldCharType="end"/>
        </w:r>
      </w:hyperlink>
    </w:p>
    <w:p>
      <w:pPr>
        <w:pStyle w:val="TOC1"/>
        <w:tabs>
          <w:tab w:val="right" w:leader="dot" w:pos="8306"/>
        </w:tabs>
      </w:pPr>
      <w:hyperlink w:anchor="_Toc10954" w:history="1">
        <w:r>
          <w:rPr>
            <w:rFonts w:ascii="仿宋" w:eastAsia="仿宋" w:hAnsi="仿宋" w:cs="仿宋" w:hint="eastAsia"/>
            <w:lang w:eastAsia="zh-CN"/>
          </w:rPr>
          <w:t>四、等离子体沉积和刻蚀设备项目土建工程</w:t>
        </w:r>
        <w:r>
          <w:tab/>
        </w:r>
        <w:r>
          <w:fldChar w:fldCharType="begin"/>
        </w:r>
        <w:r>
          <w:instrText xml:space="preserve"> PAGEREF _Toc10954 \h </w:instrText>
        </w:r>
        <w:r>
          <w:fldChar w:fldCharType="separate"/>
        </w:r>
        <w:r>
          <w:t>16</w:t>
        </w:r>
        <w:r>
          <w:fldChar w:fldCharType="end"/>
        </w:r>
      </w:hyperlink>
    </w:p>
    <w:p>
      <w:pPr>
        <w:pStyle w:val="TOC2"/>
        <w:tabs>
          <w:tab w:val="right" w:leader="dot" w:pos="8306"/>
        </w:tabs>
      </w:pPr>
      <w:hyperlink w:anchor="_Toc15325" w:history="1">
        <w:r>
          <w:rPr>
            <w:rFonts w:ascii="仿宋" w:eastAsia="仿宋" w:hAnsi="仿宋" w:cs="仿宋" w:hint="eastAsia"/>
            <w:lang w:eastAsia="zh-CN"/>
          </w:rPr>
          <w:t>(一)、建筑工程设计原则</w:t>
        </w:r>
        <w:r>
          <w:tab/>
        </w:r>
        <w:r>
          <w:fldChar w:fldCharType="begin"/>
        </w:r>
        <w:r>
          <w:instrText xml:space="preserve"> PAGEREF _Toc15325 \h </w:instrText>
        </w:r>
        <w:r>
          <w:fldChar w:fldCharType="separate"/>
        </w:r>
        <w:r>
          <w:t>16</w:t>
        </w:r>
        <w:r>
          <w:fldChar w:fldCharType="end"/>
        </w:r>
      </w:hyperlink>
    </w:p>
    <w:p>
      <w:pPr>
        <w:pStyle w:val="TOC2"/>
        <w:tabs>
          <w:tab w:val="right" w:leader="dot" w:pos="8306"/>
        </w:tabs>
      </w:pPr>
      <w:hyperlink w:anchor="_Toc27870" w:history="1">
        <w:r>
          <w:rPr>
            <w:rFonts w:ascii="仿宋" w:eastAsia="仿宋" w:hAnsi="仿宋" w:cs="仿宋" w:hint="eastAsia"/>
            <w:lang w:eastAsia="zh-CN"/>
          </w:rPr>
          <w:t>(二)、土建工程设计年限及安全等级</w:t>
        </w:r>
        <w:r>
          <w:tab/>
        </w:r>
        <w:r>
          <w:fldChar w:fldCharType="begin"/>
        </w:r>
        <w:r>
          <w:instrText xml:space="preserve"> PAGEREF _Toc27870 \h </w:instrText>
        </w:r>
        <w:r>
          <w:fldChar w:fldCharType="separate"/>
        </w:r>
        <w:r>
          <w:t>18</w:t>
        </w:r>
        <w:r>
          <w:fldChar w:fldCharType="end"/>
        </w:r>
      </w:hyperlink>
    </w:p>
    <w:p>
      <w:pPr>
        <w:pStyle w:val="TOC2"/>
        <w:tabs>
          <w:tab w:val="right" w:leader="dot" w:pos="8306"/>
        </w:tabs>
      </w:pPr>
      <w:hyperlink w:anchor="_Toc16096" w:history="1">
        <w:r>
          <w:rPr>
            <w:rFonts w:ascii="仿宋" w:eastAsia="仿宋" w:hAnsi="仿宋" w:cs="仿宋" w:hint="eastAsia"/>
            <w:lang w:eastAsia="zh-CN"/>
          </w:rPr>
          <w:t>(三)、建筑工程设计总体要求</w:t>
        </w:r>
        <w:r>
          <w:tab/>
        </w:r>
        <w:r>
          <w:fldChar w:fldCharType="begin"/>
        </w:r>
        <w:r>
          <w:instrText xml:space="preserve"> PAGEREF _Toc16096 \h </w:instrText>
        </w:r>
        <w:r>
          <w:fldChar w:fldCharType="separate"/>
        </w:r>
        <w:r>
          <w:t>19</w:t>
        </w:r>
        <w:r>
          <w:fldChar w:fldCharType="end"/>
        </w:r>
      </w:hyperlink>
    </w:p>
    <w:p>
      <w:pPr>
        <w:pStyle w:val="TOC2"/>
        <w:tabs>
          <w:tab w:val="right" w:leader="dot" w:pos="8306"/>
        </w:tabs>
      </w:pPr>
      <w:hyperlink w:anchor="_Toc9399" w:history="1">
        <w:r>
          <w:rPr>
            <w:rFonts w:ascii="仿宋" w:eastAsia="仿宋" w:hAnsi="仿宋" w:cs="仿宋" w:hint="eastAsia"/>
            <w:lang w:eastAsia="zh-CN"/>
          </w:rPr>
          <w:t>(四)、土建工程建设指标</w:t>
        </w:r>
        <w:r>
          <w:tab/>
        </w:r>
        <w:r>
          <w:fldChar w:fldCharType="begin"/>
        </w:r>
        <w:r>
          <w:instrText xml:space="preserve"> PAGEREF _Toc9399 \h </w:instrText>
        </w:r>
        <w:r>
          <w:fldChar w:fldCharType="separate"/>
        </w:r>
        <w:r>
          <w:t>19</w:t>
        </w:r>
        <w:r>
          <w:fldChar w:fldCharType="end"/>
        </w:r>
      </w:hyperlink>
    </w:p>
    <w:p>
      <w:pPr>
        <w:pStyle w:val="TOC1"/>
        <w:tabs>
          <w:tab w:val="right" w:leader="dot" w:pos="8306"/>
        </w:tabs>
      </w:pPr>
      <w:hyperlink w:anchor="_Toc32457" w:history="1">
        <w:r>
          <w:rPr>
            <w:rFonts w:ascii="仿宋" w:eastAsia="仿宋" w:hAnsi="仿宋" w:cs="仿宋" w:hint="eastAsia"/>
            <w:lang w:eastAsia="zh-CN"/>
          </w:rPr>
          <w:t>五、等离子体沉积和刻蚀设备项目概论</w:t>
        </w:r>
        <w:r>
          <w:tab/>
        </w:r>
        <w:r>
          <w:fldChar w:fldCharType="begin"/>
        </w:r>
        <w:r>
          <w:instrText xml:space="preserve"> PAGEREF _Toc32457 \h </w:instrText>
        </w:r>
        <w:r>
          <w:fldChar w:fldCharType="separate"/>
        </w:r>
        <w:r>
          <w:t>20</w:t>
        </w:r>
        <w:r>
          <w:fldChar w:fldCharType="end"/>
        </w:r>
      </w:hyperlink>
    </w:p>
    <w:p>
      <w:pPr>
        <w:pStyle w:val="TOC2"/>
        <w:tabs>
          <w:tab w:val="right" w:leader="dot" w:pos="8306"/>
        </w:tabs>
      </w:pPr>
      <w:hyperlink w:anchor="_Toc12355" w:history="1">
        <w:r>
          <w:rPr>
            <w:rFonts w:ascii="仿宋" w:eastAsia="仿宋" w:hAnsi="仿宋" w:cs="仿宋" w:hint="eastAsia"/>
            <w:lang w:eastAsia="zh-CN"/>
          </w:rPr>
          <w:t>(一)、等离子体沉积和刻蚀设备项目概况</w:t>
        </w:r>
        <w:r>
          <w:tab/>
        </w:r>
        <w:r>
          <w:fldChar w:fldCharType="begin"/>
        </w:r>
        <w:r>
          <w:instrText xml:space="preserve"> PAGEREF _Toc12355 \h </w:instrText>
        </w:r>
        <w:r>
          <w:fldChar w:fldCharType="separate"/>
        </w:r>
        <w:r>
          <w:t>20</w:t>
        </w:r>
        <w:r>
          <w:fldChar w:fldCharType="end"/>
        </w:r>
      </w:hyperlink>
    </w:p>
    <w:p>
      <w:pPr>
        <w:pStyle w:val="TOC2"/>
        <w:tabs>
          <w:tab w:val="right" w:leader="dot" w:pos="8306"/>
        </w:tabs>
      </w:pPr>
      <w:hyperlink w:anchor="_Toc30073" w:history="1">
        <w:r>
          <w:rPr>
            <w:rFonts w:ascii="仿宋" w:eastAsia="仿宋" w:hAnsi="仿宋" w:cs="仿宋" w:hint="eastAsia"/>
            <w:lang w:eastAsia="zh-CN"/>
          </w:rPr>
          <w:t>(二)、等离子体沉积和刻蚀设备项目目标</w:t>
        </w:r>
        <w:r>
          <w:tab/>
        </w:r>
        <w:r>
          <w:fldChar w:fldCharType="begin"/>
        </w:r>
        <w:r>
          <w:instrText xml:space="preserve"> PAGEREF _Toc30073 \h </w:instrText>
        </w:r>
        <w:r>
          <w:fldChar w:fldCharType="separate"/>
        </w:r>
        <w:r>
          <w:t>22</w:t>
        </w:r>
        <w:r>
          <w:fldChar w:fldCharType="end"/>
        </w:r>
      </w:hyperlink>
    </w:p>
    <w:p>
      <w:pPr>
        <w:pStyle w:val="TOC2"/>
        <w:tabs>
          <w:tab w:val="right" w:leader="dot" w:pos="8306"/>
        </w:tabs>
      </w:pPr>
      <w:hyperlink w:anchor="_Toc3801" w:history="1">
        <w:r>
          <w:rPr>
            <w:rFonts w:ascii="仿宋" w:eastAsia="仿宋" w:hAnsi="仿宋" w:cs="仿宋" w:hint="eastAsia"/>
            <w:lang w:eastAsia="zh-CN"/>
          </w:rPr>
          <w:t>(三)、等离子体沉积和刻蚀设备项目提出的理由</w:t>
        </w:r>
        <w:r>
          <w:tab/>
        </w:r>
        <w:r>
          <w:fldChar w:fldCharType="begin"/>
        </w:r>
        <w:r>
          <w:instrText xml:space="preserve"> PAGEREF _Toc3801 \h </w:instrText>
        </w:r>
        <w:r>
          <w:fldChar w:fldCharType="separate"/>
        </w:r>
        <w:r>
          <w:t>23</w:t>
        </w:r>
        <w:r>
          <w:fldChar w:fldCharType="end"/>
        </w:r>
      </w:hyperlink>
    </w:p>
    <w:p>
      <w:pPr>
        <w:pStyle w:val="TOC2"/>
        <w:tabs>
          <w:tab w:val="right" w:leader="dot" w:pos="8306"/>
        </w:tabs>
      </w:pPr>
      <w:hyperlink w:anchor="_Toc26083" w:history="1">
        <w:r>
          <w:rPr>
            <w:rFonts w:ascii="仿宋" w:eastAsia="仿宋" w:hAnsi="仿宋" w:cs="仿宋" w:hint="eastAsia"/>
            <w:lang w:eastAsia="zh-CN"/>
          </w:rPr>
          <w:t>(四)、等离子体沉积和刻蚀设备项目意义</w:t>
        </w:r>
        <w:r>
          <w:tab/>
        </w:r>
        <w:r>
          <w:fldChar w:fldCharType="begin"/>
        </w:r>
        <w:r>
          <w:instrText xml:space="preserve"> PAGEREF _Toc26083 \h </w:instrText>
        </w:r>
        <w:r>
          <w:fldChar w:fldCharType="separate"/>
        </w:r>
        <w:r>
          <w:t>25</w:t>
        </w:r>
        <w:r>
          <w:fldChar w:fldCharType="end"/>
        </w:r>
      </w:hyperlink>
    </w:p>
    <w:p>
      <w:pPr>
        <w:pStyle w:val="TOC2"/>
        <w:tabs>
          <w:tab w:val="right" w:leader="dot" w:pos="8306"/>
        </w:tabs>
      </w:pPr>
      <w:hyperlink w:anchor="_Toc7349" w:history="1">
        <w:r>
          <w:rPr>
            <w:rFonts w:ascii="仿宋" w:eastAsia="仿宋" w:hAnsi="仿宋" w:cs="仿宋" w:hint="eastAsia"/>
            <w:lang w:eastAsia="zh-CN"/>
          </w:rPr>
          <w:t>(五)、等离子体沉积和刻蚀设备项目背景</w:t>
        </w:r>
        <w:r>
          <w:tab/>
        </w:r>
        <w:r>
          <w:fldChar w:fldCharType="begin"/>
        </w:r>
        <w:r>
          <w:instrText xml:space="preserve"> PAGEREF _Toc7349 \h </w:instrText>
        </w:r>
        <w:r>
          <w:fldChar w:fldCharType="separate"/>
        </w:r>
        <w:r>
          <w:t>26</w:t>
        </w:r>
        <w:r>
          <w:fldChar w:fldCharType="end"/>
        </w:r>
      </w:hyperlink>
    </w:p>
    <w:p>
      <w:pPr>
        <w:pStyle w:val="TOC1"/>
        <w:tabs>
          <w:tab w:val="right" w:leader="dot" w:pos="8306"/>
        </w:tabs>
      </w:pPr>
      <w:hyperlink w:anchor="_Toc5150" w:history="1">
        <w:r>
          <w:rPr>
            <w:rFonts w:ascii="仿宋" w:eastAsia="仿宋" w:hAnsi="仿宋" w:cs="仿宋" w:hint="eastAsia"/>
            <w:lang w:eastAsia="zh-CN"/>
          </w:rPr>
          <w:t>六、等离子体沉积和刻蚀设备项目危机管理</w:t>
        </w:r>
        <w:r>
          <w:tab/>
        </w:r>
        <w:r>
          <w:fldChar w:fldCharType="begin"/>
        </w:r>
        <w:r>
          <w:instrText xml:space="preserve"> PAGEREF _Toc5150 \h </w:instrText>
        </w:r>
        <w:r>
          <w:fldChar w:fldCharType="separate"/>
        </w:r>
        <w:r>
          <w:t>27</w:t>
        </w:r>
        <w:r>
          <w:fldChar w:fldCharType="end"/>
        </w:r>
      </w:hyperlink>
    </w:p>
    <w:p>
      <w:pPr>
        <w:pStyle w:val="TOC2"/>
        <w:tabs>
          <w:tab w:val="right" w:leader="dot" w:pos="8306"/>
        </w:tabs>
      </w:pPr>
      <w:hyperlink w:anchor="_Toc11060" w:history="1">
        <w:r>
          <w:rPr>
            <w:rFonts w:ascii="仿宋" w:eastAsia="仿宋" w:hAnsi="仿宋" w:cs="仿宋" w:hint="eastAsia"/>
            <w:lang w:eastAsia="zh-CN"/>
          </w:rPr>
          <w:t>(一)、危机预警与识别</w:t>
        </w:r>
        <w:r>
          <w:tab/>
        </w:r>
        <w:r>
          <w:fldChar w:fldCharType="begin"/>
        </w:r>
        <w:r>
          <w:instrText xml:space="preserve"> PAGEREF _Toc11060 \h </w:instrText>
        </w:r>
        <w:r>
          <w:fldChar w:fldCharType="separate"/>
        </w:r>
        <w:r>
          <w:t>27</w:t>
        </w:r>
        <w:r>
          <w:fldChar w:fldCharType="end"/>
        </w:r>
      </w:hyperlink>
    </w:p>
    <w:p>
      <w:pPr>
        <w:pStyle w:val="TOC2"/>
        <w:tabs>
          <w:tab w:val="right" w:leader="dot" w:pos="8306"/>
        </w:tabs>
      </w:pPr>
      <w:hyperlink w:anchor="_Toc15150" w:history="1">
        <w:r>
          <w:rPr>
            <w:rFonts w:ascii="仿宋" w:eastAsia="仿宋" w:hAnsi="仿宋" w:cs="仿宋" w:hint="eastAsia"/>
            <w:lang w:eastAsia="zh-CN"/>
          </w:rPr>
          <w:t>(二)、危机应对与恢复</w:t>
        </w:r>
        <w:r>
          <w:tab/>
        </w:r>
        <w:r>
          <w:fldChar w:fldCharType="begin"/>
        </w:r>
        <w:r>
          <w:instrText xml:space="preserve"> PAGEREF _Toc15150 \h </w:instrText>
        </w:r>
        <w:r>
          <w:fldChar w:fldCharType="separate"/>
        </w:r>
        <w:r>
          <w:t>28</w:t>
        </w:r>
        <w:r>
          <w:fldChar w:fldCharType="end"/>
        </w:r>
      </w:hyperlink>
    </w:p>
    <w:p>
      <w:pPr>
        <w:pStyle w:val="TOC1"/>
        <w:tabs>
          <w:tab w:val="right" w:leader="dot" w:pos="8306"/>
        </w:tabs>
      </w:pPr>
      <w:hyperlink w:anchor="_Toc25599" w:history="1">
        <w:r>
          <w:rPr>
            <w:rFonts w:ascii="仿宋" w:eastAsia="仿宋" w:hAnsi="仿宋" w:cs="仿宋" w:hint="eastAsia"/>
            <w:lang w:eastAsia="zh-CN"/>
          </w:rPr>
          <w:t>七、等离子体沉积和刻蚀设备项目人力资源培养与发展</w:t>
        </w:r>
        <w:r>
          <w:tab/>
        </w:r>
        <w:r>
          <w:fldChar w:fldCharType="begin"/>
        </w:r>
        <w:r>
          <w:instrText xml:space="preserve"> PAGEREF _Toc25599 \h </w:instrText>
        </w:r>
        <w:r>
          <w:fldChar w:fldCharType="separate"/>
        </w:r>
        <w:r>
          <w:t>30</w:t>
        </w:r>
        <w:r>
          <w:fldChar w:fldCharType="end"/>
        </w:r>
      </w:hyperlink>
    </w:p>
    <w:p>
      <w:pPr>
        <w:pStyle w:val="TOC2"/>
        <w:tabs>
          <w:tab w:val="right" w:leader="dot" w:pos="8306"/>
        </w:tabs>
      </w:pPr>
      <w:hyperlink w:anchor="_Toc5632" w:history="1">
        <w:r>
          <w:rPr>
            <w:rFonts w:ascii="仿宋" w:eastAsia="仿宋" w:hAnsi="仿宋" w:cs="仿宋" w:hint="eastAsia"/>
            <w:lang w:eastAsia="zh-CN"/>
          </w:rPr>
          <w:t>(一)、人才需求与规划</w:t>
        </w:r>
        <w:r>
          <w:tab/>
        </w:r>
        <w:r>
          <w:fldChar w:fldCharType="begin"/>
        </w:r>
        <w:r>
          <w:instrText xml:space="preserve"> PAGEREF _Toc5632 \h </w:instrText>
        </w:r>
        <w:r>
          <w:fldChar w:fldCharType="separate"/>
        </w:r>
        <w:r>
          <w:t>30</w:t>
        </w:r>
        <w:r>
          <w:fldChar w:fldCharType="end"/>
        </w:r>
      </w:hyperlink>
    </w:p>
    <w:p>
      <w:pPr>
        <w:pStyle w:val="TOC2"/>
        <w:tabs>
          <w:tab w:val="right" w:leader="dot" w:pos="8306"/>
        </w:tabs>
      </w:pPr>
      <w:hyperlink w:anchor="_Toc5771" w:history="1">
        <w:r>
          <w:rPr>
            <w:rFonts w:ascii="仿宋" w:eastAsia="仿宋" w:hAnsi="仿宋" w:cs="仿宋" w:hint="eastAsia"/>
            <w:lang w:eastAsia="zh-CN"/>
          </w:rPr>
          <w:t>(二)、培训与发展计划</w:t>
        </w:r>
        <w:r>
          <w:tab/>
        </w:r>
        <w:r>
          <w:fldChar w:fldCharType="begin"/>
        </w:r>
        <w:r>
          <w:instrText xml:space="preserve"> PAGEREF _Toc5771 \h </w:instrText>
        </w:r>
        <w:r>
          <w:fldChar w:fldCharType="separate"/>
        </w:r>
        <w:r>
          <w:t>30</w:t>
        </w:r>
        <w:r>
          <w:fldChar w:fldCharType="end"/>
        </w:r>
      </w:hyperlink>
    </w:p>
    <w:p>
      <w:pPr>
        <w:pStyle w:val="TOC1"/>
        <w:tabs>
          <w:tab w:val="right" w:leader="dot" w:pos="8306"/>
        </w:tabs>
      </w:pPr>
      <w:hyperlink w:anchor="_Toc15730" w:history="1">
        <w:r>
          <w:rPr>
            <w:rFonts w:ascii="仿宋" w:eastAsia="仿宋" w:hAnsi="仿宋" w:cs="仿宋" w:hint="eastAsia"/>
            <w:lang w:eastAsia="zh-CN"/>
          </w:rPr>
          <w:t>八、生产安全保护</w:t>
        </w:r>
        <w:r>
          <w:tab/>
        </w:r>
        <w:r>
          <w:fldChar w:fldCharType="begin"/>
        </w:r>
        <w:r>
          <w:instrText xml:space="preserve"> PAGEREF _Toc15730 \h </w:instrText>
        </w:r>
        <w:r>
          <w:fldChar w:fldCharType="separate"/>
        </w:r>
        <w:r>
          <w:t>31</w:t>
        </w:r>
        <w:r>
          <w:fldChar w:fldCharType="end"/>
        </w:r>
      </w:hyperlink>
    </w:p>
    <w:p>
      <w:pPr>
        <w:pStyle w:val="TOC2"/>
        <w:tabs>
          <w:tab w:val="right" w:leader="dot" w:pos="8306"/>
        </w:tabs>
      </w:pPr>
      <w:hyperlink w:anchor="_Toc19092" w:history="1">
        <w:r>
          <w:rPr>
            <w:rFonts w:ascii="仿宋" w:eastAsia="仿宋" w:hAnsi="仿宋" w:cs="仿宋" w:hint="eastAsia"/>
            <w:lang w:eastAsia="zh-CN"/>
          </w:rPr>
          <w:t>(一)、消防安全</w:t>
        </w:r>
        <w:r>
          <w:tab/>
        </w:r>
        <w:r>
          <w:fldChar w:fldCharType="begin"/>
        </w:r>
        <w:r>
          <w:instrText xml:space="preserve"> PAGEREF _Toc19092 \h </w:instrText>
        </w:r>
        <w:r>
          <w:fldChar w:fldCharType="separate"/>
        </w:r>
        <w:r>
          <w:t>31</w:t>
        </w:r>
        <w:r>
          <w:fldChar w:fldCharType="end"/>
        </w:r>
      </w:hyperlink>
    </w:p>
    <w:p>
      <w:pPr>
        <w:pStyle w:val="TOC2"/>
        <w:tabs>
          <w:tab w:val="right" w:leader="dot" w:pos="8306"/>
        </w:tabs>
      </w:pPr>
      <w:hyperlink w:anchor="_Toc27480" w:history="1">
        <w:r>
          <w:rPr>
            <w:rFonts w:ascii="仿宋" w:eastAsia="仿宋" w:hAnsi="仿宋" w:cs="仿宋" w:hint="eastAsia"/>
            <w:lang w:eastAsia="zh-CN"/>
          </w:rPr>
          <w:t>(二)、防火防爆总图布置措施</w:t>
        </w:r>
        <w:r>
          <w:tab/>
        </w:r>
        <w:r>
          <w:fldChar w:fldCharType="begin"/>
        </w:r>
        <w:r>
          <w:instrText xml:space="preserve"> PAGEREF _Toc27480 \h </w:instrText>
        </w:r>
        <w:r>
          <w:fldChar w:fldCharType="separate"/>
        </w:r>
        <w:r>
          <w:t>33</w:t>
        </w:r>
        <w:r>
          <w:fldChar w:fldCharType="end"/>
        </w:r>
      </w:hyperlink>
    </w:p>
    <w:p>
      <w:pPr>
        <w:pStyle w:val="TOC2"/>
        <w:tabs>
          <w:tab w:val="right" w:leader="dot" w:pos="8306"/>
        </w:tabs>
      </w:pPr>
      <w:hyperlink w:anchor="_Toc1921" w:history="1">
        <w:r>
          <w:rPr>
            <w:rFonts w:ascii="仿宋" w:eastAsia="仿宋" w:hAnsi="仿宋" w:cs="仿宋" w:hint="eastAsia"/>
            <w:lang w:eastAsia="zh-CN"/>
          </w:rPr>
          <w:t>(三)、自然灾害防范措施</w:t>
        </w:r>
        <w:r>
          <w:tab/>
        </w:r>
        <w:r>
          <w:fldChar w:fldCharType="begin"/>
        </w:r>
        <w:r>
          <w:instrText xml:space="preserve"> PAGEREF _Toc1921 \h </w:instrText>
        </w:r>
        <w:r>
          <w:fldChar w:fldCharType="separate"/>
        </w:r>
        <w:r>
          <w:t>33</w:t>
        </w:r>
        <w:r>
          <w:fldChar w:fldCharType="end"/>
        </w:r>
      </w:hyperlink>
    </w:p>
    <w:p>
      <w:pPr>
        <w:pStyle w:val="TOC2"/>
        <w:tabs>
          <w:tab w:val="right" w:leader="dot" w:pos="8306"/>
        </w:tabs>
      </w:pPr>
      <w:hyperlink w:anchor="_Toc29400" w:history="1">
        <w:r>
          <w:rPr>
            <w:rFonts w:ascii="仿宋" w:eastAsia="仿宋" w:hAnsi="仿宋" w:cs="仿宋" w:hint="eastAsia"/>
            <w:lang w:eastAsia="zh-CN"/>
          </w:rPr>
          <w:t>(四)、安全色及安全标志使用要求</w:t>
        </w:r>
        <w:r>
          <w:tab/>
        </w:r>
        <w:r>
          <w:fldChar w:fldCharType="begin"/>
        </w:r>
        <w:r>
          <w:instrText xml:space="preserve"> PAGEREF _Toc29400 \h </w:instrText>
        </w:r>
        <w:r>
          <w:fldChar w:fldCharType="separate"/>
        </w:r>
        <w:r>
          <w:t>35</w:t>
        </w:r>
        <w:r>
          <w:fldChar w:fldCharType="end"/>
        </w:r>
      </w:hyperlink>
    </w:p>
    <w:p>
      <w:pPr>
        <w:pStyle w:val="TOC2"/>
        <w:tabs>
          <w:tab w:val="right" w:leader="dot" w:pos="8306"/>
        </w:tabs>
      </w:pPr>
      <w:hyperlink w:anchor="_Toc32720" w:history="1">
        <w:r>
          <w:rPr>
            <w:rFonts w:ascii="仿宋" w:eastAsia="仿宋" w:hAnsi="仿宋" w:cs="仿宋" w:hint="eastAsia"/>
            <w:lang w:eastAsia="zh-CN"/>
          </w:rPr>
          <w:t>(五)、防尘防毒措施</w:t>
        </w:r>
        <w:r>
          <w:tab/>
        </w:r>
        <w:r>
          <w:fldChar w:fldCharType="begin"/>
        </w:r>
        <w:r>
          <w:instrText xml:space="preserve"> PAGEREF _Toc32720 \h </w:instrText>
        </w:r>
        <w:r>
          <w:fldChar w:fldCharType="separate"/>
        </w:r>
        <w:r>
          <w:t>36</w:t>
        </w:r>
        <w:r>
          <w:fldChar w:fldCharType="end"/>
        </w:r>
      </w:hyperlink>
    </w:p>
    <w:p>
      <w:pPr>
        <w:pStyle w:val="TOC2"/>
        <w:tabs>
          <w:tab w:val="right" w:leader="dot" w:pos="8306"/>
        </w:tabs>
      </w:pPr>
      <w:hyperlink w:anchor="_Toc158" w:history="1">
        <w:r>
          <w:rPr>
            <w:rFonts w:ascii="仿宋" w:eastAsia="仿宋" w:hAnsi="仿宋" w:cs="仿宋" w:hint="eastAsia"/>
            <w:lang w:eastAsia="zh-CN"/>
          </w:rPr>
          <w:t>(六)、防静电、触电防护及防雷措施</w:t>
        </w:r>
        <w:r>
          <w:tab/>
        </w:r>
        <w:r>
          <w:fldChar w:fldCharType="begin"/>
        </w:r>
        <w:r>
          <w:instrText xml:space="preserve"> PAGEREF _Toc158 \h </w:instrText>
        </w:r>
        <w:r>
          <w:fldChar w:fldCharType="separate"/>
        </w:r>
        <w:r>
          <w:t>37</w:t>
        </w:r>
        <w:r>
          <w:fldChar w:fldCharType="end"/>
        </w:r>
      </w:hyperlink>
    </w:p>
    <w:p>
      <w:pPr>
        <w:pStyle w:val="TOC2"/>
        <w:tabs>
          <w:tab w:val="right" w:leader="dot" w:pos="8306"/>
        </w:tabs>
      </w:pPr>
      <w:hyperlink w:anchor="_Toc2302" w:history="1">
        <w:r>
          <w:rPr>
            <w:rFonts w:ascii="仿宋" w:eastAsia="仿宋" w:hAnsi="仿宋" w:cs="仿宋" w:hint="eastAsia"/>
            <w:lang w:eastAsia="zh-CN"/>
          </w:rPr>
          <w:t>(七)、机械设备安全保障措施</w:t>
        </w:r>
        <w:r>
          <w:tab/>
        </w:r>
        <w:r>
          <w:fldChar w:fldCharType="begin"/>
        </w:r>
        <w:r>
          <w:instrText xml:space="preserve"> PAGEREF _Toc2302 \h </w:instrText>
        </w:r>
        <w:r>
          <w:fldChar w:fldCharType="separate"/>
        </w:r>
        <w:r>
          <w:t>38</w:t>
        </w:r>
        <w:r>
          <w:fldChar w:fldCharType="end"/>
        </w:r>
      </w:hyperlink>
    </w:p>
    <w:p>
      <w:pPr>
        <w:pStyle w:val="TOC1"/>
        <w:tabs>
          <w:tab w:val="right" w:leader="dot" w:pos="8306"/>
        </w:tabs>
      </w:pPr>
      <w:hyperlink w:anchor="_Toc2484" w:history="1">
        <w:r>
          <w:rPr>
            <w:rFonts w:ascii="仿宋" w:eastAsia="仿宋" w:hAnsi="仿宋" w:cs="仿宋" w:hint="eastAsia"/>
            <w:lang w:eastAsia="zh-CN"/>
          </w:rPr>
          <w:t>九、等离子体沉积和刻蚀设备项目风险管理</w:t>
        </w:r>
        <w:r>
          <w:tab/>
        </w:r>
        <w:r>
          <w:fldChar w:fldCharType="begin"/>
        </w:r>
        <w:r>
          <w:instrText xml:space="preserve"> PAGEREF _Toc2484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29" w:history="1">
        <w:r>
          <w:rPr>
            <w:rFonts w:ascii="仿宋" w:eastAsia="仿宋" w:hAnsi="仿宋" w:cs="仿宋" w:hint="eastAsia"/>
            <w:lang w:eastAsia="zh-CN"/>
          </w:rPr>
          <w:t>(一)、风险识别与评估</w:t>
        </w:r>
        <w:r>
          <w:tab/>
        </w:r>
        <w:r>
          <w:fldChar w:fldCharType="begin"/>
        </w:r>
        <w:r>
          <w:instrText xml:space="preserve"> PAGEREF _Toc19329 \h </w:instrText>
        </w:r>
        <w:r>
          <w:fldChar w:fldCharType="separate"/>
        </w:r>
        <w:r>
          <w:t>40</w:t>
        </w:r>
        <w:r>
          <w:fldChar w:fldCharType="end"/>
        </w:r>
      </w:hyperlink>
    </w:p>
    <w:p>
      <w:pPr>
        <w:pStyle w:val="TOC2"/>
        <w:tabs>
          <w:tab w:val="right" w:leader="dot" w:pos="8306"/>
        </w:tabs>
      </w:pPr>
      <w:hyperlink w:anchor="_Toc17916" w:history="1">
        <w:r>
          <w:rPr>
            <w:rFonts w:ascii="仿宋" w:eastAsia="仿宋" w:hAnsi="仿宋" w:cs="仿宋" w:hint="eastAsia"/>
            <w:lang w:eastAsia="zh-CN"/>
          </w:rPr>
          <w:t>(二)、风险应对策略</w:t>
        </w:r>
        <w:r>
          <w:tab/>
        </w:r>
        <w:r>
          <w:fldChar w:fldCharType="begin"/>
        </w:r>
        <w:r>
          <w:instrText xml:space="preserve"> PAGEREF _Toc17916 \h </w:instrText>
        </w:r>
        <w:r>
          <w:fldChar w:fldCharType="separate"/>
        </w:r>
        <w:r>
          <w:t>41</w:t>
        </w:r>
        <w:r>
          <w:fldChar w:fldCharType="end"/>
        </w:r>
      </w:hyperlink>
    </w:p>
    <w:p>
      <w:pPr>
        <w:pStyle w:val="TOC2"/>
        <w:tabs>
          <w:tab w:val="right" w:leader="dot" w:pos="8306"/>
        </w:tabs>
      </w:pPr>
      <w:hyperlink w:anchor="_Toc13268" w:history="1">
        <w:r>
          <w:rPr>
            <w:rFonts w:ascii="仿宋" w:eastAsia="仿宋" w:hAnsi="仿宋" w:cs="仿宋" w:hint="eastAsia"/>
            <w:lang w:eastAsia="zh-CN"/>
          </w:rPr>
          <w:t>(三)、风险监控与控制</w:t>
        </w:r>
        <w:r>
          <w:tab/>
        </w:r>
        <w:r>
          <w:fldChar w:fldCharType="begin"/>
        </w:r>
        <w:r>
          <w:instrText xml:space="preserve"> PAGEREF _Toc13268 \h </w:instrText>
        </w:r>
        <w:r>
          <w:fldChar w:fldCharType="separate"/>
        </w:r>
        <w:r>
          <w:t>43</w:t>
        </w:r>
        <w:r>
          <w:fldChar w:fldCharType="end"/>
        </w:r>
      </w:hyperlink>
    </w:p>
    <w:p>
      <w:pPr>
        <w:pStyle w:val="TOC1"/>
        <w:tabs>
          <w:tab w:val="right" w:leader="dot" w:pos="8306"/>
        </w:tabs>
      </w:pPr>
      <w:hyperlink w:anchor="_Toc15266" w:history="1">
        <w:r>
          <w:rPr>
            <w:rFonts w:ascii="仿宋" w:eastAsia="仿宋" w:hAnsi="仿宋" w:cs="仿宋" w:hint="eastAsia"/>
            <w:lang w:eastAsia="zh-CN"/>
          </w:rPr>
          <w:t>十、等离子体沉积和刻蚀设备项目经营效益</w:t>
        </w:r>
        <w:r>
          <w:tab/>
        </w:r>
        <w:r>
          <w:fldChar w:fldCharType="begin"/>
        </w:r>
        <w:r>
          <w:instrText xml:space="preserve"> PAGEREF _Toc15266 \h </w:instrText>
        </w:r>
        <w:r>
          <w:fldChar w:fldCharType="separate"/>
        </w:r>
        <w:r>
          <w:t>44</w:t>
        </w:r>
        <w:r>
          <w:fldChar w:fldCharType="end"/>
        </w:r>
      </w:hyperlink>
    </w:p>
    <w:p>
      <w:pPr>
        <w:pStyle w:val="TOC2"/>
        <w:tabs>
          <w:tab w:val="right" w:leader="dot" w:pos="8306"/>
        </w:tabs>
      </w:pPr>
      <w:hyperlink w:anchor="_Toc13478" w:history="1">
        <w:r>
          <w:rPr>
            <w:rFonts w:ascii="仿宋" w:eastAsia="仿宋" w:hAnsi="仿宋" w:cs="仿宋" w:hint="eastAsia"/>
            <w:lang w:eastAsia="zh-CN"/>
          </w:rPr>
          <w:t>(一)、经济评价财务测算</w:t>
        </w:r>
        <w:r>
          <w:tab/>
        </w:r>
        <w:r>
          <w:fldChar w:fldCharType="begin"/>
        </w:r>
        <w:r>
          <w:instrText xml:space="preserve"> PAGEREF _Toc13478 \h </w:instrText>
        </w:r>
        <w:r>
          <w:fldChar w:fldCharType="separate"/>
        </w:r>
        <w:r>
          <w:t>44</w:t>
        </w:r>
        <w:r>
          <w:fldChar w:fldCharType="end"/>
        </w:r>
      </w:hyperlink>
    </w:p>
    <w:p>
      <w:pPr>
        <w:pStyle w:val="TOC2"/>
        <w:tabs>
          <w:tab w:val="right" w:leader="dot" w:pos="8306"/>
        </w:tabs>
      </w:pPr>
      <w:hyperlink w:anchor="_Toc19202" w:history="1">
        <w:r>
          <w:rPr>
            <w:rFonts w:ascii="仿宋" w:eastAsia="仿宋" w:hAnsi="仿宋" w:cs="仿宋" w:hint="eastAsia"/>
            <w:lang w:eastAsia="zh-CN"/>
          </w:rPr>
          <w:t>(二)、等离子体沉积和刻蚀设备项目盈利能力分析</w:t>
        </w:r>
        <w:r>
          <w:tab/>
        </w:r>
        <w:r>
          <w:fldChar w:fldCharType="begin"/>
        </w:r>
        <w:r>
          <w:instrText xml:space="preserve"> PAGEREF _Toc19202 \h </w:instrText>
        </w:r>
        <w:r>
          <w:fldChar w:fldCharType="separate"/>
        </w:r>
        <w:r>
          <w:t>45</w:t>
        </w:r>
        <w:r>
          <w:fldChar w:fldCharType="end"/>
        </w:r>
      </w:hyperlink>
    </w:p>
    <w:p>
      <w:pPr>
        <w:pStyle w:val="TOC1"/>
        <w:tabs>
          <w:tab w:val="right" w:leader="dot" w:pos="8306"/>
        </w:tabs>
      </w:pPr>
      <w:hyperlink w:anchor="_Toc11171" w:history="1">
        <w:r>
          <w:rPr>
            <w:rFonts w:ascii="仿宋" w:eastAsia="仿宋" w:hAnsi="仿宋" w:cs="仿宋" w:hint="eastAsia"/>
            <w:lang w:eastAsia="zh-CN"/>
          </w:rPr>
          <w:t>十一、等离子体沉积和刻蚀设备项目财务管理</w:t>
        </w:r>
        <w:r>
          <w:tab/>
        </w:r>
        <w:r>
          <w:fldChar w:fldCharType="begin"/>
        </w:r>
        <w:r>
          <w:instrText xml:space="preserve"> PAGEREF _Toc11171 \h </w:instrText>
        </w:r>
        <w:r>
          <w:fldChar w:fldCharType="separate"/>
        </w:r>
        <w:r>
          <w:t>46</w:t>
        </w:r>
        <w:r>
          <w:fldChar w:fldCharType="end"/>
        </w:r>
      </w:hyperlink>
    </w:p>
    <w:p>
      <w:pPr>
        <w:pStyle w:val="TOC2"/>
        <w:tabs>
          <w:tab w:val="right" w:leader="dot" w:pos="8306"/>
        </w:tabs>
      </w:pPr>
      <w:hyperlink w:anchor="_Toc26324" w:history="1">
        <w:r>
          <w:rPr>
            <w:rFonts w:ascii="仿宋" w:eastAsia="仿宋" w:hAnsi="仿宋" w:cs="仿宋" w:hint="eastAsia"/>
            <w:lang w:eastAsia="zh-CN"/>
          </w:rPr>
          <w:t>(一)、资金需求大</w:t>
        </w:r>
        <w:r>
          <w:tab/>
        </w:r>
        <w:r>
          <w:fldChar w:fldCharType="begin"/>
        </w:r>
        <w:r>
          <w:instrText xml:space="preserve"> PAGEREF _Toc26324 \h </w:instrText>
        </w:r>
        <w:r>
          <w:fldChar w:fldCharType="separate"/>
        </w:r>
        <w:r>
          <w:t>46</w:t>
        </w:r>
        <w:r>
          <w:fldChar w:fldCharType="end"/>
        </w:r>
      </w:hyperlink>
    </w:p>
    <w:p>
      <w:pPr>
        <w:pStyle w:val="TOC2"/>
        <w:tabs>
          <w:tab w:val="right" w:leader="dot" w:pos="8306"/>
        </w:tabs>
      </w:pPr>
      <w:hyperlink w:anchor="_Toc1399" w:history="1">
        <w:r>
          <w:rPr>
            <w:rFonts w:ascii="仿宋" w:eastAsia="仿宋" w:hAnsi="仿宋" w:cs="仿宋" w:hint="eastAsia"/>
            <w:lang w:eastAsia="zh-CN"/>
          </w:rPr>
          <w:t>(二)、研发周期长</w:t>
        </w:r>
        <w:r>
          <w:tab/>
        </w:r>
        <w:r>
          <w:fldChar w:fldCharType="begin"/>
        </w:r>
        <w:r>
          <w:instrText xml:space="preserve"> PAGEREF _Toc1399 \h </w:instrText>
        </w:r>
        <w:r>
          <w:fldChar w:fldCharType="separate"/>
        </w:r>
        <w:r>
          <w:t>47</w:t>
        </w:r>
        <w:r>
          <w:fldChar w:fldCharType="end"/>
        </w:r>
      </w:hyperlink>
    </w:p>
    <w:p>
      <w:pPr>
        <w:pStyle w:val="TOC2"/>
        <w:tabs>
          <w:tab w:val="right" w:leader="dot" w:pos="8306"/>
        </w:tabs>
      </w:pPr>
      <w:hyperlink w:anchor="_Toc17051" w:history="1">
        <w:r>
          <w:rPr>
            <w:rFonts w:ascii="仿宋" w:eastAsia="仿宋" w:hAnsi="仿宋" w:cs="仿宋" w:hint="eastAsia"/>
            <w:lang w:eastAsia="zh-CN"/>
          </w:rPr>
          <w:t>(三)、市场风险大</w:t>
        </w:r>
        <w:r>
          <w:tab/>
        </w:r>
        <w:r>
          <w:fldChar w:fldCharType="begin"/>
        </w:r>
        <w:r>
          <w:instrText xml:space="preserve"> PAGEREF _Toc17051 \h </w:instrText>
        </w:r>
        <w:r>
          <w:fldChar w:fldCharType="separate"/>
        </w:r>
        <w:r>
          <w:t>49</w:t>
        </w:r>
        <w:r>
          <w:fldChar w:fldCharType="end"/>
        </w:r>
      </w:hyperlink>
    </w:p>
    <w:p>
      <w:pPr>
        <w:pStyle w:val="TOC2"/>
        <w:tabs>
          <w:tab w:val="right" w:leader="dot" w:pos="8306"/>
        </w:tabs>
      </w:pPr>
      <w:hyperlink w:anchor="_Toc25338" w:history="1">
        <w:r>
          <w:rPr>
            <w:rFonts w:ascii="仿宋" w:eastAsia="仿宋" w:hAnsi="仿宋" w:cs="仿宋" w:hint="eastAsia"/>
            <w:lang w:eastAsia="zh-CN"/>
          </w:rPr>
          <w:t>(四)、利润率高</w:t>
        </w:r>
        <w:r>
          <w:tab/>
        </w:r>
        <w:r>
          <w:fldChar w:fldCharType="begin"/>
        </w:r>
        <w:r>
          <w:instrText xml:space="preserve"> PAGEREF _Toc25338 \h </w:instrText>
        </w:r>
        <w:r>
          <w:fldChar w:fldCharType="separate"/>
        </w:r>
        <w:r>
          <w:t>52</w:t>
        </w:r>
        <w:r>
          <w:fldChar w:fldCharType="end"/>
        </w:r>
      </w:hyperlink>
    </w:p>
    <w:p>
      <w:pPr>
        <w:pStyle w:val="TOC1"/>
        <w:tabs>
          <w:tab w:val="right" w:leader="dot" w:pos="8306"/>
        </w:tabs>
      </w:pPr>
      <w:hyperlink w:anchor="_Toc20906" w:history="1">
        <w:r>
          <w:rPr>
            <w:rFonts w:ascii="仿宋" w:eastAsia="仿宋" w:hAnsi="仿宋" w:cs="仿宋" w:hint="eastAsia"/>
            <w:lang w:eastAsia="zh-CN"/>
          </w:rPr>
          <w:t>十二、等离子体沉积和刻蚀设备项目技术管理</w:t>
        </w:r>
        <w:r>
          <w:tab/>
        </w:r>
        <w:r>
          <w:fldChar w:fldCharType="begin"/>
        </w:r>
        <w:r>
          <w:instrText xml:space="preserve"> PAGEREF _Toc20906 \h </w:instrText>
        </w:r>
        <w:r>
          <w:fldChar w:fldCharType="separate"/>
        </w:r>
        <w:r>
          <w:t>54</w:t>
        </w:r>
        <w:r>
          <w:fldChar w:fldCharType="end"/>
        </w:r>
      </w:hyperlink>
    </w:p>
    <w:p>
      <w:pPr>
        <w:pStyle w:val="TOC2"/>
        <w:tabs>
          <w:tab w:val="right" w:leader="dot" w:pos="8306"/>
        </w:tabs>
      </w:pPr>
      <w:hyperlink w:anchor="_Toc20645" w:history="1">
        <w:r>
          <w:rPr>
            <w:rFonts w:ascii="仿宋" w:eastAsia="仿宋" w:hAnsi="仿宋" w:cs="仿宋" w:hint="eastAsia"/>
            <w:lang w:eastAsia="zh-CN"/>
          </w:rPr>
          <w:t>(一)、技术方案选用方向</w:t>
        </w:r>
        <w:r>
          <w:tab/>
        </w:r>
        <w:r>
          <w:fldChar w:fldCharType="begin"/>
        </w:r>
        <w:r>
          <w:instrText xml:space="preserve"> PAGEREF _Toc20645 \h </w:instrText>
        </w:r>
        <w:r>
          <w:fldChar w:fldCharType="separate"/>
        </w:r>
        <w:r>
          <w:t>54</w:t>
        </w:r>
        <w:r>
          <w:fldChar w:fldCharType="end"/>
        </w:r>
      </w:hyperlink>
    </w:p>
    <w:p>
      <w:pPr>
        <w:pStyle w:val="TOC2"/>
        <w:tabs>
          <w:tab w:val="right" w:leader="dot" w:pos="8306"/>
        </w:tabs>
      </w:pPr>
      <w:hyperlink w:anchor="_Toc832" w:history="1">
        <w:r>
          <w:rPr>
            <w:rFonts w:ascii="仿宋" w:eastAsia="仿宋" w:hAnsi="仿宋" w:cs="仿宋" w:hint="eastAsia"/>
            <w:lang w:eastAsia="zh-CN"/>
          </w:rPr>
          <w:t>(二)、工艺技术方案选用原则</w:t>
        </w:r>
        <w:r>
          <w:tab/>
        </w:r>
        <w:r>
          <w:fldChar w:fldCharType="begin"/>
        </w:r>
        <w:r>
          <w:instrText xml:space="preserve"> PAGEREF _Toc832 \h </w:instrText>
        </w:r>
        <w:r>
          <w:fldChar w:fldCharType="separate"/>
        </w:r>
        <w:r>
          <w:t>56</w:t>
        </w:r>
        <w:r>
          <w:fldChar w:fldCharType="end"/>
        </w:r>
      </w:hyperlink>
    </w:p>
    <w:p>
      <w:pPr>
        <w:pStyle w:val="TOC2"/>
        <w:tabs>
          <w:tab w:val="right" w:leader="dot" w:pos="8306"/>
        </w:tabs>
      </w:pPr>
      <w:hyperlink w:anchor="_Toc27326" w:history="1">
        <w:r>
          <w:rPr>
            <w:rFonts w:ascii="仿宋" w:eastAsia="仿宋" w:hAnsi="仿宋" w:cs="仿宋" w:hint="eastAsia"/>
            <w:lang w:eastAsia="zh-CN"/>
          </w:rPr>
          <w:t>(三)、工艺技术方案要求</w:t>
        </w:r>
        <w:r>
          <w:tab/>
        </w:r>
        <w:r>
          <w:fldChar w:fldCharType="begin"/>
        </w:r>
        <w:r>
          <w:instrText xml:space="preserve"> PAGEREF _Toc27326 \h </w:instrText>
        </w:r>
        <w:r>
          <w:fldChar w:fldCharType="separate"/>
        </w:r>
        <w:r>
          <w:t>58</w:t>
        </w:r>
        <w:r>
          <w:fldChar w:fldCharType="end"/>
        </w:r>
      </w:hyperlink>
    </w:p>
    <w:p>
      <w:pPr>
        <w:pStyle w:val="TOC1"/>
        <w:tabs>
          <w:tab w:val="right" w:leader="dot" w:pos="8306"/>
        </w:tabs>
      </w:pPr>
      <w:hyperlink w:anchor="_Toc19587" w:history="1">
        <w:r>
          <w:rPr>
            <w:rFonts w:ascii="仿宋" w:eastAsia="仿宋" w:hAnsi="仿宋" w:cs="仿宋" w:hint="eastAsia"/>
            <w:lang w:eastAsia="zh-CN"/>
          </w:rPr>
          <w:t>十三、营销与推广策略</w:t>
        </w:r>
        <w:r>
          <w:tab/>
        </w:r>
        <w:r>
          <w:fldChar w:fldCharType="begin"/>
        </w:r>
        <w:r>
          <w:instrText xml:space="preserve"> PAGEREF _Toc19587 \h </w:instrText>
        </w:r>
        <w:r>
          <w:fldChar w:fldCharType="separate"/>
        </w:r>
        <w:r>
          <w:t>60</w:t>
        </w:r>
        <w:r>
          <w:fldChar w:fldCharType="end"/>
        </w:r>
      </w:hyperlink>
    </w:p>
    <w:p>
      <w:pPr>
        <w:pStyle w:val="TOC2"/>
        <w:tabs>
          <w:tab w:val="right" w:leader="dot" w:pos="8306"/>
        </w:tabs>
      </w:pPr>
      <w:hyperlink w:anchor="_Toc23522" w:history="1">
        <w:r>
          <w:rPr>
            <w:rFonts w:ascii="仿宋" w:eastAsia="仿宋" w:hAnsi="仿宋" w:cs="仿宋" w:hint="eastAsia"/>
            <w:lang w:eastAsia="zh-CN"/>
          </w:rPr>
          <w:t>(一)、产品/服务定位与特点</w:t>
        </w:r>
        <w:r>
          <w:tab/>
        </w:r>
        <w:r>
          <w:fldChar w:fldCharType="begin"/>
        </w:r>
        <w:r>
          <w:instrText xml:space="preserve"> PAGEREF _Toc23522 \h </w:instrText>
        </w:r>
        <w:r>
          <w:fldChar w:fldCharType="separate"/>
        </w:r>
        <w:r>
          <w:t>60</w:t>
        </w:r>
        <w:r>
          <w:fldChar w:fldCharType="end"/>
        </w:r>
      </w:hyperlink>
    </w:p>
    <w:p>
      <w:pPr>
        <w:pStyle w:val="TOC2"/>
        <w:tabs>
          <w:tab w:val="right" w:leader="dot" w:pos="8306"/>
        </w:tabs>
      </w:pPr>
      <w:hyperlink w:anchor="_Toc22379" w:history="1">
        <w:r>
          <w:rPr>
            <w:rFonts w:ascii="仿宋" w:eastAsia="仿宋" w:hAnsi="仿宋" w:cs="仿宋" w:hint="eastAsia"/>
            <w:lang w:eastAsia="zh-CN"/>
          </w:rPr>
          <w:t>(二)、市场定位与竞争分析</w:t>
        </w:r>
        <w:r>
          <w:tab/>
        </w:r>
        <w:r>
          <w:fldChar w:fldCharType="begin"/>
        </w:r>
        <w:r>
          <w:instrText xml:space="preserve"> PAGEREF _Toc22379 \h </w:instrText>
        </w:r>
        <w:r>
          <w:fldChar w:fldCharType="separate"/>
        </w:r>
        <w:r>
          <w:t>61</w:t>
        </w:r>
        <w:r>
          <w:fldChar w:fldCharType="end"/>
        </w:r>
      </w:hyperlink>
    </w:p>
    <w:p>
      <w:pPr>
        <w:pStyle w:val="TOC2"/>
        <w:tabs>
          <w:tab w:val="right" w:leader="dot" w:pos="8306"/>
        </w:tabs>
      </w:pPr>
      <w:hyperlink w:anchor="_Toc20688" w:history="1">
        <w:r>
          <w:rPr>
            <w:rFonts w:ascii="仿宋" w:eastAsia="仿宋" w:hAnsi="仿宋" w:cs="仿宋" w:hint="eastAsia"/>
            <w:lang w:eastAsia="zh-CN"/>
          </w:rPr>
          <w:t>(三)、营销渠道与策略</w:t>
        </w:r>
        <w:r>
          <w:tab/>
        </w:r>
        <w:r>
          <w:fldChar w:fldCharType="begin"/>
        </w:r>
        <w:r>
          <w:instrText xml:space="preserve"> PAGEREF _Toc20688 \h </w:instrText>
        </w:r>
        <w:r>
          <w:fldChar w:fldCharType="separate"/>
        </w:r>
        <w:r>
          <w:t>63</w:t>
        </w:r>
        <w:r>
          <w:fldChar w:fldCharType="end"/>
        </w:r>
      </w:hyperlink>
    </w:p>
    <w:p>
      <w:pPr>
        <w:pStyle w:val="TOC2"/>
        <w:tabs>
          <w:tab w:val="right" w:leader="dot" w:pos="8306"/>
        </w:tabs>
      </w:pPr>
      <w:hyperlink w:anchor="_Toc9684" w:history="1">
        <w:r>
          <w:rPr>
            <w:rFonts w:ascii="仿宋" w:eastAsia="仿宋" w:hAnsi="仿宋" w:cs="仿宋" w:hint="eastAsia"/>
            <w:lang w:eastAsia="zh-CN"/>
          </w:rPr>
          <w:t>(四)、推广与宣传活动</w:t>
        </w:r>
        <w:r>
          <w:tab/>
        </w:r>
        <w:r>
          <w:fldChar w:fldCharType="begin"/>
        </w:r>
        <w:r>
          <w:instrText xml:space="preserve"> PAGEREF _Toc9684 \h </w:instrText>
        </w:r>
        <w:r>
          <w:fldChar w:fldCharType="separate"/>
        </w:r>
        <w:r>
          <w:t>64</w:t>
        </w:r>
        <w:r>
          <w:fldChar w:fldCharType="end"/>
        </w:r>
      </w:hyperlink>
    </w:p>
    <w:p>
      <w:pPr>
        <w:pStyle w:val="TOC1"/>
        <w:tabs>
          <w:tab w:val="right" w:leader="dot" w:pos="8306"/>
        </w:tabs>
      </w:pPr>
      <w:hyperlink w:anchor="_Toc5028" w:history="1">
        <w:r>
          <w:rPr>
            <w:rFonts w:ascii="仿宋" w:eastAsia="仿宋" w:hAnsi="仿宋" w:cs="仿宋" w:hint="eastAsia"/>
            <w:lang w:eastAsia="zh-CN"/>
          </w:rPr>
          <w:t>十四、等离子体沉积和刻蚀设备项目治理与监督</w:t>
        </w:r>
        <w:r>
          <w:tab/>
        </w:r>
        <w:r>
          <w:fldChar w:fldCharType="begin"/>
        </w:r>
        <w:r>
          <w:instrText xml:space="preserve"> PAGEREF _Toc5028 \h </w:instrText>
        </w:r>
        <w:r>
          <w:fldChar w:fldCharType="separate"/>
        </w:r>
        <w:r>
          <w:t>69</w:t>
        </w:r>
        <w:r>
          <w:fldChar w:fldCharType="end"/>
        </w:r>
      </w:hyperlink>
    </w:p>
    <w:p>
      <w:pPr>
        <w:pStyle w:val="TOC2"/>
        <w:tabs>
          <w:tab w:val="right" w:leader="dot" w:pos="8306"/>
        </w:tabs>
      </w:pPr>
      <w:hyperlink w:anchor="_Toc12879" w:history="1">
        <w:r>
          <w:rPr>
            <w:rFonts w:ascii="仿宋" w:eastAsia="仿宋" w:hAnsi="仿宋" w:cs="仿宋" w:hint="eastAsia"/>
            <w:lang w:eastAsia="zh-CN"/>
          </w:rPr>
          <w:t>(一)、等离子体沉积和刻蚀设备项目治理结构</w:t>
        </w:r>
        <w:r>
          <w:tab/>
        </w:r>
        <w:r>
          <w:fldChar w:fldCharType="begin"/>
        </w:r>
        <w:r>
          <w:instrText xml:space="preserve"> PAGEREF _Toc12879 \h </w:instrText>
        </w:r>
        <w:r>
          <w:fldChar w:fldCharType="separate"/>
        </w:r>
        <w:r>
          <w:t>69</w:t>
        </w:r>
        <w:r>
          <w:fldChar w:fldCharType="end"/>
        </w:r>
      </w:hyperlink>
    </w:p>
    <w:p>
      <w:pPr>
        <w:pStyle w:val="TOC2"/>
        <w:tabs>
          <w:tab w:val="right" w:leader="dot" w:pos="8306"/>
        </w:tabs>
      </w:pPr>
      <w:hyperlink w:anchor="_Toc20970" w:history="1">
        <w:r>
          <w:rPr>
            <w:rFonts w:ascii="仿宋" w:eastAsia="仿宋" w:hAnsi="仿宋" w:cs="仿宋" w:hint="eastAsia"/>
            <w:lang w:eastAsia="zh-CN"/>
          </w:rPr>
          <w:t>(二)、监督与审计</w:t>
        </w:r>
        <w:r>
          <w:tab/>
        </w:r>
        <w:r>
          <w:fldChar w:fldCharType="begin"/>
        </w:r>
        <w:r>
          <w:instrText xml:space="preserve"> PAGEREF _Toc20970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07"/>
      <w:r>
        <w:rPr>
          <w:rFonts w:ascii="仿宋" w:eastAsia="仿宋" w:hAnsi="仿宋" w:cs="仿宋" w:hint="eastAsia"/>
          <w:sz w:val="28"/>
          <w:lang w:eastAsia="zh-CN"/>
        </w:rPr>
        <w:t>一、等离子体沉积和刻蚀设备项目选址可行性分析</w:t>
      </w:r>
      <w:bookmarkEnd w:id="2"/>
    </w:p>
    <w:p>
      <w:pPr>
        <w:pStyle w:val="Heading2"/>
        <w:rPr>
          <w:rFonts w:ascii="仿宋" w:eastAsia="仿宋" w:hAnsi="仿宋" w:cs="仿宋" w:hint="eastAsia"/>
          <w:lang w:eastAsia="zh-CN"/>
        </w:rPr>
      </w:pPr>
      <w:bookmarkStart w:id="3" w:name="_Toc14167"/>
      <w:r>
        <w:rPr>
          <w:rFonts w:ascii="仿宋" w:eastAsia="仿宋" w:hAnsi="仿宋" w:cs="仿宋" w:hint="eastAsia"/>
          <w:lang w:eastAsia="zh-CN"/>
        </w:rPr>
        <w:t>(一)、等离子体沉积和刻蚀设备项目选址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该等离子体沉积和刻蚀设备项目选址位于XX省XX市XX区XXX街道</w:t>
      </w:r>
    </w:p>
    <w:p>
      <w:pPr>
        <w:pStyle w:val="Heading2"/>
        <w:ind w:firstLine="560" w:firstLineChars="200"/>
        <w:rPr>
          <w:rFonts w:ascii="仿宋" w:eastAsia="仿宋" w:hAnsi="仿宋" w:cs="仿宋" w:hint="eastAsia"/>
          <w:sz w:val="28"/>
          <w:lang w:eastAsia="zh-CN"/>
        </w:rPr>
      </w:pPr>
      <w:bookmarkStart w:id="4" w:name="_Toc61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等离子体沉积和刻蚀设备项目的征地面积将根据等离子体沉积和刻蚀设备项目的实际规模和需求进行精确规划。具体面积XXX平方米，旨在确保等离子体沉积和刻蚀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净用地面积是在征地面积基础上去除不可利用面积后的实际可开发用地。具体面积XXX平方米，考虑到环保、交通、安全等多方面因素，以确保等离子体沉积和刻蚀设备项目在整体利用效率上达到最优。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等离子体沉积和刻蚀设备项目计划建设的建筑总规模具体面积XXX平方米。这一规模的确定综合考虑了等离子体沉积和刻蚀设备项目的性质、规模，以及城市规划的相关要求，确保建筑布局与周边环境协调一致。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绿地率是等离子体沉积和刻蚀设备项目用地中被规划为绿地的比例。具体面积XXX平方米，旨在通过合理规划绿地，改善等离子体沉积和刻蚀设备项目周边环境，提升居民生活质量，并符合城市整体绿化规划。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容积率是用地上可以建设的建筑总体积与用地面积之比。具体面积XXX，通过合理的容积率规划，确保等离子体沉积和刻蚀设备项目建筑规模与周边环境和谐共生。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等离子体沉积和刻蚀设备项目选址与当地城市规划相一致，具体面积XXX平方米。通过与城市规划部门深入沟通，确保等离子体沉积和刻蚀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等离子体沉积和刻蚀设备项目选址符合当地产业政策，具体面积XXX平方米。这包括等离子体沉积和刻蚀设备项目对当地经济的促进作用，以及对相关产业的带动效应，确保等离子体沉积和刻蚀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等离子体沉积和刻蚀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确保等离子体沉积和刻蚀设备项目选址具备必要的公共设施配套，具体面积XXX平方米。这包括交通便利性、教育、医疗等基础设施，以提高居民生活品质，使得等离子体沉积和刻蚀设备项目选址更具吸引力。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考虑用地总体要求对当地社会稳定性的影响，具体面积XXX平方米。通过深入了解当地社区反馈，确保等离子体沉积和刻蚀设备项目的选址和建设过程对当地社会和谐稳定产生积极作用。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等离子体沉积和刻蚀设备项目选址不仅符合法规和规划，还在实际操作中具有可行性。这一全面规划将为等离子体沉积和刻蚀设备项目的成功实施提供坚实的基础，确保等离子体沉积和刻蚀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9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等离子体沉积和刻蚀设备项目的设备规划和空间设计中，我们将采取灵活设备布局的措施。设备布局将根据实际需求进行灵活设计，避免不必要的浪费。通过合理规划设备摆放位置，我们将提高设备的利用率，减少设备间距，以确保等离子体沉积和刻蚀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等离子体沉积和刻蚀设备项目内部引入共享设施的概念，例如共享会议室、办公区等。通过这种方式，我们可以减少对资源的重复建设，提高资源共享效率，从而减小等离子体沉积和刻蚀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等离子体沉积和刻蚀设备项目的总图布置中，我们将不同功能区域进行明确的规划，以最大程度满足等离子体沉积和刻蚀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43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等离子体沉积和刻蚀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等离子体沉积和刻蚀设备项目对环境的影响是综合评价的重要因素之一。我们将详细考虑选址周边的自然环境、生态保护区、水源地等情况，确保等离子体沉积和刻蚀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等离子体沉积和刻蚀设备项目所在地的相关政策，确保等离子体沉积和刻蚀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考虑到社会稳定性对企业运营的重要性，我们将评估选址地区的社会安全情况、劳工关系、社区反馈等方面，以确保等离子体沉积和刻蚀设备项目的建设和运营不会受到社会稳定性的负面影响。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最后，我们将综合考虑用地成本，包括土地购置费用、土地开发成本等。通过对用地成本的详细评估，我们能够做出更为精确的经济效益分析，为等离子体沉积和刻蚀设备项目的投资决策提供有力支持。</w:t>
      </w:r>
    </w:p>
    <w:p>
      <w:pPr>
        <w:pStyle w:val="Heading1"/>
        <w:ind w:firstLine="560" w:firstLineChars="200"/>
        <w:rPr>
          <w:rFonts w:ascii="仿宋" w:eastAsia="仿宋" w:hAnsi="仿宋" w:cs="仿宋" w:hint="eastAsia"/>
          <w:sz w:val="28"/>
          <w:lang w:eastAsia="zh-CN"/>
        </w:rPr>
      </w:pPr>
      <w:bookmarkStart w:id="8" w:name="_Toc1871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220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的技术管理特点体现在其创新导向。通过引入最先进的技术趋势和解决方案，等离子体沉积和刻蚀设备项目致力于提升科技含量、提高质量和效率水平。这意味着我们将采用最新的工具和方法，确保等离子体沉积和刻蚀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等离子体沉积和刻蚀设备项目技术管理的显著特征。通过整合不同领域的技术资源，我们实现了跨学科的协同工作。这有助于优化技术架构，提高整体效能。此外，整合性策略还促进了不同技术团队之间的紧密沟通和高效合作，确保等离子体沉积和刻蚀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等离子体沉积和刻蚀设备项目所采用的技术。通过不断优化技术方案，等离子体沉积和刻蚀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等离子体沉积和刻蚀设备项目团队将在等离子体沉积和刻蚀设备项目初期识别可能的技术风险，并采取相应的预防和应对措施。通过建立健全的风险评估机制，等离子体沉积和刻蚀设备项目能够在实施过程中及时发现并解决潜在的技术问题，保障等离子体沉积和刻蚀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等离子体沉积和刻蚀设备项目中，技术将成为等离子体沉积和刻蚀设备项目成功的有力支持。这一深度剖析揭示了技术管理在等离子体沉积和刻蚀设备项目实施中的关键作用，为等离子体沉积和刻蚀设备项目的技术基础奠定了坚实的基础。</w:t>
      </w:r>
    </w:p>
    <w:p>
      <w:pPr>
        <w:pStyle w:val="Heading2"/>
        <w:ind w:firstLine="560" w:firstLineChars="200"/>
        <w:rPr>
          <w:rFonts w:ascii="仿宋" w:eastAsia="仿宋" w:hAnsi="仿宋" w:cs="仿宋" w:hint="eastAsia"/>
          <w:sz w:val="28"/>
          <w:lang w:eastAsia="zh-CN"/>
        </w:rPr>
      </w:pPr>
      <w:bookmarkStart w:id="10" w:name="_Toc23165"/>
      <w:r>
        <w:rPr>
          <w:rFonts w:ascii="仿宋" w:eastAsia="仿宋" w:hAnsi="仿宋" w:cs="仿宋" w:hint="eastAsia"/>
          <w:sz w:val="28"/>
          <w:lang w:eastAsia="zh-CN"/>
        </w:rPr>
        <w:t>(二)、等离子体沉积和刻蚀设备项目工艺技术设计方案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等离子体沉积和刻蚀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等离子体沉积和刻蚀设备项目将严格按照相关行业规范要求进行组织。通过有效控制产品质量，等离子体沉积和刻蚀设备项目将致力于为顾客提供优质的等离子体沉积和刻蚀设备项目产品和良好的服务。这体现了等离子体沉积和刻蚀设备项目对于生产活动合规性和质量标准的高度重视，为等离子体沉积和刻蚀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等离子体沉积和刻蚀设备项目注重生态效益和清洁生产原则。等离子体沉积和刻蚀设备项目建设将紧密结合地方特色经济发展，与社会经济发展规划和区域环境保护规划方案相协调一致。通过与当地区域自然生态系统的结合，等离子体沉积和刻蚀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等离子体沉积和刻蚀设备项目产品具有多样化的客户需求和个性化的特点。因此，等离子体沉积和刻蚀设备项目产品规格品种多样，且单批生产数量较小。为满足这一特点，等离子体沉积和刻蚀设备项目承办单位将建设先进的柔性制造生产线。通过广泛应用柔性制造技术，等离子体沉积和刻蚀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等离子体沉积和刻蚀设备项目采用的技术具有较高的技术含量和自动化水平，处于国内先进水平。这一技术选用不仅体现了对生产效率、质量和环境友好性的高标准要求，同时为等离子体沉积和刻蚀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376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为确保等离子体沉积和刻蚀设备项目的高效生产和技术实施，我们制定了一套精心设计的设备选型方案，以满足等离子体沉积和刻蚀设备项目生产、质量和环保的要求。该方案的主要特点如下：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等离子体沉积和刻蚀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等离子体沉积和刻蚀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775"/>
      <w:r>
        <w:rPr>
          <w:rFonts w:ascii="仿宋" w:eastAsia="仿宋" w:hAnsi="仿宋" w:cs="仿宋" w:hint="eastAsia"/>
          <w:sz w:val="28"/>
          <w:lang w:eastAsia="zh-CN"/>
        </w:rPr>
        <w:t>三、等离子体沉积和刻蚀设备项目文档管理</w:t>
      </w:r>
      <w:bookmarkEnd w:id="12"/>
    </w:p>
    <w:p>
      <w:pPr>
        <w:pStyle w:val="Heading2"/>
        <w:rPr>
          <w:rFonts w:ascii="仿宋" w:eastAsia="仿宋" w:hAnsi="仿宋" w:cs="仿宋" w:hint="eastAsia"/>
          <w:lang w:eastAsia="zh-CN"/>
        </w:rPr>
      </w:pPr>
      <w:bookmarkStart w:id="13" w:name="_Toc2037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等离子体沉积和刻蚀设备项目高度重视文档的质量和准确性，以支持等离子体沉积和刻蚀设备项目的各项活动和决策。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文档的编制始于等离子体沉积和刻蚀设备项目计划的初期，我们制定了详细的文档编制计划，明确了每个文档的内容、格式和编写责任人。在等离子体沉积和刻蚀设备项目启动阶段，我们首先编制了等离子体沉积和刻蚀设备项目章程，明确定义了等离子体沉积和刻蚀设备项目的目标、范围、风险等关键要素。随后，等离子体沉积和刻蚀设备项目团队根据计划陆续编制了需求文档、设计文档、测试文档等各类文档，确保等离子体沉积和刻蚀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等离子体沉积和刻蚀设备项目管理中的重要环节，旨在确保等离子体沉积和刻蚀设备项目文档符合质量标准和等离子体沉积和刻蚀设备项目需求。在等离子体沉积和刻蚀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等离子体沉积和刻蚀设备项目相关利益方和专业领域的专家对文档进行独立审查。这有助于获取更全面、客观的反馈，确保等离子体沉积和刻蚀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在文档编制与审查方面建立了严格的管理机制，通过规范的流程和多维度的审查，确保等离子体沉积和刻蚀设备项目文档的质量、准确性和可靠性，为等离子体沉积和刻蚀设备项目的顺利推进提供了有力支持。</w:t>
      </w:r>
    </w:p>
    <w:p>
      <w:pPr>
        <w:pStyle w:val="Heading2"/>
        <w:ind w:firstLine="560" w:firstLineChars="200"/>
        <w:rPr>
          <w:rFonts w:ascii="仿宋" w:eastAsia="仿宋" w:hAnsi="仿宋" w:cs="仿宋" w:hint="eastAsia"/>
          <w:sz w:val="28"/>
          <w:lang w:eastAsia="zh-CN"/>
        </w:rPr>
      </w:pPr>
      <w:bookmarkStart w:id="14" w:name="_Toc1955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我们通过多渠道发布文档，包括电子邮件、等离子体沉积和刻蚀设备项目管理平台、内部网站等，以满足不同团队成员的偏好和需求。多渠道发布确保了信息的全面覆盖。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我们采用了精细的权限控制，确保只有授权人员可以访问敏感信息。这种安全措施保护了等离子体沉积和刻蚀设备项目文档的机密性，防止了未经授权的信息泄露。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90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等离子体沉积和刻蚀设备项目生命周期中一个至关重要的环节，直接关系到等离子体沉积和刻蚀设备项目信息的长期保存和历史记录的完整性。在等离子体沉积和刻蚀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954"/>
      <w:r>
        <w:rPr>
          <w:rFonts w:ascii="仿宋" w:eastAsia="仿宋" w:hAnsi="仿宋" w:cs="仿宋" w:hint="eastAsia"/>
          <w:sz w:val="28"/>
          <w:lang w:eastAsia="zh-CN"/>
        </w:rPr>
        <w:t>四、等离子体沉积和刻蚀设备项目土建工程</w:t>
      </w:r>
      <w:bookmarkEnd w:id="16"/>
    </w:p>
    <w:p>
      <w:pPr>
        <w:pStyle w:val="Heading2"/>
        <w:rPr>
          <w:rFonts w:ascii="仿宋" w:eastAsia="仿宋" w:hAnsi="仿宋" w:cs="仿宋" w:hint="eastAsia"/>
          <w:lang w:eastAsia="zh-CN"/>
        </w:rPr>
      </w:pPr>
      <w:bookmarkStart w:id="17" w:name="_Toc1532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在等离子体沉积和刻蚀设备项目的建筑工程设计中，我们将秉承一系列重要的设计原则，以确保等离子体沉积和刻蚀设备项目建筑在功能、美观、可持续性等方面达到最佳效果。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https://d.book118.com/328011046123006036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FA1D36"/>
    <w:rsid w:val="3DFA1D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1104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2024-02-10T16:32:00Z</dcterms:created>
  <dcterms:modified xsi:type="dcterms:W3CDTF">2024-02-10T16:32:34Z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02B34036709A4C1BB891F478A4EE42F6_11</vt:lpwstr>
  </property>
  <property fmtid="{D5CDD505-2E9C-101B-9397-08002B2CF9AE}" pid="3" name="KSOProductBuildVer">
    <vt:lpwstr>2052-12.1.0.16250</vt:lpwstr>
  </property>
</Properties>
</file>