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51"/>
        <w:ind w:left="1176"/>
        <w:rPr>
          <w:rFonts w:ascii="黑体"/>
        </w:rPr>
      </w:pPr>
      <w:r>
        <w:rPr>
          <w:rFonts w:ascii="黑体"/>
        </w:rPr>
        <w:t>ICS 03.080.30</w:t>
      </w:r>
    </w:p>
    <w:p>
      <w:pPr>
        <w:tabs>
          <w:tab w:val="left" w:pos="6110"/>
        </w:tabs>
        <w:spacing w:before="78"/>
        <w:ind w:left="1176" w:right="0" w:firstLine="0"/>
        <w:jc w:val="left"/>
        <w:rPr>
          <w:rFonts w:ascii="Times New Roman" w:eastAsia="Times New Roman"/>
          <w:b/>
          <w:sz w:val="96"/>
        </w:rPr>
      </w:pPr>
      <w:r>
        <w:pict>
          <v:shapetype id="_x0000_t202" coordsize="21600,21600" o:spt="202" path="m,l,21600r21600,l21600,xe">
            <v:stroke joinstyle="miter"/>
            <v:path gradientshapeok="t" o:connecttype="rect"/>
          </v:shapetype>
          <v:shape id="_x0000_s1025" type="#_x0000_t202" style="width:21.15pt;height:10.6pt;margin-top:3.54pt;margin-left:70.8pt;mso-position-horizontal-relative:page;position:absolute;z-index:-251657216" filled="f" stroked="f">
            <v:textbox inset="0,0,0,0">
              <w:txbxContent>
                <w:p>
                  <w:pPr>
                    <w:pStyle w:val="BodyText"/>
                    <w:spacing w:line="211" w:lineRule="exact"/>
                    <w:rPr>
                      <w:rFonts w:ascii="黑体"/>
                    </w:rPr>
                  </w:pPr>
                  <w:r>
                    <w:rPr>
                      <w:rFonts w:ascii="黑体"/>
                    </w:rPr>
                    <w:t>A 12</w:t>
                  </w:r>
                </w:p>
              </w:txbxContent>
            </v:textbox>
          </v:shape>
        </w:pict>
      </w:r>
      <w:r>
        <w:rPr>
          <w:rFonts w:ascii="黑体" w:eastAsia="黑体" w:hint="eastAsia"/>
          <w:w w:val="110"/>
          <w:sz w:val="21"/>
        </w:rPr>
        <w:t>备案</w:t>
      </w:r>
      <w:r>
        <w:rPr>
          <w:rFonts w:ascii="黑体" w:eastAsia="黑体" w:hint="eastAsia"/>
          <w:spacing w:val="-3"/>
          <w:w w:val="110"/>
          <w:sz w:val="21"/>
        </w:rPr>
        <w:t>号</w:t>
      </w:r>
      <w:r>
        <w:rPr>
          <w:rFonts w:ascii="黑体" w:eastAsia="黑体" w:hint="eastAsia"/>
          <w:w w:val="110"/>
          <w:sz w:val="21"/>
        </w:rPr>
        <w:t>：0053-2017</w:t>
        <w:tab/>
      </w:r>
      <w:r>
        <w:rPr>
          <w:rFonts w:ascii="Times New Roman" w:eastAsia="Times New Roman"/>
          <w:b/>
          <w:w w:val="110"/>
          <w:position w:val="-40"/>
          <w:sz w:val="96"/>
        </w:rPr>
        <w:t>DB4201</w:t>
      </w:r>
    </w:p>
    <w:p>
      <w:pPr>
        <w:tabs>
          <w:tab w:val="left" w:pos="1505"/>
          <w:tab w:val="left" w:pos="2626"/>
          <w:tab w:val="left" w:pos="3744"/>
          <w:tab w:val="left" w:pos="4865"/>
          <w:tab w:val="left" w:pos="5983"/>
          <w:tab w:val="left" w:pos="7104"/>
          <w:tab w:val="left" w:pos="8223"/>
          <w:tab w:val="left" w:pos="9343"/>
        </w:tabs>
        <w:spacing w:before="247"/>
        <w:ind w:left="387" w:right="0" w:firstLine="0"/>
        <w:jc w:val="center"/>
        <w:rPr>
          <w:rFonts w:ascii="黑体" w:eastAsia="黑体" w:hint="eastAsia"/>
          <w:sz w:val="48"/>
        </w:rPr>
      </w:pPr>
      <w:r>
        <w:rPr>
          <w:rFonts w:ascii="黑体" w:eastAsia="黑体" w:hint="eastAsia"/>
          <w:sz w:val="48"/>
        </w:rPr>
        <w:t>武</w:t>
        <w:tab/>
        <w:t>汉</w:t>
        <w:tab/>
        <w:t>市</w:t>
        <w:tab/>
        <w:t>地</w:t>
        <w:tab/>
        <w:t>方</w:t>
        <w:tab/>
        <w:t>技</w:t>
        <w:tab/>
        <w:t>术</w:t>
        <w:tab/>
        <w:t>规</w:t>
        <w:tab/>
        <w:t>范</w:t>
      </w:r>
    </w:p>
    <w:p>
      <w:pPr>
        <w:spacing w:before="360"/>
        <w:ind w:left="0" w:right="964" w:firstLine="0"/>
        <w:jc w:val="right"/>
        <w:rPr>
          <w:rFonts w:ascii="黑体" w:hAnsi="黑体"/>
          <w:sz w:val="28"/>
        </w:rPr>
      </w:pPr>
      <w:r>
        <w:rPr>
          <w:rFonts w:ascii="黑体" w:hAnsi="黑体"/>
          <w:sz w:val="28"/>
        </w:rPr>
        <w:t>DB4201/T</w:t>
      </w:r>
      <w:r>
        <w:rPr>
          <w:rFonts w:ascii="黑体" w:hAnsi="黑体"/>
          <w:spacing w:val="-9"/>
          <w:sz w:val="28"/>
        </w:rPr>
        <w:t xml:space="preserve"> </w:t>
      </w:r>
      <w:r>
        <w:rPr>
          <w:rFonts w:ascii="黑体" w:hAnsi="黑体"/>
          <w:sz w:val="28"/>
        </w:rPr>
        <w:t>532—2017</w:t>
      </w:r>
    </w:p>
    <w:p>
      <w:pPr>
        <w:pStyle w:val="BodyText"/>
        <w:rPr>
          <w:rFonts w:ascii="黑体"/>
          <w:sz w:val="20"/>
        </w:rPr>
      </w:pPr>
    </w:p>
    <w:p>
      <w:pPr>
        <w:pStyle w:val="BodyText"/>
        <w:spacing w:before="2"/>
        <w:rPr>
          <w:rFonts w:ascii="黑体"/>
          <w:sz w:val="17"/>
        </w:rPr>
      </w:pPr>
      <w:r>
        <w:pict>
          <v:shape id="_x0000_s1026" style="width:481.9pt;height:0.1pt;margin-top:13.38pt;margin-left:66.7pt;mso-position-horizontal-relative:page;mso-wrap-distance-left:0;mso-wrap-distance-right:0;position:absolute;z-index:-251656192" coordorigin="1334,268" coordsize="9638,0" path="m1334,268l10972,268e" filled="f" stroked="t" strokecolor="black" strokeweight="0.75pt">
            <v:stroke dashstyle="solid"/>
            <v:path arrowok="t"/>
            <w10:wrap type="topAndBottom"/>
          </v:shape>
        </w:pict>
      </w:r>
    </w:p>
    <w:p>
      <w:pPr>
        <w:pStyle w:val="BodyText"/>
        <w:rPr>
          <w:rFonts w:ascii="黑体"/>
          <w:sz w:val="28"/>
        </w:rPr>
      </w:pPr>
    </w:p>
    <w:p>
      <w:pPr>
        <w:pStyle w:val="BodyText"/>
        <w:rPr>
          <w:rFonts w:ascii="黑体"/>
          <w:sz w:val="28"/>
        </w:rPr>
      </w:pPr>
    </w:p>
    <w:p>
      <w:pPr>
        <w:pStyle w:val="BodyText"/>
        <w:rPr>
          <w:rFonts w:ascii="黑体"/>
          <w:sz w:val="28"/>
        </w:rPr>
      </w:pPr>
    </w:p>
    <w:p>
      <w:pPr>
        <w:pStyle w:val="BodyText"/>
        <w:rPr>
          <w:rFonts w:ascii="黑体"/>
          <w:sz w:val="28"/>
        </w:rPr>
      </w:pPr>
    </w:p>
    <w:p>
      <w:pPr>
        <w:pStyle w:val="BodyText"/>
        <w:rPr>
          <w:rFonts w:ascii="黑体"/>
          <w:sz w:val="28"/>
        </w:rPr>
      </w:pPr>
    </w:p>
    <w:p>
      <w:pPr>
        <w:pStyle w:val="BodyText"/>
        <w:spacing w:before="4"/>
        <w:rPr>
          <w:rFonts w:ascii="黑体"/>
          <w:sz w:val="34"/>
        </w:rPr>
      </w:pPr>
    </w:p>
    <w:p>
      <w:pPr>
        <w:pStyle w:val="Title"/>
      </w:pPr>
      <w:r>
        <w:t>清洁服务机构等级划分与评定</w:t>
      </w:r>
    </w:p>
    <w:p>
      <w:pPr>
        <w:spacing w:before="404"/>
        <w:ind w:left="299" w:right="0" w:firstLine="0"/>
        <w:jc w:val="center"/>
        <w:rPr>
          <w:rFonts w:ascii="Times New Roman"/>
          <w:sz w:val="28"/>
        </w:rPr>
      </w:pPr>
      <w:r>
        <w:pict>
          <v:group id="_x0000_s1027" style="width:560pt;height:384pt;margin-top:58.83pt;margin-left:17pt;mso-position-horizontal-relative:page;position:absolute;z-index:251658240" coordorigin="340,1177" coordsize="11200,7680">
            <v:line id="_x0000_s1028" style="position:absolute" from="1302,7443" to="10940,7443" stroked="t" strokecolor="black" strokeweight="0.75pt">
              <v:stroke dashstyle="solid"/>
            </v:lin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width:11200;height:7680;left:340;position:absolute;top:1176" stroked="f">
              <v:imagedata r:id="rId4" o:title=""/>
            </v:shape>
          </v:group>
        </w:pict>
      </w:r>
      <w:r>
        <w:rPr>
          <w:rFonts w:ascii="Times New Roman"/>
          <w:sz w:val="28"/>
        </w:rPr>
        <w:t>Grading and assessment of health and cleaning services</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1"/>
        <w:rPr>
          <w:rFonts w:ascii="Times New Roman"/>
          <w:sz w:val="14"/>
        </w:rPr>
      </w:pPr>
      <w:r>
        <w:pict>
          <v:group id="_x0000_s1030" style="width:484.15pt;height:70.35pt;margin-top:10.56pt;margin-left:64.08pt;mso-position-horizontal-relative:page;mso-wrap-distance-left:0;mso-wrap-distance-right:0;position:absolute;z-index:-251655168" coordorigin="1282,211" coordsize="9683,1407">
            <v:shape id="_x0000_s1031" type="#_x0000_t202" style="width:2334;height:281;left:1281;position:absolute;top:211" filled="f" stroked="f">
              <v:textbox inset="0,0,0,0">
                <w:txbxContent>
                  <w:p>
                    <w:pPr>
                      <w:spacing w:before="0" w:line="281" w:lineRule="exact"/>
                      <w:ind w:left="0" w:right="0" w:firstLine="0"/>
                      <w:jc w:val="left"/>
                      <w:rPr>
                        <w:rFonts w:ascii="黑体" w:eastAsia="黑体" w:hint="eastAsia"/>
                        <w:sz w:val="28"/>
                      </w:rPr>
                    </w:pPr>
                    <w:r>
                      <w:rPr>
                        <w:rFonts w:ascii="黑体" w:eastAsia="黑体" w:hint="eastAsia"/>
                        <w:sz w:val="28"/>
                      </w:rPr>
                      <w:t>2017</w:t>
                    </w:r>
                    <w:r>
                      <w:rPr>
                        <w:rFonts w:ascii="黑体" w:eastAsia="黑体" w:hint="eastAsia"/>
                        <w:spacing w:val="-48"/>
                        <w:sz w:val="28"/>
                      </w:rPr>
                      <w:t xml:space="preserve"> - </w:t>
                    </w:r>
                    <w:r>
                      <w:rPr>
                        <w:rFonts w:ascii="黑体" w:eastAsia="黑体" w:hint="eastAsia"/>
                        <w:sz w:val="28"/>
                      </w:rPr>
                      <w:t>08</w:t>
                    </w:r>
                    <w:r>
                      <w:rPr>
                        <w:rFonts w:ascii="黑体" w:eastAsia="黑体" w:hint="eastAsia"/>
                        <w:spacing w:val="-47"/>
                        <w:sz w:val="28"/>
                      </w:rPr>
                      <w:t xml:space="preserve"> - </w:t>
                    </w:r>
                    <w:r>
                      <w:rPr>
                        <w:rFonts w:ascii="黑体" w:eastAsia="黑体" w:hint="eastAsia"/>
                        <w:sz w:val="28"/>
                      </w:rPr>
                      <w:t>23</w:t>
                    </w:r>
                    <w:r>
                      <w:rPr>
                        <w:rFonts w:ascii="黑体" w:eastAsia="黑体" w:hint="eastAsia"/>
                        <w:spacing w:val="-24"/>
                        <w:sz w:val="28"/>
                      </w:rPr>
                      <w:t xml:space="preserve"> 发布</w:t>
                    </w:r>
                  </w:p>
                </w:txbxContent>
              </v:textbox>
            </v:shape>
            <v:shape id="_x0000_s1032" type="#_x0000_t202" style="width:2334;height:281;left:8630;position:absolute;top:211" filled="f" stroked="f">
              <v:textbox inset="0,0,0,0">
                <w:txbxContent>
                  <w:p>
                    <w:pPr>
                      <w:spacing w:before="0" w:line="281" w:lineRule="exact"/>
                      <w:ind w:left="0" w:right="0" w:firstLine="0"/>
                      <w:jc w:val="left"/>
                      <w:rPr>
                        <w:rFonts w:ascii="黑体" w:eastAsia="黑体" w:hint="eastAsia"/>
                        <w:sz w:val="28"/>
                      </w:rPr>
                    </w:pPr>
                    <w:r>
                      <w:rPr>
                        <w:rFonts w:ascii="黑体" w:eastAsia="黑体" w:hint="eastAsia"/>
                        <w:sz w:val="28"/>
                      </w:rPr>
                      <w:t>2017</w:t>
                    </w:r>
                    <w:r>
                      <w:rPr>
                        <w:rFonts w:ascii="黑体" w:eastAsia="黑体" w:hint="eastAsia"/>
                        <w:spacing w:val="-48"/>
                        <w:sz w:val="28"/>
                      </w:rPr>
                      <w:t xml:space="preserve"> - </w:t>
                    </w:r>
                    <w:r>
                      <w:rPr>
                        <w:rFonts w:ascii="黑体" w:eastAsia="黑体" w:hint="eastAsia"/>
                        <w:sz w:val="28"/>
                      </w:rPr>
                      <w:t>09</w:t>
                    </w:r>
                    <w:r>
                      <w:rPr>
                        <w:rFonts w:ascii="黑体" w:eastAsia="黑体" w:hint="eastAsia"/>
                        <w:spacing w:val="-47"/>
                        <w:sz w:val="28"/>
                      </w:rPr>
                      <w:t xml:space="preserve"> - </w:t>
                    </w:r>
                    <w:r>
                      <w:rPr>
                        <w:rFonts w:ascii="黑体" w:eastAsia="黑体" w:hint="eastAsia"/>
                        <w:sz w:val="28"/>
                      </w:rPr>
                      <w:t>23</w:t>
                    </w:r>
                    <w:r>
                      <w:rPr>
                        <w:rFonts w:ascii="黑体" w:eastAsia="黑体" w:hint="eastAsia"/>
                        <w:spacing w:val="-24"/>
                        <w:sz w:val="28"/>
                      </w:rPr>
                      <w:t xml:space="preserve"> 实施</w:t>
                    </w:r>
                  </w:p>
                </w:txbxContent>
              </v:textbox>
            </v:shape>
            <v:shape id="_x0000_s1033" type="#_x0000_t202" style="width:4181;height:281;left:3376;position:absolute;top:1336" filled="f" stroked="f">
              <v:textbox inset="0,0,0,0">
                <w:txbxContent>
                  <w:p>
                    <w:pPr>
                      <w:spacing w:before="0" w:line="281" w:lineRule="exact"/>
                      <w:ind w:left="0" w:right="0" w:firstLine="0"/>
                      <w:jc w:val="left"/>
                      <w:rPr>
                        <w:rFonts w:ascii="黑体" w:eastAsia="黑体" w:hint="eastAsia"/>
                        <w:sz w:val="28"/>
                      </w:rPr>
                    </w:pPr>
                    <w:r>
                      <w:rPr>
                        <w:rFonts w:ascii="黑体" w:eastAsia="黑体" w:hint="eastAsia"/>
                        <w:w w:val="130"/>
                        <w:sz w:val="28"/>
                      </w:rPr>
                      <w:t>武汉市质量技术监督局</w:t>
                    </w:r>
                  </w:p>
                </w:txbxContent>
              </v:textbox>
            </v:shape>
            <v:shape id="_x0000_s1034" type="#_x0000_t202" style="width:750;height:281;left:7956;position:absolute;top:1336" filled="f" stroked="f">
              <v:textbox inset="0,0,0,0">
                <w:txbxContent>
                  <w:p>
                    <w:pPr>
                      <w:spacing w:before="0" w:line="281" w:lineRule="exact"/>
                      <w:ind w:left="0" w:right="0" w:firstLine="0"/>
                      <w:jc w:val="left"/>
                      <w:rPr>
                        <w:rFonts w:ascii="黑体" w:eastAsia="黑体" w:hint="eastAsia"/>
                        <w:sz w:val="28"/>
                      </w:rPr>
                    </w:pPr>
                    <w:r>
                      <w:rPr>
                        <w:rFonts w:ascii="黑体" w:eastAsia="黑体" w:hint="eastAsia"/>
                        <w:sz w:val="28"/>
                      </w:rPr>
                      <w:t>发 布</w:t>
                    </w:r>
                  </w:p>
                </w:txbxContent>
              </v:textbox>
            </v:shape>
            <w10:wrap type="topAndBottom"/>
          </v:group>
        </w:pict>
      </w:r>
    </w:p>
    <w:p>
      <w:pPr>
        <w:spacing w:after="0"/>
        <w:rPr>
          <w:rFonts w:ascii="Times New Roman"/>
          <w:sz w:val="14"/>
        </w:rPr>
        <w:sectPr>
          <w:footerReference w:type="default" r:id="rId5"/>
          <w:type w:val="continuous"/>
          <w:pgSz w:w="11910" w:h="16840"/>
          <w:pgMar w:top="520" w:right="260" w:bottom="280" w:left="240" w:header="708" w:footer="0"/>
          <w:pgNumType w:start="11"/>
          <w:cols w:space="708"/>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9"/>
        <w:rPr>
          <w:rFonts w:ascii="Times New Roman"/>
        </w:rPr>
      </w:pPr>
    </w:p>
    <w:p>
      <w:pPr>
        <w:pStyle w:val="BodyText"/>
        <w:ind w:left="2860"/>
        <w:rPr>
          <w:rFonts w:ascii="Times New Roman"/>
          <w:sz w:val="20"/>
        </w:rPr>
      </w:pPr>
      <w:r>
        <w:rPr>
          <w:rFonts w:ascii="Times New Roman"/>
          <w:sz w:val="20"/>
        </w:rPr>
        <w:drawing>
          <wp:inline distT="0" distB="0" distL="0" distR="0">
            <wp:extent cx="4028503" cy="2533650"/>
            <wp:effectExtent l="0" t="0" r="0" b="0"/>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pic:cNvPicPr/>
                  </pic:nvPicPr>
                  <pic:blipFill>
                    <a:blip xmlns:r="http://schemas.openxmlformats.org/officeDocument/2006/relationships" r:embed="rId6" cstate="print"/>
                    <a:stretch>
                      <a:fillRect/>
                    </a:stretch>
                  </pic:blipFill>
                  <pic:spPr>
                    <a:xfrm>
                      <a:off x="0" y="0"/>
                      <a:ext cx="4028503" cy="2533650"/>
                    </a:xfrm>
                    <a:prstGeom prst="rect">
                      <a:avLst/>
                    </a:prstGeom>
                  </pic:spPr>
                </pic:pic>
              </a:graphicData>
            </a:graphic>
          </wp:inline>
        </w:drawing>
      </w:r>
    </w:p>
    <w:p>
      <w:pPr>
        <w:spacing w:after="0"/>
        <w:rPr>
          <w:rFonts w:ascii="Times New Roman"/>
          <w:sz w:val="20"/>
        </w:rPr>
        <w:sectPr>
          <w:footerReference w:type="default" r:id="rId7"/>
          <w:pgSz w:w="11910" w:h="16840"/>
          <w:pgMar w:top="1580" w:right="260" w:bottom="280" w:left="240" w:header="0" w:footer="0"/>
          <w:pgNumType w:start="12"/>
          <w:cols w:space="708"/>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Heading1"/>
        <w:tabs>
          <w:tab w:val="left" w:pos="1253"/>
        </w:tabs>
        <w:spacing w:before="233"/>
        <w:ind w:left="295"/>
      </w:pPr>
      <w:bookmarkStart w:id="0" w:name="目  次"/>
      <w:bookmarkEnd w:id="0"/>
      <w:r>
        <w:t>目</w:t>
        <w:tab/>
        <w:t>次</w:t>
      </w:r>
    </w:p>
    <w:p>
      <w:pPr>
        <w:pStyle w:val="BodyText"/>
        <w:tabs>
          <w:tab w:val="right" w:leader="dot" w:pos="10416"/>
        </w:tabs>
        <w:spacing w:before="585"/>
        <w:ind w:left="1176"/>
      </w:pPr>
      <w:r>
        <w:t>前言</w:t>
      </w:r>
      <w:r>
        <w:rPr>
          <w:rFonts w:ascii="Times New Roman" w:eastAsia="Times New Roman"/>
        </w:rPr>
        <w:tab/>
      </w:r>
      <w:r>
        <w:t>II</w:t>
      </w:r>
    </w:p>
    <w:p>
      <w:pPr>
        <w:pStyle w:val="BodyText"/>
        <w:tabs>
          <w:tab w:val="right" w:leader="dot" w:pos="10418"/>
        </w:tabs>
        <w:spacing w:before="120"/>
        <w:ind w:left="1176"/>
      </w:pPr>
      <w:r>
        <w:t>引言</w:t>
      </w:r>
      <w:r>
        <w:rPr>
          <w:rFonts w:ascii="Times New Roman" w:eastAsia="Times New Roman"/>
        </w:rPr>
        <w:tab/>
      </w:r>
      <w:r>
        <w:t>III</w:t>
      </w:r>
    </w:p>
    <w:p>
      <w:pPr>
        <w:pStyle w:val="ListParagraph"/>
        <w:numPr>
          <w:ilvl w:val="0"/>
          <w:numId w:val="12"/>
        </w:numPr>
        <w:tabs>
          <w:tab w:val="left" w:pos="1494"/>
          <w:tab w:val="right" w:leader="dot" w:pos="10416"/>
        </w:tabs>
        <w:spacing w:before="122" w:after="0" w:line="240" w:lineRule="auto"/>
        <w:ind w:left="1493" w:right="0" w:hanging="318"/>
        <w:jc w:val="left"/>
        <w:rPr>
          <w:sz w:val="21"/>
        </w:rPr>
      </w:pPr>
      <w:r>
        <w:rPr>
          <w:spacing w:val="-3"/>
          <w:sz w:val="21"/>
        </w:rPr>
        <w:t>范围</w:t>
      </w:r>
      <w:r>
        <w:rPr>
          <w:rFonts w:ascii="Times New Roman" w:eastAsia="Times New Roman"/>
          <w:spacing w:val="-3"/>
          <w:sz w:val="21"/>
        </w:rPr>
        <w:tab/>
      </w:r>
      <w:r>
        <w:rPr>
          <w:sz w:val="21"/>
        </w:rPr>
        <w:t>1</w:t>
      </w:r>
    </w:p>
    <w:p>
      <w:pPr>
        <w:pStyle w:val="ListParagraph"/>
        <w:numPr>
          <w:ilvl w:val="0"/>
          <w:numId w:val="12"/>
        </w:numPr>
        <w:tabs>
          <w:tab w:val="left" w:pos="1494"/>
          <w:tab w:val="right" w:leader="dot" w:pos="10416"/>
        </w:tabs>
        <w:spacing w:before="120" w:after="0" w:line="240" w:lineRule="auto"/>
        <w:ind w:left="1493" w:right="0" w:hanging="318"/>
        <w:jc w:val="left"/>
        <w:rPr>
          <w:sz w:val="21"/>
        </w:rPr>
      </w:pPr>
      <w:r>
        <w:rPr>
          <w:spacing w:val="-3"/>
          <w:sz w:val="21"/>
        </w:rPr>
        <w:t>术</w:t>
      </w:r>
      <w:r>
        <w:rPr>
          <w:sz w:val="21"/>
        </w:rPr>
        <w:t>语</w:t>
      </w:r>
      <w:r>
        <w:rPr>
          <w:spacing w:val="-3"/>
          <w:sz w:val="21"/>
        </w:rPr>
        <w:t>和</w:t>
      </w:r>
      <w:r>
        <w:rPr>
          <w:sz w:val="21"/>
        </w:rPr>
        <w:t>定义</w:t>
      </w:r>
      <w:r>
        <w:rPr>
          <w:rFonts w:ascii="Times New Roman" w:eastAsia="Times New Roman"/>
          <w:sz w:val="21"/>
        </w:rPr>
        <w:tab/>
      </w:r>
      <w:r>
        <w:rPr>
          <w:sz w:val="21"/>
        </w:rPr>
        <w:t>1</w:t>
      </w:r>
    </w:p>
    <w:p>
      <w:pPr>
        <w:pStyle w:val="ListParagraph"/>
        <w:numPr>
          <w:ilvl w:val="0"/>
          <w:numId w:val="12"/>
        </w:numPr>
        <w:tabs>
          <w:tab w:val="left" w:pos="1494"/>
          <w:tab w:val="right" w:leader="dot" w:pos="10416"/>
        </w:tabs>
        <w:spacing w:before="122" w:after="0" w:line="240" w:lineRule="auto"/>
        <w:ind w:left="1493" w:right="0" w:hanging="318"/>
        <w:jc w:val="left"/>
        <w:rPr>
          <w:sz w:val="21"/>
        </w:rPr>
      </w:pPr>
      <w:r>
        <w:rPr>
          <w:spacing w:val="-3"/>
          <w:sz w:val="21"/>
        </w:rPr>
        <w:t>总则</w:t>
      </w:r>
      <w:r>
        <w:rPr>
          <w:rFonts w:ascii="Times New Roman" w:eastAsia="Times New Roman"/>
          <w:spacing w:val="-3"/>
          <w:sz w:val="21"/>
        </w:rPr>
        <w:tab/>
      </w:r>
      <w:r>
        <w:rPr>
          <w:sz w:val="21"/>
        </w:rPr>
        <w:t>1</w:t>
      </w:r>
    </w:p>
    <w:p>
      <w:pPr>
        <w:pStyle w:val="ListParagraph"/>
        <w:numPr>
          <w:ilvl w:val="0"/>
          <w:numId w:val="12"/>
        </w:numPr>
        <w:tabs>
          <w:tab w:val="left" w:pos="1494"/>
          <w:tab w:val="right" w:leader="dot" w:pos="10416"/>
        </w:tabs>
        <w:spacing w:before="120" w:after="0" w:line="240" w:lineRule="auto"/>
        <w:ind w:left="1493" w:right="0" w:hanging="318"/>
        <w:jc w:val="left"/>
        <w:rPr>
          <w:sz w:val="21"/>
        </w:rPr>
      </w:pPr>
      <w:r>
        <w:rPr>
          <w:spacing w:val="-3"/>
          <w:sz w:val="21"/>
        </w:rPr>
        <w:t>等</w:t>
      </w:r>
      <w:r>
        <w:rPr>
          <w:sz w:val="21"/>
        </w:rPr>
        <w:t>级</w:t>
      </w:r>
      <w:r>
        <w:rPr>
          <w:spacing w:val="-3"/>
          <w:sz w:val="21"/>
        </w:rPr>
        <w:t>划</w:t>
      </w:r>
      <w:r>
        <w:rPr>
          <w:sz w:val="21"/>
        </w:rPr>
        <w:t>分</w:t>
      </w:r>
      <w:r>
        <w:rPr>
          <w:spacing w:val="-3"/>
          <w:sz w:val="21"/>
        </w:rPr>
        <w:t>条件</w:t>
      </w:r>
      <w:r>
        <w:rPr>
          <w:rFonts w:ascii="Times New Roman" w:eastAsia="Times New Roman"/>
          <w:spacing w:val="-3"/>
          <w:sz w:val="21"/>
        </w:rPr>
        <w:tab/>
      </w:r>
      <w:r>
        <w:rPr>
          <w:sz w:val="21"/>
        </w:rPr>
        <w:t>1</w:t>
      </w:r>
    </w:p>
    <w:p>
      <w:pPr>
        <w:pStyle w:val="ListParagraph"/>
        <w:numPr>
          <w:ilvl w:val="0"/>
          <w:numId w:val="12"/>
        </w:numPr>
        <w:tabs>
          <w:tab w:val="left" w:pos="1494"/>
          <w:tab w:val="right" w:leader="dot" w:pos="10416"/>
        </w:tabs>
        <w:spacing w:before="122" w:after="0" w:line="240" w:lineRule="auto"/>
        <w:ind w:left="1493" w:right="0" w:hanging="318"/>
        <w:jc w:val="left"/>
        <w:rPr>
          <w:sz w:val="21"/>
        </w:rPr>
      </w:pPr>
      <w:r>
        <w:rPr>
          <w:spacing w:val="-3"/>
          <w:sz w:val="21"/>
        </w:rPr>
        <w:t>等</w:t>
      </w:r>
      <w:r>
        <w:rPr>
          <w:sz w:val="21"/>
        </w:rPr>
        <w:t>级</w:t>
      </w:r>
      <w:r>
        <w:rPr>
          <w:spacing w:val="-3"/>
          <w:sz w:val="21"/>
        </w:rPr>
        <w:t>评</w:t>
      </w:r>
      <w:r>
        <w:rPr>
          <w:sz w:val="21"/>
        </w:rPr>
        <w:t>定</w:t>
      </w:r>
      <w:r>
        <w:rPr>
          <w:spacing w:val="-3"/>
          <w:sz w:val="21"/>
        </w:rPr>
        <w:t>与</w:t>
      </w:r>
      <w:r>
        <w:rPr>
          <w:sz w:val="21"/>
        </w:rPr>
        <w:t>管理</w:t>
      </w:r>
      <w:r>
        <w:rPr>
          <w:rFonts w:ascii="Times New Roman" w:eastAsia="Times New Roman"/>
          <w:sz w:val="21"/>
        </w:rPr>
        <w:tab/>
      </w:r>
      <w:r>
        <w:rPr>
          <w:sz w:val="21"/>
        </w:rPr>
        <w:t>2</w:t>
      </w:r>
    </w:p>
    <w:p>
      <w:pPr>
        <w:pStyle w:val="BodyText"/>
        <w:tabs>
          <w:tab w:val="right" w:leader="dot" w:pos="10416"/>
        </w:tabs>
        <w:spacing w:before="120"/>
        <w:ind w:left="1176"/>
      </w:pPr>
      <w:r>
        <w:t>附录</w:t>
      </w:r>
      <w:r>
        <w:rPr>
          <w:spacing w:val="-53"/>
        </w:rPr>
        <w:t xml:space="preserve"> </w:t>
      </w:r>
      <w:r>
        <w:t>A（</w:t>
      </w:r>
      <w:r>
        <w:rPr>
          <w:spacing w:val="-3"/>
        </w:rPr>
        <w:t>规</w:t>
      </w:r>
      <w:r>
        <w:t>范</w:t>
      </w:r>
      <w:r>
        <w:rPr>
          <w:spacing w:val="-3"/>
        </w:rPr>
        <w:t>性</w:t>
      </w:r>
      <w:r>
        <w:t>附</w:t>
      </w:r>
      <w:r>
        <w:rPr>
          <w:spacing w:val="-3"/>
        </w:rPr>
        <w:t>录</w:t>
      </w:r>
      <w:r>
        <w:t>）</w:t>
      </w:r>
      <w:r>
        <w:rPr>
          <w:spacing w:val="104"/>
        </w:rPr>
        <w:t xml:space="preserve"> </w:t>
      </w:r>
      <w:r>
        <w:t>清洁</w:t>
      </w:r>
      <w:r>
        <w:rPr>
          <w:spacing w:val="-3"/>
        </w:rPr>
        <w:t>服</w:t>
      </w:r>
      <w:r>
        <w:t>务</w:t>
      </w:r>
      <w:r>
        <w:rPr>
          <w:spacing w:val="-3"/>
        </w:rPr>
        <w:t>机</w:t>
      </w:r>
      <w:r>
        <w:t>构</w:t>
      </w:r>
      <w:r>
        <w:rPr>
          <w:spacing w:val="-3"/>
        </w:rPr>
        <w:t>等</w:t>
      </w:r>
      <w:r>
        <w:t>级</w:t>
      </w:r>
      <w:r>
        <w:rPr>
          <w:spacing w:val="-3"/>
        </w:rPr>
        <w:t>评</w:t>
      </w:r>
      <w:r>
        <w:t>价</w:t>
      </w:r>
      <w:r>
        <w:rPr>
          <w:spacing w:val="-3"/>
        </w:rPr>
        <w:t>办</w:t>
      </w:r>
      <w:r>
        <w:t>法</w:t>
      </w:r>
      <w:r>
        <w:rPr>
          <w:rFonts w:ascii="Times New Roman" w:eastAsia="Times New Roman"/>
        </w:rPr>
        <w:tab/>
      </w:r>
      <w:r>
        <w:t>5</w:t>
      </w:r>
    </w:p>
    <w:p>
      <w:pPr>
        <w:pStyle w:val="BodyText"/>
        <w:tabs>
          <w:tab w:val="right" w:leader="dot" w:pos="10416"/>
        </w:tabs>
        <w:spacing w:before="122"/>
        <w:ind w:left="1176"/>
      </w:pPr>
      <w:r>
        <w:drawing>
          <wp:anchor distT="0" distB="0" distL="0" distR="0" simplePos="0" relativeHeight="251662336" behindDoc="0" locked="0" layoutInCell="1" allowOverlap="1">
            <wp:simplePos x="0" y="0"/>
            <wp:positionH relativeFrom="page">
              <wp:posOffset>215900</wp:posOffset>
            </wp:positionH>
            <wp:positionV relativeFrom="paragraph">
              <wp:posOffset>1058261</wp:posOffset>
            </wp:positionV>
            <wp:extent cx="7112000" cy="48768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t>附录</w:t>
      </w:r>
      <w:r>
        <w:rPr>
          <w:spacing w:val="-53"/>
        </w:rPr>
        <w:t xml:space="preserve"> </w:t>
      </w:r>
      <w:r>
        <w:t>B（</w:t>
      </w:r>
      <w:r>
        <w:rPr>
          <w:spacing w:val="-3"/>
        </w:rPr>
        <w:t>资</w:t>
      </w:r>
      <w:r>
        <w:t>料</w:t>
      </w:r>
      <w:r>
        <w:rPr>
          <w:spacing w:val="-3"/>
        </w:rPr>
        <w:t>性</w:t>
      </w:r>
      <w:r>
        <w:t>附</w:t>
      </w:r>
      <w:r>
        <w:rPr>
          <w:spacing w:val="-3"/>
        </w:rPr>
        <w:t>录</w:t>
      </w:r>
      <w:r>
        <w:t>）</w:t>
      </w:r>
      <w:r>
        <w:rPr>
          <w:spacing w:val="104"/>
        </w:rPr>
        <w:t xml:space="preserve"> </w:t>
      </w:r>
      <w:r>
        <w:t>清洁</w:t>
      </w:r>
      <w:r>
        <w:rPr>
          <w:spacing w:val="-3"/>
        </w:rPr>
        <w:t>服</w:t>
      </w:r>
      <w:r>
        <w:t>务</w:t>
      </w:r>
      <w:r>
        <w:rPr>
          <w:spacing w:val="-3"/>
        </w:rPr>
        <w:t>机</w:t>
      </w:r>
      <w:r>
        <w:t>构</w:t>
      </w:r>
      <w:r>
        <w:rPr>
          <w:spacing w:val="-3"/>
        </w:rPr>
        <w:t>申</w:t>
      </w:r>
      <w:r>
        <w:t>报</w:t>
      </w:r>
      <w:r>
        <w:rPr>
          <w:spacing w:val="-3"/>
        </w:rPr>
        <w:t>信</w:t>
      </w:r>
      <w:r>
        <w:t>息表</w:t>
      </w:r>
      <w:r>
        <w:rPr>
          <w:rFonts w:ascii="Times New Roman" w:eastAsia="Times New Roman"/>
        </w:rPr>
        <w:tab/>
      </w:r>
      <w:r>
        <w:t>15</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pPr>
      <w:r>
        <w:pict>
          <v:shape id="_x0000_s1035" type="#_x0000_t202" style="width:5.5pt;height:9pt;margin-top:15.65pt;margin-left:524.04pt;mso-position-horizontal-relative:page;mso-wrap-distance-left:0;mso-wrap-distance-right:0;position:absolute;z-index:-251653120" filled="f" stroked="f">
            <v:textbox inset="0,0,0,0">
              <w:txbxContent>
                <w:p>
                  <w:pPr>
                    <w:spacing w:before="0" w:line="180" w:lineRule="exact"/>
                    <w:ind w:left="0" w:right="0" w:firstLine="0"/>
                    <w:jc w:val="left"/>
                    <w:rPr>
                      <w:sz w:val="18"/>
                    </w:rPr>
                  </w:pPr>
                  <w:r>
                    <w:rPr>
                      <w:sz w:val="18"/>
                    </w:rPr>
                    <w:t>I</w:t>
                  </w:r>
                </w:p>
              </w:txbxContent>
            </v:textbox>
            <w10:wrap type="topAndBottom"/>
          </v:shape>
        </w:pict>
      </w:r>
    </w:p>
    <w:p>
      <w:pPr>
        <w:spacing w:after="0"/>
        <w:sectPr>
          <w:headerReference w:type="even" r:id="rId8"/>
          <w:headerReference w:type="default" r:id="rId9"/>
          <w:footerReference w:type="default" r:id="rId10"/>
          <w:pgSz w:w="11910" w:h="16840"/>
          <w:pgMar w:top="1660" w:right="260" w:bottom="280" w:left="240" w:header="1441" w:footer="0"/>
          <w:pgNumType w:start="13"/>
          <w:cols w:space="708"/>
        </w:sectPr>
      </w:pPr>
    </w:p>
    <w:p>
      <w:pPr>
        <w:pStyle w:val="BodyText"/>
        <w:rPr>
          <w:sz w:val="20"/>
        </w:rPr>
      </w:pPr>
      <w:r>
        <w:drawing>
          <wp:anchor distT="0" distB="0" distL="0" distR="0" simplePos="0" relativeHeight="251664384"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pPr>
        <w:pStyle w:val="BodyText"/>
        <w:rPr>
          <w:sz w:val="20"/>
        </w:rPr>
      </w:pPr>
    </w:p>
    <w:p>
      <w:pPr>
        <w:pStyle w:val="BodyText"/>
        <w:rPr>
          <w:sz w:val="20"/>
        </w:rPr>
      </w:pPr>
    </w:p>
    <w:p>
      <w:pPr>
        <w:tabs>
          <w:tab w:val="left" w:pos="801"/>
        </w:tabs>
        <w:spacing w:before="228"/>
        <w:ind w:left="0" w:right="265" w:firstLine="0"/>
        <w:jc w:val="center"/>
        <w:rPr>
          <w:rFonts w:ascii="黑体" w:eastAsia="黑体" w:hint="eastAsia"/>
          <w:sz w:val="32"/>
        </w:rPr>
      </w:pPr>
      <w:bookmarkStart w:id="1" w:name="前   言"/>
      <w:bookmarkEnd w:id="1"/>
      <w:r>
        <w:rPr>
          <w:rFonts w:ascii="黑体" w:eastAsia="黑体" w:hint="eastAsia"/>
          <w:sz w:val="32"/>
        </w:rPr>
        <w:t>前</w:t>
        <w:tab/>
        <w:t>言</w:t>
      </w:r>
    </w:p>
    <w:p>
      <w:pPr>
        <w:pStyle w:val="BodyText"/>
        <w:rPr>
          <w:rFonts w:ascii="黑体"/>
          <w:sz w:val="32"/>
        </w:rPr>
      </w:pPr>
    </w:p>
    <w:p>
      <w:pPr>
        <w:pStyle w:val="BodyText"/>
        <w:spacing w:before="281"/>
        <w:ind w:left="1312"/>
      </w:pPr>
      <w:r>
        <w:t>本标准按照GB/T 1.1-2009给出的规则起草。</w:t>
      </w:r>
    </w:p>
    <w:p>
      <w:pPr>
        <w:pStyle w:val="BodyText"/>
        <w:spacing w:before="43"/>
        <w:ind w:left="1313"/>
      </w:pPr>
      <w:r>
        <w:t>本标准由武汉市清洁服务标准化技术委员会提出并归口。</w:t>
      </w:r>
    </w:p>
    <w:p>
      <w:pPr>
        <w:pStyle w:val="BodyText"/>
        <w:spacing w:before="43" w:line="278" w:lineRule="auto"/>
        <w:ind w:left="893" w:right="1151" w:firstLine="419"/>
        <w:jc w:val="both"/>
      </w:pPr>
      <w:r>
        <w:rPr>
          <w:spacing w:val="-10"/>
        </w:rPr>
        <w:t>本标准起草单位：武汉市清洁行业协会、武汉市标准化研究院、武汉爱洁物业管理有限公司、北京众泰清洁服务有限责任公司、武汉众和物业服务有限公司、武汉汇邦物业管理有限公司、武汉登峰物业管理服务有限公司、武汉吉诚鑫盛物业服务有限公司、武汉鑫连鑫物业管理有限公司、武汉永乐物业管</w:t>
      </w:r>
      <w:r>
        <w:rPr>
          <w:spacing w:val="-2"/>
        </w:rPr>
        <w:t>理有限公司。</w:t>
      </w:r>
    </w:p>
    <w:p>
      <w:pPr>
        <w:pStyle w:val="BodyText"/>
        <w:spacing w:line="278" w:lineRule="auto"/>
        <w:ind w:left="893" w:right="1477" w:firstLine="419"/>
      </w:pPr>
      <w:r>
        <w:t>本标准主要起草人：张宁、黄青、刘恩惠、王五胜、霍晓力、周大宁、曾伟、蔡永辉、孙涛、张喜东、王会先、童国元、姜芳兰、吴明冬、徐光荣、段瑛、成诗琪。</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18"/>
        </w:rPr>
      </w:pPr>
      <w:r>
        <w:pict>
          <v:shape id="_x0000_s1036" type="#_x0000_t202" style="width:10.15pt;height:9pt;margin-top:13.66pt;margin-left:67.68pt;mso-position-horizontal-relative:page;mso-wrap-distance-left:0;mso-wrap-distance-right:0;position:absolute;z-index:-251651072" filled="f" stroked="f">
            <v:textbox inset="0,0,0,0">
              <w:txbxContent>
                <w:p>
                  <w:pPr>
                    <w:spacing w:before="0" w:line="180" w:lineRule="exact"/>
                    <w:ind w:left="0" w:right="0" w:firstLine="0"/>
                    <w:jc w:val="left"/>
                    <w:rPr>
                      <w:sz w:val="18"/>
                    </w:rPr>
                  </w:pPr>
                  <w:r>
                    <w:rPr>
                      <w:sz w:val="18"/>
                    </w:rPr>
                    <w:t>II</w:t>
                  </w:r>
                </w:p>
              </w:txbxContent>
            </v:textbox>
            <w10:wrap type="topAndBottom"/>
          </v:shape>
        </w:pict>
      </w:r>
    </w:p>
    <w:p>
      <w:pPr>
        <w:spacing w:after="0"/>
        <w:rPr>
          <w:sz w:val="18"/>
        </w:rPr>
        <w:sectPr>
          <w:headerReference w:type="even" r:id="rId11"/>
          <w:headerReference w:type="default" r:id="rId12"/>
          <w:footerReference w:type="default" r:id="rId13"/>
          <w:pgSz w:w="11910" w:h="16840"/>
          <w:pgMar w:top="1640" w:right="260" w:bottom="280" w:left="240" w:header="1448" w:footer="0"/>
          <w:pgNumType w:start="14"/>
          <w:cols w:space="708"/>
        </w:sectPr>
      </w:pPr>
    </w:p>
    <w:p>
      <w:pPr>
        <w:pStyle w:val="BodyText"/>
        <w:rPr>
          <w:sz w:val="20"/>
        </w:rPr>
      </w:pPr>
      <w:r>
        <w:drawing>
          <wp:anchor distT="0" distB="0" distL="0" distR="0" simplePos="0" relativeHeight="251666432"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pPr>
        <w:pStyle w:val="BodyText"/>
        <w:rPr>
          <w:sz w:val="20"/>
        </w:rPr>
      </w:pPr>
    </w:p>
    <w:p>
      <w:pPr>
        <w:pStyle w:val="BodyText"/>
        <w:rPr>
          <w:sz w:val="20"/>
        </w:rPr>
      </w:pPr>
    </w:p>
    <w:p>
      <w:pPr>
        <w:pStyle w:val="Heading1"/>
        <w:tabs>
          <w:tab w:val="left" w:pos="1100"/>
        </w:tabs>
        <w:spacing w:before="212"/>
        <w:ind w:left="298"/>
      </w:pPr>
      <w:bookmarkStart w:id="2" w:name="引   言"/>
      <w:bookmarkEnd w:id="2"/>
      <w:r>
        <w:t>引</w:t>
        <w:tab/>
        <w:t>言</w:t>
      </w:r>
    </w:p>
    <w:p>
      <w:pPr>
        <w:pStyle w:val="BodyText"/>
        <w:rPr>
          <w:rFonts w:ascii="黑体"/>
          <w:sz w:val="32"/>
        </w:rPr>
      </w:pPr>
    </w:p>
    <w:p>
      <w:pPr>
        <w:pStyle w:val="BodyText"/>
        <w:spacing w:before="281" w:line="278" w:lineRule="auto"/>
        <w:ind w:left="1175" w:right="868" w:firstLine="420"/>
      </w:pPr>
      <w:r>
        <w:rPr>
          <w:spacing w:val="-8"/>
        </w:rPr>
        <w:t>为了提高清洁服务行业管理水平，规范清洁服务行业市场秩序，帮助消费者选择适当等级的清洁服</w:t>
      </w:r>
      <w:r>
        <w:rPr>
          <w:spacing w:val="-5"/>
        </w:rPr>
        <w:t>务机构作为购买服务和合作对象，特制定本标准。</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4"/>
        </w:rPr>
      </w:pPr>
      <w:r>
        <w:pict>
          <v:shape id="_x0000_s1037" type="#_x0000_t202" style="width:14.7pt;height:9pt;margin-top:17.6pt;margin-left:515.04pt;mso-position-horizontal-relative:page;mso-wrap-distance-left:0;mso-wrap-distance-right:0;position:absolute;z-index:-251649024" filled="f" stroked="f">
            <v:textbox inset="0,0,0,0">
              <w:txbxContent>
                <w:p>
                  <w:pPr>
                    <w:spacing w:before="0" w:line="180" w:lineRule="exact"/>
                    <w:ind w:left="0" w:right="0" w:firstLine="0"/>
                    <w:jc w:val="left"/>
                    <w:rPr>
                      <w:sz w:val="18"/>
                    </w:rPr>
                  </w:pPr>
                  <w:r>
                    <w:rPr>
                      <w:sz w:val="18"/>
                    </w:rPr>
                    <w:t>III</w:t>
                  </w:r>
                </w:p>
              </w:txbxContent>
            </v:textbox>
            <w10:wrap type="topAndBottom"/>
          </v:shape>
        </w:pict>
      </w:r>
    </w:p>
    <w:p>
      <w:pPr>
        <w:spacing w:after="0"/>
        <w:rPr>
          <w:sz w:val="24"/>
        </w:rPr>
        <w:sectPr>
          <w:headerReference w:type="even" r:id="rId14"/>
          <w:headerReference w:type="default" r:id="rId15"/>
          <w:footerReference w:type="default" r:id="rId16"/>
          <w:pgSz w:w="11910" w:h="16840"/>
          <w:pgMar w:top="1660" w:right="260" w:bottom="280" w:left="240" w:header="1441" w:footer="0"/>
          <w:pgNumType w:start="15"/>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7"/>
        </w:rPr>
      </w:pPr>
    </w:p>
    <w:p>
      <w:pPr>
        <w:pStyle w:val="BodyText"/>
        <w:ind w:left="2860"/>
        <w:rPr>
          <w:sz w:val="20"/>
        </w:rPr>
      </w:pPr>
      <w:r>
        <w:rPr>
          <w:sz w:val="20"/>
        </w:rPr>
        <w:drawing>
          <wp:inline distT="0" distB="0" distL="0" distR="0">
            <wp:extent cx="4028503" cy="2533650"/>
            <wp:effectExtent l="0" t="0" r="0" b="0"/>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png"/>
                    <pic:cNvPicPr/>
                  </pic:nvPicPr>
                  <pic:blipFill>
                    <a:blip xmlns:r="http://schemas.openxmlformats.org/officeDocument/2006/relationships" r:embed="rId6" cstate="print"/>
                    <a:stretch>
                      <a:fillRect/>
                    </a:stretch>
                  </pic:blipFill>
                  <pic:spPr>
                    <a:xfrm>
                      <a:off x="0" y="0"/>
                      <a:ext cx="4028503" cy="2533650"/>
                    </a:xfrm>
                    <a:prstGeom prst="rect">
                      <a:avLst/>
                    </a:prstGeom>
                  </pic:spPr>
                </pic:pic>
              </a:graphicData>
            </a:graphic>
          </wp:inline>
        </w:drawing>
      </w:r>
    </w:p>
    <w:p>
      <w:pPr>
        <w:spacing w:after="0"/>
        <w:rPr>
          <w:sz w:val="20"/>
        </w:rPr>
        <w:sectPr>
          <w:headerReference w:type="even" r:id="rId17"/>
          <w:headerReference w:type="default" r:id="rId18"/>
          <w:footerReference w:type="default" r:id="rId19"/>
          <w:pgSz w:w="11910" w:h="16840"/>
          <w:pgMar w:top="1580" w:right="260" w:bottom="280" w:left="240" w:header="0" w:footer="0"/>
          <w:pgNumType w:start="16"/>
          <w:cols w:space="708"/>
        </w:sectPr>
      </w:pPr>
    </w:p>
    <w:p>
      <w:pPr>
        <w:pStyle w:val="BodyText"/>
        <w:spacing w:before="61"/>
        <w:ind w:right="870"/>
        <w:jc w:val="right"/>
        <w:rPr>
          <w:rFonts w:ascii="黑体" w:hAnsi="黑体"/>
        </w:rPr>
      </w:pPr>
      <w:r>
        <w:pict>
          <v:group id="_x0000_s1038" style="width:595.5pt;height:842.15pt;margin-top:-0.09pt;margin-left:-0.09pt;mso-position-horizontal-relative:page;mso-position-vertical-relative:page;position:absolute;z-index:-251648000" coordorigin="-2,-2" coordsize="11910,16843">
            <v:shape id="_x0000_s1039" type="#_x0000_t75" style="width:6067;height:8051;left:2650;position:absolute;top:4649" stroked="f">
              <v:imagedata r:id="rId20" o:title=""/>
            </v:shape>
            <v:rect id="_x0000_s1040" style="width:11906;height:16838;position:absolute" filled="f" stroked="t" strokecolor="#231916" strokeweight="0.22pt">
              <v:stroke dashstyle="solid"/>
            </v:rect>
            <v:shape id="_x0000_s1041" type="#_x0000_t75" style="width:11200;height:7680;left:340;position:absolute;top:8258" stroked="f">
              <v:imagedata r:id="rId4" o:title=""/>
            </v:shape>
          </v:group>
        </w:pict>
      </w:r>
      <w:r>
        <w:rPr>
          <w:rFonts w:ascii="黑体" w:hAnsi="黑体"/>
        </w:rPr>
        <w:t>DB4201/T 532</w:t>
      </w:r>
      <w:r>
        <w:rPr>
          <w:rFonts w:ascii="Times New Roman" w:hAnsi="Times New Roman"/>
        </w:rPr>
        <w:t>—</w:t>
      </w:r>
      <w:r>
        <w:rPr>
          <w:rFonts w:ascii="黑体" w:hAnsi="黑体"/>
        </w:rPr>
        <w:t>2017</w:t>
      </w:r>
    </w:p>
    <w:p>
      <w:pPr>
        <w:pStyle w:val="BodyText"/>
        <w:rPr>
          <w:rFonts w:ascii="黑体"/>
          <w:sz w:val="20"/>
        </w:rPr>
      </w:pPr>
    </w:p>
    <w:p>
      <w:pPr>
        <w:pStyle w:val="BodyText"/>
        <w:rPr>
          <w:rFonts w:ascii="黑体"/>
          <w:sz w:val="20"/>
        </w:rPr>
      </w:pPr>
    </w:p>
    <w:p>
      <w:pPr>
        <w:pStyle w:val="BodyText"/>
        <w:spacing w:before="10"/>
        <w:rPr>
          <w:rFonts w:ascii="黑体"/>
          <w:sz w:val="26"/>
        </w:rPr>
      </w:pPr>
    </w:p>
    <w:p>
      <w:pPr>
        <w:pStyle w:val="Heading1"/>
        <w:ind w:left="296"/>
      </w:pPr>
      <w:bookmarkStart w:id="3" w:name="清洁服务机构等级划分与评定"/>
      <w:bookmarkEnd w:id="3"/>
      <w:r>
        <w:t>清洁服务机构等级划分与评定</w:t>
      </w:r>
    </w:p>
    <w:p>
      <w:pPr>
        <w:pStyle w:val="BodyText"/>
        <w:rPr>
          <w:rFonts w:ascii="黑体"/>
          <w:sz w:val="20"/>
        </w:rPr>
      </w:pPr>
    </w:p>
    <w:p>
      <w:pPr>
        <w:pStyle w:val="BodyText"/>
        <w:spacing w:before="1"/>
        <w:rPr>
          <w:rFonts w:ascii="黑体"/>
          <w:sz w:val="20"/>
        </w:rPr>
      </w:pPr>
    </w:p>
    <w:p>
      <w:pPr>
        <w:pStyle w:val="ListParagraph"/>
        <w:numPr>
          <w:ilvl w:val="0"/>
          <w:numId w:val="13"/>
        </w:numPr>
        <w:tabs>
          <w:tab w:val="left" w:pos="1491"/>
        </w:tabs>
        <w:spacing w:before="72" w:after="0" w:line="240" w:lineRule="auto"/>
        <w:ind w:left="1490" w:right="0" w:hanging="315"/>
        <w:jc w:val="left"/>
        <w:rPr>
          <w:rFonts w:ascii="黑体" w:eastAsia="黑体" w:hint="eastAsia"/>
          <w:sz w:val="21"/>
        </w:rPr>
      </w:pPr>
      <w:bookmarkStart w:id="4" w:name="1　 范围"/>
      <w:bookmarkEnd w:id="4"/>
      <w:r>
        <w:rPr>
          <w:rFonts w:ascii="黑体" w:eastAsia="黑体" w:hint="eastAsia"/>
          <w:sz w:val="21"/>
        </w:rPr>
        <w:t>范围</w:t>
      </w:r>
    </w:p>
    <w:p>
      <w:pPr>
        <w:pStyle w:val="BodyText"/>
        <w:spacing w:before="9"/>
        <w:rPr>
          <w:rFonts w:ascii="黑体"/>
          <w:sz w:val="27"/>
        </w:rPr>
      </w:pPr>
    </w:p>
    <w:p>
      <w:pPr>
        <w:pStyle w:val="BodyText"/>
        <w:spacing w:line="278" w:lineRule="auto"/>
        <w:ind w:left="1595" w:right="872"/>
      </w:pPr>
      <w:r>
        <w:rPr>
          <w:spacing w:val="-14"/>
        </w:rPr>
        <w:t>本标准规定了清洁服务机构等级划分与评定的术语和定义、总则、等级划分条件、等级评定与管理。</w:t>
      </w:r>
      <w:r>
        <w:rPr>
          <w:spacing w:val="-3"/>
        </w:rPr>
        <w:t>本标准适用于武汉市行政区域内清洁服务机构的等级划分与评定。</w:t>
      </w:r>
    </w:p>
    <w:p>
      <w:pPr>
        <w:pStyle w:val="BodyText"/>
        <w:spacing w:before="7"/>
        <w:rPr>
          <w:sz w:val="24"/>
        </w:rPr>
      </w:pPr>
    </w:p>
    <w:p>
      <w:pPr>
        <w:pStyle w:val="ListParagraph"/>
        <w:numPr>
          <w:ilvl w:val="0"/>
          <w:numId w:val="13"/>
        </w:numPr>
        <w:tabs>
          <w:tab w:val="left" w:pos="1491"/>
        </w:tabs>
        <w:spacing w:before="0" w:after="0" w:line="240" w:lineRule="auto"/>
        <w:ind w:left="1490" w:right="0" w:hanging="316"/>
        <w:jc w:val="left"/>
        <w:rPr>
          <w:rFonts w:ascii="黑体" w:eastAsia="黑体" w:hint="eastAsia"/>
          <w:sz w:val="21"/>
        </w:rPr>
      </w:pPr>
      <w:bookmarkStart w:id="5" w:name="2　 术语和定义"/>
      <w:bookmarkEnd w:id="5"/>
      <w:r>
        <w:rPr>
          <w:rFonts w:ascii="黑体" w:eastAsia="黑体" w:hint="eastAsia"/>
          <w:spacing w:val="-1"/>
          <w:sz w:val="21"/>
        </w:rPr>
        <w:t>术语和定义</w:t>
      </w:r>
    </w:p>
    <w:p>
      <w:pPr>
        <w:pStyle w:val="BodyText"/>
        <w:spacing w:before="6"/>
        <w:rPr>
          <w:rFonts w:ascii="黑体"/>
          <w:sz w:val="27"/>
        </w:rPr>
      </w:pPr>
    </w:p>
    <w:p>
      <w:pPr>
        <w:pStyle w:val="BodyText"/>
        <w:ind w:left="1595"/>
      </w:pPr>
      <w:r>
        <w:t>下列术语和定义适用于本文件。</w:t>
      </w:r>
    </w:p>
    <w:p>
      <w:pPr>
        <w:pStyle w:val="BodyText"/>
        <w:spacing w:before="7"/>
        <w:rPr>
          <w:sz w:val="15"/>
        </w:rPr>
      </w:pPr>
    </w:p>
    <w:p>
      <w:pPr>
        <w:pStyle w:val="BodyText"/>
        <w:ind w:left="1176"/>
        <w:rPr>
          <w:rFonts w:ascii="黑体"/>
        </w:rPr>
      </w:pPr>
      <w:bookmarkStart w:id="6" w:name="2.1"/>
      <w:bookmarkEnd w:id="6"/>
      <w:r>
        <w:rPr>
          <w:rFonts w:ascii="黑体"/>
        </w:rPr>
        <w:t>2.1</w:t>
      </w:r>
    </w:p>
    <w:p>
      <w:pPr>
        <w:pStyle w:val="BodyText"/>
        <w:spacing w:before="7"/>
        <w:rPr>
          <w:rFonts w:ascii="黑体"/>
          <w:sz w:val="15"/>
        </w:rPr>
      </w:pPr>
    </w:p>
    <w:p>
      <w:pPr>
        <w:pStyle w:val="BodyText"/>
        <w:ind w:left="1596"/>
        <w:rPr>
          <w:rFonts w:ascii="黑体" w:eastAsia="黑体" w:hint="eastAsia"/>
        </w:rPr>
      </w:pPr>
      <w:r>
        <w:rPr>
          <w:rFonts w:ascii="黑体" w:eastAsia="黑体" w:hint="eastAsia"/>
        </w:rPr>
        <w:t>清洁服务 cleaning service</w:t>
      </w:r>
    </w:p>
    <w:p>
      <w:pPr>
        <w:pStyle w:val="BodyText"/>
        <w:spacing w:before="43" w:line="278" w:lineRule="auto"/>
        <w:ind w:left="1176" w:right="872" w:firstLine="419"/>
      </w:pPr>
      <w:r>
        <w:rPr>
          <w:spacing w:val="-10"/>
        </w:rPr>
        <w:t>专业人员使用专用设备、工具、用品和药剂等，按照一定的工艺和操作规程去除服务对象表面污染</w:t>
      </w:r>
      <w:r>
        <w:rPr>
          <w:spacing w:val="-3"/>
        </w:rPr>
        <w:t>物，净化其特定区域空气，增加其环境视觉美感的过程。</w:t>
      </w:r>
    </w:p>
    <w:p>
      <w:pPr>
        <w:pStyle w:val="BodyText"/>
        <w:spacing w:before="156"/>
        <w:ind w:left="1176"/>
        <w:rPr>
          <w:rFonts w:ascii="黑体"/>
        </w:rPr>
      </w:pPr>
      <w:bookmarkStart w:id="7" w:name="2.2"/>
      <w:bookmarkEnd w:id="7"/>
      <w:r>
        <w:rPr>
          <w:rFonts w:ascii="黑体"/>
        </w:rPr>
        <w:t>2.2</w:t>
      </w:r>
    </w:p>
    <w:p>
      <w:pPr>
        <w:pStyle w:val="BodyText"/>
        <w:spacing w:before="8"/>
        <w:rPr>
          <w:rFonts w:ascii="黑体"/>
          <w:sz w:val="14"/>
        </w:rPr>
      </w:pPr>
      <w:r>
        <w:pict>
          <v:group id="_x0000_s1042" style="width:468.6pt;height:368.7pt;margin-top:11.32pt;margin-left:70.8pt;mso-position-horizontal-relative:page;mso-wrap-distance-left:0;mso-wrap-distance-right:0;position:absolute;z-index:-251646976" coordorigin="1416,226" coordsize="9372,7374">
            <v:shape id="_x0000_s1043" type="#_x0000_t202" style="width:4432;height:524;left:1836;position:absolute;top:226" filled="f" stroked="f">
              <v:textbox inset="0,0,0,0">
                <w:txbxContent>
                  <w:p>
                    <w:pPr>
                      <w:spacing w:before="0" w:line="241" w:lineRule="exact"/>
                      <w:ind w:left="0" w:right="0" w:firstLine="0"/>
                      <w:jc w:val="left"/>
                      <w:rPr>
                        <w:rFonts w:ascii="黑体" w:eastAsia="黑体" w:hint="eastAsia"/>
                        <w:sz w:val="21"/>
                      </w:rPr>
                    </w:pPr>
                    <w:r>
                      <w:rPr>
                        <w:rFonts w:ascii="黑体" w:eastAsia="黑体" w:hint="eastAsia"/>
                        <w:sz w:val="21"/>
                      </w:rPr>
                      <w:t>清洁服务机构 health and cleaning services</w:t>
                    </w:r>
                  </w:p>
                  <w:p>
                    <w:pPr>
                      <w:spacing w:before="43" w:line="240" w:lineRule="exact"/>
                      <w:ind w:left="0" w:right="0" w:firstLine="0"/>
                      <w:jc w:val="left"/>
                      <w:rPr>
                        <w:sz w:val="21"/>
                      </w:rPr>
                    </w:pPr>
                    <w:r>
                      <w:rPr>
                        <w:sz w:val="21"/>
                      </w:rPr>
                      <w:t>有偿提供清洁服务的机构。</w:t>
                    </w:r>
                  </w:p>
                </w:txbxContent>
              </v:textbox>
            </v:shape>
            <v:shape id="_x0000_s1044" type="#_x0000_t202" style="width:337;height:212;left:1416;position:absolute;top:1006" filled="f" stroked="f">
              <v:textbox inset="0,0,0,0">
                <w:txbxContent>
                  <w:p>
                    <w:pPr>
                      <w:spacing w:before="0" w:line="211" w:lineRule="exact"/>
                      <w:ind w:left="0" w:right="0" w:firstLine="0"/>
                      <w:jc w:val="left"/>
                      <w:rPr>
                        <w:rFonts w:ascii="黑体"/>
                        <w:sz w:val="21"/>
                      </w:rPr>
                    </w:pPr>
                    <w:bookmarkStart w:id="8" w:name="2.3"/>
                    <w:bookmarkEnd w:id="8"/>
                    <w:r>
                      <w:rPr>
                        <w:rFonts w:ascii="黑体"/>
                        <w:sz w:val="21"/>
                      </w:rPr>
                      <w:t>2.3</w:t>
                    </w:r>
                  </w:p>
                </w:txbxContent>
              </v:textbox>
            </v:shape>
            <v:shape id="_x0000_s1045" type="#_x0000_t202" style="width:6906;height:524;left:1836;position:absolute;top:1474" filled="f" stroked="f">
              <v:textbox inset="0,0,0,0">
                <w:txbxContent>
                  <w:p>
                    <w:pPr>
                      <w:spacing w:before="0" w:line="241" w:lineRule="exact"/>
                      <w:ind w:left="0" w:right="0" w:firstLine="0"/>
                      <w:jc w:val="left"/>
                      <w:rPr>
                        <w:rFonts w:ascii="黑体" w:eastAsia="黑体" w:hint="eastAsia"/>
                        <w:sz w:val="21"/>
                      </w:rPr>
                    </w:pPr>
                    <w:r>
                      <w:rPr>
                        <w:rFonts w:ascii="黑体" w:eastAsia="黑体" w:hint="eastAsia"/>
                        <w:sz w:val="21"/>
                      </w:rPr>
                      <w:t>规模项目 size of items</w:t>
                    </w:r>
                  </w:p>
                  <w:p>
                    <w:pPr>
                      <w:spacing w:before="33" w:line="250" w:lineRule="exact"/>
                      <w:ind w:left="0" w:right="0" w:firstLine="0"/>
                      <w:jc w:val="left"/>
                      <w:rPr>
                        <w:sz w:val="21"/>
                      </w:rPr>
                    </w:pPr>
                    <w:r>
                      <w:rPr>
                        <w:sz w:val="21"/>
                      </w:rPr>
                      <w:t>作业人员不少于10人或服务面积不少于10000 m</w:t>
                    </w:r>
                    <w:r>
                      <w:rPr>
                        <w:position w:val="11"/>
                        <w:sz w:val="11"/>
                      </w:rPr>
                      <w:t>2</w:t>
                    </w:r>
                    <w:r>
                      <w:rPr>
                        <w:sz w:val="21"/>
                      </w:rPr>
                      <w:t>的单个普通清洁服务项目。</w:t>
                    </w:r>
                  </w:p>
                </w:txbxContent>
              </v:textbox>
            </v:shape>
            <v:shape id="_x0000_s1046" type="#_x0000_t202" style="width:757;height:212;left:1415;position:absolute;top:2412" filled="f" stroked="f">
              <v:textbox inset="0,0,0,0">
                <w:txbxContent>
                  <w:p>
                    <w:pPr>
                      <w:spacing w:before="0" w:line="211" w:lineRule="exact"/>
                      <w:ind w:left="0" w:right="0" w:firstLine="0"/>
                      <w:jc w:val="left"/>
                      <w:rPr>
                        <w:rFonts w:ascii="黑体" w:eastAsia="黑体" w:hint="eastAsia"/>
                        <w:sz w:val="21"/>
                      </w:rPr>
                    </w:pPr>
                    <w:bookmarkStart w:id="9" w:name="3　 总则"/>
                    <w:bookmarkEnd w:id="9"/>
                    <w:r>
                      <w:rPr>
                        <w:rFonts w:ascii="黑体" w:eastAsia="黑体" w:hint="eastAsia"/>
                        <w:sz w:val="21"/>
                      </w:rPr>
                      <w:t>3 总 则</w:t>
                    </w:r>
                  </w:p>
                </w:txbxContent>
              </v:textbox>
            </v:shape>
            <v:shape id="_x0000_s1047" type="#_x0000_t202" style="width:9372;height:2083;left:1416;position:absolute;top:3034" filled="f" stroked="f">
              <v:textbox inset="0,0,0,0">
                <w:txbxContent>
                  <w:p>
                    <w:pPr>
                      <w:numPr>
                        <w:ilvl w:val="1"/>
                        <w:numId w:val="10"/>
                      </w:numPr>
                      <w:tabs>
                        <w:tab w:val="left" w:pos="526"/>
                      </w:tabs>
                      <w:spacing w:before="0" w:line="241" w:lineRule="exact"/>
                      <w:ind w:left="525" w:right="0" w:hanging="526"/>
                      <w:jc w:val="left"/>
                      <w:rPr>
                        <w:sz w:val="21"/>
                      </w:rPr>
                    </w:pPr>
                    <w:bookmarkStart w:id="10" w:name="3.1  申请等级评定的清洁服务机构至少应具备提供基础清洁服务的能力，提供专项清"/>
                    <w:bookmarkEnd w:id="10"/>
                    <w:r>
                      <w:rPr>
                        <w:spacing w:val="-3"/>
                        <w:sz w:val="21"/>
                      </w:rPr>
                      <w:t>申请等级评定的清洁服务机构至少应具备提供基础清洁服务的能力，提供专项清洁服务的机构应</w:t>
                    </w:r>
                  </w:p>
                  <w:p>
                    <w:pPr>
                      <w:spacing w:before="43"/>
                      <w:ind w:left="0" w:right="0" w:firstLine="0"/>
                      <w:jc w:val="left"/>
                      <w:rPr>
                        <w:sz w:val="21"/>
                      </w:rPr>
                    </w:pPr>
                    <w:r>
                      <w:rPr>
                        <w:sz w:val="21"/>
                      </w:rPr>
                      <w:t>具有相关的资格认证。</w:t>
                    </w:r>
                  </w:p>
                  <w:p>
                    <w:pPr>
                      <w:numPr>
                        <w:ilvl w:val="1"/>
                        <w:numId w:val="10"/>
                      </w:numPr>
                      <w:tabs>
                        <w:tab w:val="left" w:pos="526"/>
                      </w:tabs>
                      <w:spacing w:before="42"/>
                      <w:ind w:left="525" w:right="0" w:hanging="526"/>
                      <w:jc w:val="left"/>
                      <w:rPr>
                        <w:sz w:val="21"/>
                      </w:rPr>
                    </w:pPr>
                    <w:bookmarkStart w:id="11" w:name="3.2  清洁服务机构等级的划分应将等级划分条件和评价要素量化打分制相结合。"/>
                    <w:bookmarkEnd w:id="11"/>
                    <w:r>
                      <w:rPr>
                        <w:spacing w:val="-3"/>
                        <w:sz w:val="21"/>
                      </w:rPr>
                      <w:t>清洁服务机构等级的划分应将等级划分条件和评价要素量化打分制相结合。</w:t>
                    </w:r>
                  </w:p>
                  <w:p>
                    <w:pPr>
                      <w:numPr>
                        <w:ilvl w:val="1"/>
                        <w:numId w:val="10"/>
                      </w:numPr>
                      <w:tabs>
                        <w:tab w:val="left" w:pos="527"/>
                      </w:tabs>
                      <w:spacing w:before="43" w:line="278" w:lineRule="auto"/>
                      <w:ind w:left="0" w:right="18" w:firstLine="0"/>
                      <w:jc w:val="left"/>
                      <w:rPr>
                        <w:sz w:val="21"/>
                      </w:rPr>
                    </w:pPr>
                    <w:bookmarkStart w:id="12" w:name="3.3  清洁服务机构在评定等级时，除应满足相应等级的划分条件外，还应满足相应等"/>
                    <w:bookmarkEnd w:id="12"/>
                    <w:r>
                      <w:rPr>
                        <w:spacing w:val="-3"/>
                        <w:sz w:val="21"/>
                      </w:rPr>
                      <w:t>清洁服务机构在评定等级时，除应满足相应等级的划分条件外，还应满足相应等级的分值要求。</w:t>
                    </w:r>
                    <w:r>
                      <w:rPr>
                        <w:spacing w:val="-6"/>
                        <w:sz w:val="21"/>
                      </w:rPr>
                      <w:t xml:space="preserve">分值的计算方法及等级的分值要求详见附录 </w:t>
                    </w:r>
                    <w:r>
                      <w:rPr>
                        <w:spacing w:val="-3"/>
                        <w:sz w:val="21"/>
                      </w:rPr>
                      <w:t>A</w:t>
                    </w:r>
                    <w:r>
                      <w:rPr>
                        <w:sz w:val="21"/>
                      </w:rPr>
                      <w:t>。</w:t>
                    </w:r>
                  </w:p>
                  <w:p>
                    <w:pPr>
                      <w:numPr>
                        <w:ilvl w:val="1"/>
                        <w:numId w:val="10"/>
                      </w:numPr>
                      <w:tabs>
                        <w:tab w:val="left" w:pos="527"/>
                      </w:tabs>
                      <w:spacing w:before="0" w:line="269" w:lineRule="exact"/>
                      <w:ind w:left="526" w:right="0" w:hanging="526"/>
                      <w:jc w:val="left"/>
                      <w:rPr>
                        <w:sz w:val="21"/>
                      </w:rPr>
                    </w:pPr>
                    <w:bookmarkStart w:id="13" w:name="3.4  清洁服务机构等级的划分从低到高依次为三级、二级、一级3个等级。"/>
                    <w:bookmarkEnd w:id="13"/>
                    <w:r>
                      <w:rPr>
                        <w:spacing w:val="-5"/>
                        <w:sz w:val="21"/>
                      </w:rPr>
                      <w:t xml:space="preserve">清洁服务机构等级的划分从低到高依次为三级、二级、一级 </w:t>
                    </w:r>
                    <w:r>
                      <w:rPr>
                        <w:sz w:val="21"/>
                      </w:rPr>
                      <w:t>3</w:t>
                    </w:r>
                    <w:r>
                      <w:rPr>
                        <w:spacing w:val="-12"/>
                        <w:sz w:val="21"/>
                      </w:rPr>
                      <w:t xml:space="preserve"> 个等级。</w:t>
                    </w:r>
                  </w:p>
                  <w:p>
                    <w:pPr>
                      <w:numPr>
                        <w:ilvl w:val="1"/>
                        <w:numId w:val="10"/>
                      </w:numPr>
                      <w:tabs>
                        <w:tab w:val="left" w:pos="527"/>
                      </w:tabs>
                      <w:spacing w:before="43" w:line="240" w:lineRule="exact"/>
                      <w:ind w:left="526" w:right="0" w:hanging="526"/>
                      <w:jc w:val="left"/>
                      <w:rPr>
                        <w:sz w:val="21"/>
                      </w:rPr>
                    </w:pPr>
                    <w:bookmarkStart w:id="14" w:name="3.5  清洁服务机构如设有分支机构应分别划分等级。"/>
                    <w:bookmarkEnd w:id="14"/>
                    <w:r>
                      <w:rPr>
                        <w:spacing w:val="-3"/>
                        <w:sz w:val="21"/>
                      </w:rPr>
                      <w:t>清洁服务机构如设有分支机构应分别划分等级。</w:t>
                    </w:r>
                  </w:p>
                </w:txbxContent>
              </v:textbox>
            </v:shape>
            <v:shape id="_x0000_s1048" type="#_x0000_t202" style="width:1595;height:212;left:1417;position:absolute;top:5532" filled="f" stroked="f">
              <v:textbox inset="0,0,0,0">
                <w:txbxContent>
                  <w:p>
                    <w:pPr>
                      <w:spacing w:before="0" w:line="211" w:lineRule="exact"/>
                      <w:ind w:left="0" w:right="0" w:firstLine="0"/>
                      <w:jc w:val="left"/>
                      <w:rPr>
                        <w:rFonts w:ascii="黑体" w:eastAsia="黑体" w:hint="eastAsia"/>
                        <w:sz w:val="21"/>
                      </w:rPr>
                    </w:pPr>
                    <w:bookmarkStart w:id="15" w:name="4　 等级划分条件"/>
                    <w:bookmarkEnd w:id="15"/>
                    <w:r>
                      <w:rPr>
                        <w:rFonts w:ascii="黑体" w:eastAsia="黑体" w:hint="eastAsia"/>
                        <w:sz w:val="21"/>
                      </w:rPr>
                      <w:t>4 等级划分条件</w:t>
                    </w:r>
                  </w:p>
                </w:txbxContent>
              </v:textbox>
            </v:shape>
            <v:shape id="_x0000_s1049" type="#_x0000_t202" style="width:6640;height:992;left:1417;position:absolute;top:6154" filled="f" stroked="f">
              <v:textbox inset="0,0,0,0">
                <w:txbxContent>
                  <w:p>
                    <w:pPr>
                      <w:numPr>
                        <w:ilvl w:val="1"/>
                        <w:numId w:val="9"/>
                      </w:numPr>
                      <w:tabs>
                        <w:tab w:val="left" w:pos="526"/>
                      </w:tabs>
                      <w:spacing w:before="0" w:line="241" w:lineRule="exact"/>
                      <w:ind w:left="525" w:right="0" w:hanging="526"/>
                      <w:jc w:val="left"/>
                      <w:rPr>
                        <w:rFonts w:ascii="黑体" w:eastAsia="黑体" w:hint="eastAsia"/>
                        <w:sz w:val="21"/>
                      </w:rPr>
                    </w:pPr>
                    <w:bookmarkStart w:id="16" w:name="4.1　 三级"/>
                    <w:bookmarkEnd w:id="16"/>
                    <w:r>
                      <w:rPr>
                        <w:rFonts w:ascii="黑体" w:eastAsia="黑体" w:hint="eastAsia"/>
                        <w:sz w:val="21"/>
                      </w:rPr>
                      <w:t>三级</w:t>
                    </w:r>
                  </w:p>
                  <w:p>
                    <w:pPr>
                      <w:spacing w:before="6" w:line="240" w:lineRule="auto"/>
                      <w:rPr>
                        <w:rFonts w:ascii="黑体"/>
                        <w:sz w:val="15"/>
                      </w:rPr>
                    </w:pPr>
                  </w:p>
                  <w:p>
                    <w:pPr>
                      <w:numPr>
                        <w:ilvl w:val="2"/>
                        <w:numId w:val="9"/>
                      </w:numPr>
                      <w:tabs>
                        <w:tab w:val="left" w:pos="735"/>
                      </w:tabs>
                      <w:spacing w:before="0"/>
                      <w:ind w:left="734" w:right="0" w:hanging="735"/>
                      <w:jc w:val="left"/>
                      <w:rPr>
                        <w:sz w:val="21"/>
                      </w:rPr>
                    </w:pPr>
                    <w:bookmarkStart w:id="17" w:name="4.1.1　 应在工商管理机构合法注册，且近1年内无重大安全质量事故。"/>
                    <w:bookmarkEnd w:id="17"/>
                    <w:r>
                      <w:rPr>
                        <w:spacing w:val="-6"/>
                        <w:sz w:val="21"/>
                      </w:rPr>
                      <w:t xml:space="preserve">应在工商管理机构合法注册，且近 </w:t>
                    </w:r>
                    <w:r>
                      <w:rPr>
                        <w:sz w:val="21"/>
                      </w:rPr>
                      <w:t>1</w:t>
                    </w:r>
                    <w:r>
                      <w:rPr>
                        <w:spacing w:val="-8"/>
                        <w:sz w:val="21"/>
                      </w:rPr>
                      <w:t xml:space="preserve"> 年内无重大安全质量事故。</w:t>
                    </w:r>
                  </w:p>
                  <w:p>
                    <w:pPr>
                      <w:numPr>
                        <w:ilvl w:val="2"/>
                        <w:numId w:val="9"/>
                      </w:numPr>
                      <w:tabs>
                        <w:tab w:val="left" w:pos="735"/>
                      </w:tabs>
                      <w:spacing w:before="34" w:line="250" w:lineRule="exact"/>
                      <w:ind w:left="734" w:right="0" w:hanging="735"/>
                      <w:jc w:val="left"/>
                      <w:rPr>
                        <w:sz w:val="21"/>
                      </w:rPr>
                    </w:pPr>
                    <w:bookmarkStart w:id="18" w:name="4.1.2　 固定办公场所建筑面积应不少于30m2。"/>
                    <w:bookmarkEnd w:id="18"/>
                    <w:r>
                      <w:rPr>
                        <w:spacing w:val="-7"/>
                        <w:sz w:val="21"/>
                      </w:rPr>
                      <w:t xml:space="preserve">固定办公场所建筑面积应不少于 </w:t>
                    </w:r>
                    <w:r>
                      <w:rPr>
                        <w:sz w:val="21"/>
                      </w:rPr>
                      <w:t>30</w:t>
                    </w:r>
                    <w:r>
                      <w:rPr>
                        <w:spacing w:val="-46"/>
                        <w:sz w:val="21"/>
                      </w:rPr>
                      <w:t xml:space="preserve"> </w:t>
                    </w:r>
                    <w:r>
                      <w:rPr>
                        <w:spacing w:val="-3"/>
                        <w:sz w:val="21"/>
                      </w:rPr>
                      <w:t>m</w:t>
                    </w:r>
                    <w:r>
                      <w:rPr>
                        <w:spacing w:val="-3"/>
                        <w:position w:val="11"/>
                        <w:sz w:val="11"/>
                      </w:rPr>
                      <w:t>2</w:t>
                    </w:r>
                    <w:r>
                      <w:rPr>
                        <w:sz w:val="21"/>
                      </w:rPr>
                      <w:t>。</w:t>
                    </w:r>
                  </w:p>
                </w:txbxContent>
              </v:textbox>
            </v:shape>
            <v:shape id="_x0000_s1050" type="#_x0000_t202" style="width:110;height:180;left:10480;position:absolute;top:7419" filled="f" stroked="f">
              <v:textbox inset="0,0,0,0">
                <w:txbxContent>
                  <w:p>
                    <w:pPr>
                      <w:spacing w:before="0" w:line="180" w:lineRule="exact"/>
                      <w:ind w:left="0" w:right="0" w:firstLine="0"/>
                      <w:jc w:val="left"/>
                      <w:rPr>
                        <w:sz w:val="18"/>
                      </w:rPr>
                    </w:pPr>
                    <w:r>
                      <w:rPr>
                        <w:sz w:val="18"/>
                      </w:rPr>
                      <w:t>1</w:t>
                    </w:r>
                  </w:p>
                </w:txbxContent>
              </v:textbox>
            </v:shape>
            <w10:wrap type="topAndBottom"/>
          </v:group>
        </w:pict>
      </w:r>
    </w:p>
    <w:p>
      <w:pPr>
        <w:spacing w:after="0"/>
        <w:rPr>
          <w:rFonts w:ascii="黑体"/>
          <w:sz w:val="14"/>
        </w:rPr>
        <w:sectPr>
          <w:headerReference w:type="even" r:id="rId21"/>
          <w:headerReference w:type="default" r:id="rId22"/>
          <w:footerReference w:type="default" r:id="rId23"/>
          <w:pgSz w:w="11910" w:h="16840"/>
          <w:pgMar w:top="1340" w:right="260" w:bottom="280" w:left="240" w:header="0" w:footer="0"/>
          <w:pgNumType w:start="17"/>
          <w:cols w:space="708"/>
        </w:sectPr>
      </w:pPr>
    </w:p>
    <w:p>
      <w:pPr>
        <w:pStyle w:val="BodyText"/>
        <w:spacing w:before="10"/>
        <w:rPr>
          <w:rFonts w:ascii="黑体"/>
          <w:sz w:val="15"/>
        </w:rPr>
      </w:pPr>
    </w:p>
    <w:p>
      <w:pPr>
        <w:pStyle w:val="ListParagraph"/>
        <w:numPr>
          <w:ilvl w:val="2"/>
          <w:numId w:val="8"/>
        </w:numPr>
        <w:tabs>
          <w:tab w:val="left" w:pos="1628"/>
        </w:tabs>
        <w:spacing w:before="71" w:after="0" w:line="240" w:lineRule="auto"/>
        <w:ind w:left="1627" w:right="0" w:hanging="736"/>
        <w:jc w:val="left"/>
        <w:rPr>
          <w:sz w:val="21"/>
        </w:rPr>
      </w:pPr>
      <w:bookmarkStart w:id="19" w:name="4.1.3　 有满足需要的物资配送能力。"/>
      <w:bookmarkEnd w:id="19"/>
      <w:r>
        <w:rPr>
          <w:spacing w:val="-3"/>
          <w:sz w:val="21"/>
        </w:rPr>
        <w:t>有满足需要的物资配送能力。</w:t>
      </w:r>
    </w:p>
    <w:p>
      <w:pPr>
        <w:pStyle w:val="ListParagraph"/>
        <w:numPr>
          <w:ilvl w:val="2"/>
          <w:numId w:val="8"/>
        </w:numPr>
        <w:tabs>
          <w:tab w:val="left" w:pos="1628"/>
        </w:tabs>
        <w:spacing w:before="43" w:after="0" w:line="240" w:lineRule="auto"/>
        <w:ind w:left="1627" w:right="0" w:hanging="736"/>
        <w:jc w:val="left"/>
        <w:rPr>
          <w:sz w:val="21"/>
        </w:rPr>
      </w:pPr>
      <w:bookmarkStart w:id="20" w:name="4.1.4　 有与业务开展相匹配的办公、作业设备，且性能良好，运行正常。"/>
      <w:bookmarkEnd w:id="20"/>
      <w:r>
        <w:rPr>
          <w:spacing w:val="-3"/>
          <w:sz w:val="21"/>
        </w:rPr>
        <w:t>有与业务开展相匹配的办公、作业设备，且性能良好，运行正常。</w:t>
      </w:r>
    </w:p>
    <w:p>
      <w:pPr>
        <w:pStyle w:val="ListParagraph"/>
        <w:numPr>
          <w:ilvl w:val="2"/>
          <w:numId w:val="8"/>
        </w:numPr>
        <w:tabs>
          <w:tab w:val="left" w:pos="1628"/>
        </w:tabs>
        <w:spacing w:before="43" w:after="0" w:line="240" w:lineRule="auto"/>
        <w:ind w:left="1627" w:right="0" w:hanging="736"/>
        <w:jc w:val="left"/>
        <w:rPr>
          <w:sz w:val="21"/>
        </w:rPr>
      </w:pPr>
      <w:bookmarkStart w:id="21" w:name="4.1.5　 应具有工具消毒能力。"/>
      <w:bookmarkEnd w:id="21"/>
      <w:r>
        <w:rPr>
          <w:spacing w:val="-3"/>
          <w:sz w:val="21"/>
        </w:rPr>
        <w:t>应具有工具消毒能力。</w:t>
      </w:r>
    </w:p>
    <w:p>
      <w:pPr>
        <w:pStyle w:val="ListParagraph"/>
        <w:numPr>
          <w:ilvl w:val="2"/>
          <w:numId w:val="8"/>
        </w:numPr>
        <w:tabs>
          <w:tab w:val="left" w:pos="1628"/>
        </w:tabs>
        <w:spacing w:before="43" w:after="0" w:line="240" w:lineRule="auto"/>
        <w:ind w:left="1627" w:right="0" w:hanging="735"/>
        <w:jc w:val="left"/>
        <w:rPr>
          <w:sz w:val="21"/>
        </w:rPr>
      </w:pPr>
      <w:bookmarkStart w:id="22" w:name="4.1.6　 有正在执行的服务合同。"/>
      <w:bookmarkEnd w:id="22"/>
      <w:r>
        <w:rPr>
          <w:spacing w:val="-3"/>
          <w:sz w:val="21"/>
        </w:rPr>
        <w:t>有正在执行的服务合同。</w:t>
      </w:r>
    </w:p>
    <w:p>
      <w:pPr>
        <w:pStyle w:val="ListParagraph"/>
        <w:numPr>
          <w:ilvl w:val="2"/>
          <w:numId w:val="8"/>
        </w:numPr>
        <w:tabs>
          <w:tab w:val="left" w:pos="1628"/>
        </w:tabs>
        <w:spacing w:before="43" w:after="0" w:line="278" w:lineRule="auto"/>
        <w:ind w:left="893" w:right="1162" w:hanging="1"/>
        <w:jc w:val="left"/>
        <w:rPr>
          <w:sz w:val="21"/>
        </w:rPr>
      </w:pPr>
      <w:bookmarkStart w:id="23" w:name="4.1.7　 有大专及以上学历或有初级以上职称（或具有与之相对应的专业能力）的专"/>
      <w:bookmarkEnd w:id="23"/>
      <w:r>
        <w:rPr>
          <w:spacing w:val="-3"/>
          <w:sz w:val="21"/>
        </w:rPr>
        <w:t>有大专及以上学历或有初级以上职称</w:t>
      </w:r>
      <w:r>
        <w:rPr>
          <w:sz w:val="21"/>
        </w:rPr>
        <w:t>（</w:t>
      </w:r>
      <w:r>
        <w:rPr>
          <w:spacing w:val="-3"/>
          <w:sz w:val="21"/>
        </w:rPr>
        <w:t>或具有与之相对应的专业能力）的专业技术人员、管理</w:t>
      </w:r>
      <w:r>
        <w:rPr>
          <w:sz w:val="21"/>
        </w:rPr>
        <w:t>人员。</w:t>
      </w:r>
    </w:p>
    <w:p>
      <w:pPr>
        <w:pStyle w:val="ListParagraph"/>
        <w:numPr>
          <w:ilvl w:val="2"/>
          <w:numId w:val="8"/>
        </w:numPr>
        <w:tabs>
          <w:tab w:val="left" w:pos="1629"/>
        </w:tabs>
        <w:spacing w:before="0" w:after="0" w:line="278" w:lineRule="auto"/>
        <w:ind w:left="894" w:right="1161" w:hanging="1"/>
        <w:jc w:val="left"/>
        <w:rPr>
          <w:sz w:val="21"/>
        </w:rPr>
      </w:pPr>
      <w:bookmarkStart w:id="24" w:name="4.1.8　 获武汉市清洁行业协会组织培训的项目经理资格证达5人。参加武汉市清洁"/>
      <w:bookmarkEnd w:id="24"/>
      <w:r>
        <w:rPr>
          <w:spacing w:val="-5"/>
          <w:sz w:val="21"/>
        </w:rPr>
        <w:t xml:space="preserve">获武汉市清洁行业协会组织培训的项目经理资格证达 </w:t>
      </w:r>
      <w:r>
        <w:rPr>
          <w:sz w:val="21"/>
        </w:rPr>
        <w:t>5</w:t>
      </w:r>
      <w:r>
        <w:rPr>
          <w:spacing w:val="-7"/>
          <w:sz w:val="21"/>
        </w:rPr>
        <w:t xml:space="preserve"> 人。参加武汉市清洁行业协会组织的培</w:t>
      </w:r>
      <w:r>
        <w:rPr>
          <w:spacing w:val="-5"/>
          <w:sz w:val="21"/>
        </w:rPr>
        <w:t xml:space="preserve">训，员工持有武汉市清洁行业协会颁发的上岗资格证数量达到公司在册员工的 </w:t>
      </w:r>
      <w:r>
        <w:rPr>
          <w:sz w:val="21"/>
        </w:rPr>
        <w:t>10</w:t>
      </w:r>
      <w:r>
        <w:rPr>
          <w:spacing w:val="-20"/>
          <w:sz w:val="21"/>
        </w:rPr>
        <w:t xml:space="preserve"> ％以上。</w:t>
      </w:r>
    </w:p>
    <w:p>
      <w:pPr>
        <w:pStyle w:val="ListParagraph"/>
        <w:numPr>
          <w:ilvl w:val="2"/>
          <w:numId w:val="8"/>
        </w:numPr>
        <w:tabs>
          <w:tab w:val="left" w:pos="1630"/>
        </w:tabs>
        <w:spacing w:before="0" w:after="0" w:line="269" w:lineRule="exact"/>
        <w:ind w:left="1629" w:right="0" w:hanging="736"/>
        <w:jc w:val="left"/>
        <w:rPr>
          <w:sz w:val="21"/>
        </w:rPr>
      </w:pPr>
      <w:bookmarkStart w:id="25" w:name="4.1.9　 管理制度健全，规章制度一般包括以下内容："/>
      <w:bookmarkEnd w:id="25"/>
      <w:r>
        <w:rPr>
          <w:spacing w:val="-3"/>
          <w:sz w:val="21"/>
        </w:rPr>
        <w:t>管理制度健全，规章制度一般包括以下内容：</w:t>
      </w:r>
    </w:p>
    <w:p>
      <w:pPr>
        <w:pStyle w:val="BodyText"/>
        <w:spacing w:before="42"/>
        <w:ind w:left="1319"/>
      </w:pPr>
      <w:r>
        <w:t>——员工手册，主要包括机构简介、服务理念、职业道德、行为准则；</w:t>
      </w:r>
    </w:p>
    <w:p>
      <w:pPr>
        <w:pStyle w:val="BodyText"/>
        <w:spacing w:before="43"/>
        <w:ind w:left="1319"/>
      </w:pPr>
      <w:r>
        <w:t>——职位说明书，主要包括职位名称与职责、任职条件与要求、工作流程与考核要求；</w:t>
      </w:r>
    </w:p>
    <w:p>
      <w:pPr>
        <w:pStyle w:val="BodyText"/>
        <w:spacing w:before="43"/>
        <w:ind w:left="1319"/>
      </w:pPr>
      <w:r>
        <w:t>——管理规章，主要包括管理制度、操作规程、劳动纪律和奖惩办法等。</w:t>
      </w:r>
    </w:p>
    <w:p>
      <w:pPr>
        <w:pStyle w:val="BodyText"/>
        <w:spacing w:before="7"/>
        <w:rPr>
          <w:sz w:val="15"/>
        </w:rPr>
      </w:pPr>
    </w:p>
    <w:p>
      <w:pPr>
        <w:pStyle w:val="ListParagraph"/>
        <w:numPr>
          <w:ilvl w:val="1"/>
          <w:numId w:val="7"/>
        </w:numPr>
        <w:tabs>
          <w:tab w:val="left" w:pos="1422"/>
        </w:tabs>
        <w:spacing w:before="0" w:after="0" w:line="240" w:lineRule="auto"/>
        <w:ind w:left="1421" w:right="0" w:hanging="527"/>
        <w:jc w:val="left"/>
        <w:rPr>
          <w:rFonts w:ascii="黑体" w:eastAsia="黑体" w:hint="eastAsia"/>
          <w:sz w:val="21"/>
        </w:rPr>
      </w:pPr>
      <w:bookmarkStart w:id="26" w:name="4.2　 二级"/>
      <w:bookmarkEnd w:id="26"/>
      <w:r>
        <w:rPr>
          <w:rFonts w:ascii="黑体" w:eastAsia="黑体" w:hint="eastAsia"/>
          <w:sz w:val="21"/>
        </w:rPr>
        <w:t>二级</w:t>
      </w:r>
    </w:p>
    <w:p>
      <w:pPr>
        <w:pStyle w:val="BodyText"/>
        <w:spacing w:before="7"/>
        <w:rPr>
          <w:rFonts w:ascii="黑体"/>
          <w:sz w:val="15"/>
        </w:rPr>
      </w:pPr>
    </w:p>
    <w:p>
      <w:pPr>
        <w:pStyle w:val="ListParagraph"/>
        <w:numPr>
          <w:ilvl w:val="2"/>
          <w:numId w:val="7"/>
        </w:numPr>
        <w:tabs>
          <w:tab w:val="left" w:pos="1631"/>
        </w:tabs>
        <w:spacing w:before="0" w:after="0" w:line="240" w:lineRule="auto"/>
        <w:ind w:left="1630" w:right="0" w:hanging="736"/>
        <w:jc w:val="left"/>
        <w:rPr>
          <w:sz w:val="21"/>
        </w:rPr>
      </w:pPr>
      <w:bookmarkStart w:id="27" w:name="4.2.1　 应满足5.1的要求。"/>
      <w:bookmarkEnd w:id="27"/>
      <w:r>
        <w:rPr>
          <w:spacing w:val="-15"/>
          <w:sz w:val="21"/>
        </w:rPr>
        <w:t xml:space="preserve">应满足 </w:t>
      </w:r>
      <w:r>
        <w:rPr>
          <w:sz w:val="21"/>
        </w:rPr>
        <w:t>5.1</w:t>
      </w:r>
      <w:r>
        <w:rPr>
          <w:spacing w:val="-12"/>
          <w:sz w:val="21"/>
        </w:rPr>
        <w:t xml:space="preserve"> 的要求。</w:t>
      </w:r>
    </w:p>
    <w:p>
      <w:pPr>
        <w:pStyle w:val="ListParagraph"/>
        <w:numPr>
          <w:ilvl w:val="2"/>
          <w:numId w:val="7"/>
        </w:numPr>
        <w:tabs>
          <w:tab w:val="left" w:pos="1631"/>
        </w:tabs>
        <w:spacing w:before="43" w:after="0" w:line="240" w:lineRule="auto"/>
        <w:ind w:left="1630" w:right="0" w:hanging="736"/>
        <w:jc w:val="left"/>
        <w:rPr>
          <w:sz w:val="21"/>
        </w:rPr>
      </w:pPr>
      <w:bookmarkStart w:id="28" w:name="4.2.2　 近2年无重大安全质量事故。"/>
      <w:bookmarkEnd w:id="28"/>
      <w:r>
        <w:rPr>
          <w:spacing w:val="-27"/>
          <w:sz w:val="21"/>
        </w:rPr>
        <w:t xml:space="preserve">近 </w:t>
      </w:r>
      <w:r>
        <w:rPr>
          <w:sz w:val="21"/>
        </w:rPr>
        <w:t>2</w:t>
      </w:r>
      <w:r>
        <w:rPr>
          <w:spacing w:val="-9"/>
          <w:sz w:val="21"/>
        </w:rPr>
        <w:t xml:space="preserve"> 年无重大安全质量事故。</w:t>
      </w:r>
    </w:p>
    <w:p>
      <w:pPr>
        <w:pStyle w:val="ListParagraph"/>
        <w:numPr>
          <w:ilvl w:val="2"/>
          <w:numId w:val="7"/>
        </w:numPr>
        <w:tabs>
          <w:tab w:val="left" w:pos="1631"/>
        </w:tabs>
        <w:spacing w:before="43" w:after="0" w:line="240" w:lineRule="auto"/>
        <w:ind w:left="1630" w:right="0" w:hanging="736"/>
        <w:jc w:val="left"/>
        <w:rPr>
          <w:sz w:val="21"/>
        </w:rPr>
      </w:pPr>
      <w:bookmarkStart w:id="29" w:name="4.2.3　 上年度清洁服务营业额800万元以上或年纳税额50万元以上。"/>
      <w:bookmarkEnd w:id="29"/>
      <w:r>
        <w:rPr>
          <w:spacing w:val="-8"/>
          <w:sz w:val="21"/>
        </w:rPr>
        <w:t xml:space="preserve">上年度清洁服务营业额 </w:t>
      </w:r>
      <w:r>
        <w:rPr>
          <w:sz w:val="21"/>
        </w:rPr>
        <w:t>800</w:t>
      </w:r>
      <w:r>
        <w:rPr>
          <w:spacing w:val="-13"/>
          <w:sz w:val="21"/>
        </w:rPr>
        <w:t xml:space="preserve"> 万元以上或年纳税额 </w:t>
      </w:r>
      <w:r>
        <w:rPr>
          <w:sz w:val="21"/>
        </w:rPr>
        <w:t>50</w:t>
      </w:r>
      <w:r>
        <w:rPr>
          <w:spacing w:val="-10"/>
          <w:sz w:val="21"/>
        </w:rPr>
        <w:t xml:space="preserve"> 万元以上。</w:t>
      </w:r>
    </w:p>
    <w:p>
      <w:pPr>
        <w:pStyle w:val="ListParagraph"/>
        <w:numPr>
          <w:ilvl w:val="2"/>
          <w:numId w:val="7"/>
        </w:numPr>
        <w:tabs>
          <w:tab w:val="left" w:pos="1631"/>
        </w:tabs>
        <w:spacing w:before="33" w:after="0" w:line="240" w:lineRule="auto"/>
        <w:ind w:left="1630" w:right="0" w:hanging="735"/>
        <w:jc w:val="left"/>
        <w:rPr>
          <w:sz w:val="21"/>
        </w:rPr>
      </w:pPr>
      <w:bookmarkStart w:id="30" w:name="4.2.4　 固定办公场所建筑面积应不少于80 m2。"/>
      <w:bookmarkEnd w:id="30"/>
      <w:r>
        <w:rPr>
          <w:spacing w:val="-7"/>
          <w:sz w:val="21"/>
        </w:rPr>
        <w:t xml:space="preserve">固定办公场所建筑面积应不少于 </w:t>
      </w:r>
      <w:r>
        <w:rPr>
          <w:sz w:val="21"/>
        </w:rPr>
        <w:t>80</w:t>
      </w:r>
      <w:r>
        <w:rPr>
          <w:spacing w:val="-2"/>
          <w:sz w:val="21"/>
        </w:rPr>
        <w:t xml:space="preserve"> </w:t>
      </w:r>
      <w:r>
        <w:rPr>
          <w:sz w:val="21"/>
        </w:rPr>
        <w:t>m</w:t>
      </w:r>
      <w:r>
        <w:rPr>
          <w:position w:val="11"/>
          <w:sz w:val="11"/>
        </w:rPr>
        <w:t>2</w:t>
      </w:r>
      <w:r>
        <w:rPr>
          <w:sz w:val="21"/>
        </w:rPr>
        <w:t>。</w:t>
      </w:r>
    </w:p>
    <w:p>
      <w:pPr>
        <w:pStyle w:val="ListParagraph"/>
        <w:numPr>
          <w:ilvl w:val="2"/>
          <w:numId w:val="7"/>
        </w:numPr>
        <w:tabs>
          <w:tab w:val="left" w:pos="1628"/>
        </w:tabs>
        <w:spacing w:before="43" w:after="0" w:line="240" w:lineRule="auto"/>
        <w:ind w:left="1627" w:right="0" w:hanging="736"/>
        <w:jc w:val="left"/>
        <w:rPr>
          <w:sz w:val="21"/>
        </w:rPr>
      </w:pPr>
      <w:bookmarkStart w:id="31" w:name="4.2.5　 独立承接年清洁承包费100万元以上的合同期内项目不少于4项。"/>
      <w:bookmarkEnd w:id="31"/>
      <w:r>
        <w:rPr>
          <w:spacing w:val="-8"/>
          <w:sz w:val="21"/>
        </w:rPr>
        <w:t xml:space="preserve">独立承接年清洁承包费 </w:t>
      </w:r>
      <w:r>
        <w:rPr>
          <w:sz w:val="21"/>
        </w:rPr>
        <w:t>100</w:t>
      </w:r>
      <w:r>
        <w:rPr>
          <w:spacing w:val="-12"/>
          <w:sz w:val="21"/>
        </w:rPr>
        <w:t xml:space="preserve"> 万元以上的合同期内项目不少于 </w:t>
      </w:r>
      <w:r>
        <w:rPr>
          <w:sz w:val="21"/>
        </w:rPr>
        <w:t>4</w:t>
      </w:r>
      <w:r>
        <w:rPr>
          <w:spacing w:val="-19"/>
          <w:sz w:val="21"/>
        </w:rPr>
        <w:t xml:space="preserve"> 项。</w:t>
      </w:r>
    </w:p>
    <w:p>
      <w:pPr>
        <w:pStyle w:val="ListParagraph"/>
        <w:numPr>
          <w:ilvl w:val="2"/>
          <w:numId w:val="7"/>
        </w:numPr>
        <w:tabs>
          <w:tab w:val="left" w:pos="1628"/>
        </w:tabs>
        <w:spacing w:before="43" w:after="0" w:line="240" w:lineRule="auto"/>
        <w:ind w:left="1627" w:right="0" w:hanging="735"/>
        <w:jc w:val="left"/>
        <w:rPr>
          <w:sz w:val="21"/>
        </w:rPr>
      </w:pPr>
      <w:bookmarkStart w:id="32" w:name="4.2.6　 应具有承担至少1项专项清洁服务项目的能力。"/>
      <w:bookmarkEnd w:id="32"/>
      <w:r>
        <w:rPr>
          <w:spacing w:val="-10"/>
          <w:sz w:val="21"/>
        </w:rPr>
        <w:t xml:space="preserve">应具有承担至少 </w:t>
      </w:r>
      <w:r>
        <w:rPr>
          <w:sz w:val="21"/>
        </w:rPr>
        <w:t>1</w:t>
      </w:r>
      <w:r>
        <w:rPr>
          <w:spacing w:val="-8"/>
          <w:sz w:val="21"/>
        </w:rPr>
        <w:t xml:space="preserve"> 项专项清洁服务项目的能力。</w:t>
      </w:r>
    </w:p>
    <w:p>
      <w:pPr>
        <w:pStyle w:val="ListParagraph"/>
        <w:numPr>
          <w:ilvl w:val="2"/>
          <w:numId w:val="7"/>
        </w:numPr>
        <w:tabs>
          <w:tab w:val="left" w:pos="1628"/>
        </w:tabs>
        <w:spacing w:before="43" w:after="0" w:line="278" w:lineRule="auto"/>
        <w:ind w:left="893" w:right="1153" w:hanging="1"/>
        <w:jc w:val="both"/>
        <w:rPr>
          <w:sz w:val="21"/>
        </w:rPr>
      </w:pPr>
      <w:r>
        <w:drawing>
          <wp:anchor distT="0" distB="0" distL="0" distR="0" simplePos="0" relativeHeight="251670528" behindDoc="0" locked="0" layoutInCell="1" allowOverlap="1">
            <wp:simplePos x="0" y="0"/>
            <wp:positionH relativeFrom="page">
              <wp:posOffset>215900</wp:posOffset>
            </wp:positionH>
            <wp:positionV relativeFrom="paragraph">
              <wp:posOffset>81516</wp:posOffset>
            </wp:positionV>
            <wp:extent cx="7112000" cy="48768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bookmarkStart w:id="33" w:name="4.2.7　 获武汉市清洁行业协会组织培训的“项目经理”资格证达15人。参加武汉"/>
      <w:bookmarkEnd w:id="33"/>
      <w:r>
        <w:rPr>
          <w:spacing w:val="-9"/>
          <w:sz w:val="21"/>
        </w:rPr>
        <w:t xml:space="preserve">获武汉市清洁行业协会组织培训的“项目经理”资格证达 </w:t>
      </w:r>
      <w:r>
        <w:rPr>
          <w:sz w:val="21"/>
        </w:rPr>
        <w:t>15</w:t>
      </w:r>
      <w:r>
        <w:rPr>
          <w:spacing w:val="-9"/>
          <w:sz w:val="21"/>
        </w:rPr>
        <w:t xml:space="preserve"> 人。参加武汉市清洁行业协会组织</w:t>
      </w:r>
      <w:r>
        <w:rPr>
          <w:spacing w:val="-7"/>
          <w:sz w:val="21"/>
        </w:rPr>
        <w:t xml:space="preserve">的培训，员工持有武汉市清洁行业协会颁发的上岗资格证数量达到公司在册员工的 </w:t>
      </w:r>
      <w:r>
        <w:rPr>
          <w:sz w:val="21"/>
        </w:rPr>
        <w:t>20</w:t>
      </w:r>
      <w:r>
        <w:rPr>
          <w:spacing w:val="-2"/>
          <w:sz w:val="21"/>
        </w:rPr>
        <w:t>％以上。</w:t>
      </w:r>
    </w:p>
    <w:p>
      <w:pPr>
        <w:pStyle w:val="ListParagraph"/>
        <w:numPr>
          <w:ilvl w:val="2"/>
          <w:numId w:val="7"/>
        </w:numPr>
        <w:tabs>
          <w:tab w:val="left" w:pos="1628"/>
        </w:tabs>
        <w:spacing w:before="0" w:after="0" w:line="278" w:lineRule="auto"/>
        <w:ind w:left="893" w:right="1157" w:hanging="1"/>
        <w:jc w:val="both"/>
        <w:rPr>
          <w:sz w:val="21"/>
        </w:rPr>
      </w:pPr>
      <w:bookmarkStart w:id="34" w:name="4.2.8　 具有大专以上学历或有初级以上职称（或具有与之相对应的专业能力）的业"/>
      <w:bookmarkEnd w:id="34"/>
      <w:r>
        <w:rPr>
          <w:spacing w:val="-3"/>
          <w:sz w:val="21"/>
        </w:rPr>
        <w:t>具有大专以上学历或有初级以上职称</w:t>
      </w:r>
      <w:r>
        <w:rPr>
          <w:sz w:val="21"/>
        </w:rPr>
        <w:t>（</w:t>
      </w:r>
      <w:r>
        <w:rPr>
          <w:spacing w:val="-3"/>
          <w:sz w:val="21"/>
        </w:rPr>
        <w:t>或具有与之相对应的专业能力）的业务部门负责人应不</w:t>
      </w:r>
      <w:r>
        <w:rPr>
          <w:spacing w:val="-18"/>
          <w:sz w:val="21"/>
        </w:rPr>
        <w:t xml:space="preserve">少于 </w:t>
      </w:r>
      <w:r>
        <w:rPr>
          <w:sz w:val="21"/>
        </w:rPr>
        <w:t>3</w:t>
      </w:r>
      <w:r>
        <w:rPr>
          <w:spacing w:val="-13"/>
          <w:sz w:val="21"/>
        </w:rPr>
        <w:t xml:space="preserve"> 人。专业技术人员应不少于 </w:t>
      </w:r>
      <w:r>
        <w:rPr>
          <w:sz w:val="21"/>
        </w:rPr>
        <w:t>3</w:t>
      </w:r>
      <w:r>
        <w:rPr>
          <w:spacing w:val="-19"/>
          <w:sz w:val="21"/>
        </w:rPr>
        <w:t xml:space="preserve"> 人，其中至少 </w:t>
      </w:r>
      <w:r>
        <w:rPr>
          <w:sz w:val="21"/>
        </w:rPr>
        <w:t>1</w:t>
      </w:r>
      <w:r>
        <w:rPr>
          <w:spacing w:val="-10"/>
          <w:sz w:val="21"/>
        </w:rPr>
        <w:t xml:space="preserve"> 人具有专科以上学历或具有初级以上职称</w:t>
      </w:r>
      <w:r>
        <w:rPr>
          <w:sz w:val="21"/>
        </w:rPr>
        <w:t>（</w:t>
      </w:r>
      <w:r>
        <w:rPr>
          <w:spacing w:val="-3"/>
          <w:sz w:val="21"/>
        </w:rPr>
        <w:t>或具有与之相对应的专业能力）</w:t>
      </w:r>
      <w:r>
        <w:rPr>
          <w:sz w:val="21"/>
        </w:rPr>
        <w:t>。</w:t>
      </w:r>
    </w:p>
    <w:p>
      <w:pPr>
        <w:pStyle w:val="ListParagraph"/>
        <w:numPr>
          <w:ilvl w:val="1"/>
          <w:numId w:val="7"/>
        </w:numPr>
        <w:tabs>
          <w:tab w:val="left" w:pos="1420"/>
        </w:tabs>
        <w:spacing w:before="155" w:after="0" w:line="240" w:lineRule="auto"/>
        <w:ind w:left="1419" w:right="0" w:hanging="526"/>
        <w:jc w:val="left"/>
        <w:rPr>
          <w:rFonts w:ascii="黑体" w:eastAsia="黑体" w:hint="eastAsia"/>
          <w:sz w:val="21"/>
        </w:rPr>
      </w:pPr>
      <w:bookmarkStart w:id="35" w:name="4.3　 一级"/>
      <w:bookmarkEnd w:id="35"/>
      <w:r>
        <w:rPr>
          <w:rFonts w:ascii="黑体" w:eastAsia="黑体" w:hint="eastAsia"/>
          <w:sz w:val="21"/>
        </w:rPr>
        <w:t>一级</w:t>
      </w:r>
    </w:p>
    <w:p>
      <w:pPr>
        <w:pStyle w:val="BodyText"/>
        <w:spacing w:before="7"/>
        <w:rPr>
          <w:rFonts w:ascii="黑体"/>
          <w:sz w:val="15"/>
        </w:rPr>
      </w:pPr>
    </w:p>
    <w:p>
      <w:pPr>
        <w:pStyle w:val="ListParagraph"/>
        <w:numPr>
          <w:ilvl w:val="2"/>
          <w:numId w:val="7"/>
        </w:numPr>
        <w:tabs>
          <w:tab w:val="left" w:pos="1630"/>
        </w:tabs>
        <w:spacing w:before="0" w:after="0" w:line="240" w:lineRule="auto"/>
        <w:ind w:left="1629" w:right="0" w:hanging="736"/>
        <w:jc w:val="left"/>
        <w:rPr>
          <w:sz w:val="21"/>
        </w:rPr>
      </w:pPr>
      <w:bookmarkStart w:id="36" w:name="4.3.1　 应满足5.2的要求。"/>
      <w:bookmarkEnd w:id="36"/>
      <w:r>
        <w:rPr>
          <w:spacing w:val="-15"/>
          <w:sz w:val="21"/>
        </w:rPr>
        <w:t xml:space="preserve">应满足 </w:t>
      </w:r>
      <w:r>
        <w:rPr>
          <w:sz w:val="21"/>
        </w:rPr>
        <w:t>5.2</w:t>
      </w:r>
      <w:r>
        <w:rPr>
          <w:spacing w:val="-12"/>
          <w:sz w:val="21"/>
        </w:rPr>
        <w:t xml:space="preserve"> 的要求。</w:t>
      </w:r>
    </w:p>
    <w:p>
      <w:pPr>
        <w:pStyle w:val="ListParagraph"/>
        <w:numPr>
          <w:ilvl w:val="2"/>
          <w:numId w:val="7"/>
        </w:numPr>
        <w:tabs>
          <w:tab w:val="left" w:pos="1630"/>
        </w:tabs>
        <w:spacing w:before="43" w:after="0" w:line="240" w:lineRule="auto"/>
        <w:ind w:left="1629" w:right="0" w:hanging="736"/>
        <w:jc w:val="left"/>
        <w:rPr>
          <w:sz w:val="21"/>
        </w:rPr>
      </w:pPr>
      <w:bookmarkStart w:id="37" w:name="4.3.2　 近3年无重大安全质量事故。"/>
      <w:bookmarkEnd w:id="37"/>
      <w:r>
        <w:rPr>
          <w:spacing w:val="-27"/>
          <w:sz w:val="21"/>
        </w:rPr>
        <w:t xml:space="preserve">近 </w:t>
      </w:r>
      <w:r>
        <w:rPr>
          <w:sz w:val="21"/>
        </w:rPr>
        <w:t>3</w:t>
      </w:r>
      <w:r>
        <w:rPr>
          <w:spacing w:val="-9"/>
          <w:sz w:val="21"/>
        </w:rPr>
        <w:t xml:space="preserve"> 年无重大安全质量事故。</w:t>
      </w:r>
    </w:p>
    <w:p>
      <w:pPr>
        <w:pStyle w:val="ListParagraph"/>
        <w:numPr>
          <w:ilvl w:val="2"/>
          <w:numId w:val="7"/>
        </w:numPr>
        <w:tabs>
          <w:tab w:val="left" w:pos="1628"/>
        </w:tabs>
        <w:spacing w:before="33" w:after="0" w:line="240" w:lineRule="auto"/>
        <w:ind w:left="1627" w:right="0" w:hanging="736"/>
        <w:jc w:val="left"/>
        <w:rPr>
          <w:sz w:val="21"/>
        </w:rPr>
      </w:pPr>
      <w:bookmarkStart w:id="38" w:name="4.3.3　 固定办公场所建筑面积应不少于120 m2。"/>
      <w:bookmarkEnd w:id="38"/>
      <w:r>
        <w:rPr>
          <w:spacing w:val="-7"/>
          <w:sz w:val="21"/>
        </w:rPr>
        <w:t xml:space="preserve">固定办公场所建筑面积应不少于 </w:t>
      </w:r>
      <w:r>
        <w:rPr>
          <w:sz w:val="21"/>
        </w:rPr>
        <w:t>120</w:t>
      </w:r>
      <w:r>
        <w:rPr>
          <w:spacing w:val="-2"/>
          <w:sz w:val="21"/>
        </w:rPr>
        <w:t xml:space="preserve"> </w:t>
      </w:r>
      <w:r>
        <w:rPr>
          <w:sz w:val="21"/>
        </w:rPr>
        <w:t>m</w:t>
      </w:r>
      <w:r>
        <w:rPr>
          <w:position w:val="11"/>
          <w:sz w:val="11"/>
        </w:rPr>
        <w:t>2</w:t>
      </w:r>
      <w:r>
        <w:rPr>
          <w:sz w:val="21"/>
        </w:rPr>
        <w:t>。</w:t>
      </w:r>
    </w:p>
    <w:p>
      <w:pPr>
        <w:pStyle w:val="ListParagraph"/>
        <w:numPr>
          <w:ilvl w:val="2"/>
          <w:numId w:val="7"/>
        </w:numPr>
        <w:tabs>
          <w:tab w:val="left" w:pos="1628"/>
        </w:tabs>
        <w:spacing w:before="43" w:after="0" w:line="240" w:lineRule="auto"/>
        <w:ind w:left="1627" w:right="0" w:hanging="736"/>
        <w:jc w:val="left"/>
        <w:rPr>
          <w:sz w:val="21"/>
        </w:rPr>
      </w:pPr>
      <w:bookmarkStart w:id="39" w:name="4.3.4　 上一年度年清洁服务营业额2000万元以上或年纳税额150万元以上。"/>
      <w:bookmarkEnd w:id="39"/>
      <w:r>
        <w:rPr>
          <w:spacing w:val="-7"/>
          <w:sz w:val="21"/>
        </w:rPr>
        <w:t xml:space="preserve">上一年度年清洁服务营业额 </w:t>
      </w:r>
      <w:r>
        <w:rPr>
          <w:sz w:val="21"/>
        </w:rPr>
        <w:t>2000</w:t>
      </w:r>
      <w:r>
        <w:rPr>
          <w:spacing w:val="-13"/>
          <w:sz w:val="21"/>
        </w:rPr>
        <w:t xml:space="preserve"> 万元以上或年纳税额 </w:t>
      </w:r>
      <w:r>
        <w:rPr>
          <w:sz w:val="21"/>
        </w:rPr>
        <w:t>150</w:t>
      </w:r>
      <w:r>
        <w:rPr>
          <w:spacing w:val="-12"/>
          <w:sz w:val="21"/>
        </w:rPr>
        <w:t xml:space="preserve"> 万元以上。</w:t>
      </w:r>
    </w:p>
    <w:p>
      <w:pPr>
        <w:pStyle w:val="ListParagraph"/>
        <w:numPr>
          <w:ilvl w:val="2"/>
          <w:numId w:val="7"/>
        </w:numPr>
        <w:tabs>
          <w:tab w:val="left" w:pos="1628"/>
        </w:tabs>
        <w:spacing w:before="43" w:after="0" w:line="240" w:lineRule="auto"/>
        <w:ind w:left="1627" w:right="0" w:hanging="735"/>
        <w:jc w:val="left"/>
        <w:rPr>
          <w:sz w:val="21"/>
        </w:rPr>
      </w:pPr>
      <w:bookmarkStart w:id="40" w:name="4.3.5　 独立承接年清洁承包费200万元以上的合同期内项目不少于6项。"/>
      <w:bookmarkEnd w:id="40"/>
      <w:r>
        <w:rPr>
          <w:spacing w:val="-8"/>
          <w:sz w:val="21"/>
        </w:rPr>
        <w:t xml:space="preserve">独立承接年清洁承包费 </w:t>
      </w:r>
      <w:r>
        <w:rPr>
          <w:sz w:val="21"/>
        </w:rPr>
        <w:t>200</w:t>
      </w:r>
      <w:r>
        <w:rPr>
          <w:spacing w:val="-12"/>
          <w:sz w:val="21"/>
        </w:rPr>
        <w:t xml:space="preserve"> 万元以上的合同期内项目不少于 </w:t>
      </w:r>
      <w:r>
        <w:rPr>
          <w:sz w:val="21"/>
        </w:rPr>
        <w:t>6</w:t>
      </w:r>
      <w:r>
        <w:rPr>
          <w:spacing w:val="-19"/>
          <w:sz w:val="21"/>
        </w:rPr>
        <w:t xml:space="preserve"> 项。</w:t>
      </w:r>
    </w:p>
    <w:p>
      <w:pPr>
        <w:pStyle w:val="ListParagraph"/>
        <w:numPr>
          <w:ilvl w:val="2"/>
          <w:numId w:val="7"/>
        </w:numPr>
        <w:tabs>
          <w:tab w:val="left" w:pos="1628"/>
        </w:tabs>
        <w:spacing w:before="43" w:after="0" w:line="240" w:lineRule="auto"/>
        <w:ind w:left="1627" w:right="0" w:hanging="735"/>
        <w:jc w:val="left"/>
        <w:rPr>
          <w:sz w:val="21"/>
        </w:rPr>
      </w:pPr>
      <w:bookmarkStart w:id="41" w:name="4.3.6　 应具有承担至少3项专项清洁服务项目的能力。"/>
      <w:bookmarkEnd w:id="41"/>
      <w:r>
        <w:rPr>
          <w:spacing w:val="-10"/>
          <w:sz w:val="21"/>
        </w:rPr>
        <w:t xml:space="preserve">应具有承担至少 </w:t>
      </w:r>
      <w:r>
        <w:rPr>
          <w:sz w:val="21"/>
        </w:rPr>
        <w:t>3</w:t>
      </w:r>
      <w:r>
        <w:rPr>
          <w:spacing w:val="-8"/>
          <w:sz w:val="21"/>
        </w:rPr>
        <w:t xml:space="preserve"> 项专项清洁服务项目的能力。</w:t>
      </w:r>
    </w:p>
    <w:p>
      <w:pPr>
        <w:pStyle w:val="ListParagraph"/>
        <w:numPr>
          <w:ilvl w:val="2"/>
          <w:numId w:val="7"/>
        </w:numPr>
        <w:tabs>
          <w:tab w:val="left" w:pos="1628"/>
        </w:tabs>
        <w:spacing w:before="43" w:after="0" w:line="278" w:lineRule="auto"/>
        <w:ind w:left="893" w:right="1153" w:hanging="1"/>
        <w:jc w:val="both"/>
        <w:rPr>
          <w:sz w:val="21"/>
        </w:rPr>
      </w:pPr>
      <w:bookmarkStart w:id="42" w:name="4.3.7　 获武汉市清洁行业协会组织培训的“项目经理”资格证达30人。参加武汉"/>
      <w:bookmarkEnd w:id="42"/>
      <w:r>
        <w:rPr>
          <w:spacing w:val="-9"/>
          <w:sz w:val="21"/>
        </w:rPr>
        <w:t xml:space="preserve">获武汉市清洁行业协会组织培训的“项目经理”资格证达 </w:t>
      </w:r>
      <w:r>
        <w:rPr>
          <w:sz w:val="21"/>
        </w:rPr>
        <w:t>30</w:t>
      </w:r>
      <w:r>
        <w:rPr>
          <w:spacing w:val="-9"/>
          <w:sz w:val="21"/>
        </w:rPr>
        <w:t xml:space="preserve"> 人。参加武汉市清洁行业协会组织</w:t>
      </w:r>
      <w:r>
        <w:rPr>
          <w:spacing w:val="-7"/>
          <w:sz w:val="21"/>
        </w:rPr>
        <w:t xml:space="preserve">的培训，员工持有武汉市清洁行业协会颁发的上岗资格证数量达到公司在册员工的 </w:t>
      </w:r>
      <w:r>
        <w:rPr>
          <w:sz w:val="21"/>
        </w:rPr>
        <w:t>30</w:t>
      </w:r>
      <w:r>
        <w:rPr>
          <w:spacing w:val="-2"/>
          <w:sz w:val="21"/>
        </w:rPr>
        <w:t>％以上。</w:t>
      </w:r>
    </w:p>
    <w:p>
      <w:pPr>
        <w:pStyle w:val="ListParagraph"/>
        <w:numPr>
          <w:ilvl w:val="2"/>
          <w:numId w:val="7"/>
        </w:numPr>
        <w:tabs>
          <w:tab w:val="left" w:pos="1629"/>
        </w:tabs>
        <w:spacing w:before="0" w:after="0" w:line="278" w:lineRule="auto"/>
        <w:ind w:left="894" w:right="1157" w:hanging="1"/>
        <w:jc w:val="both"/>
        <w:rPr>
          <w:sz w:val="21"/>
        </w:rPr>
      </w:pPr>
      <w:bookmarkStart w:id="43" w:name="4.3.8　 具有大专以上学历或有初级以上职称（或具有与之相对应的专业能力）的业"/>
      <w:bookmarkEnd w:id="43"/>
      <w:r>
        <w:rPr>
          <w:spacing w:val="-3"/>
          <w:sz w:val="21"/>
        </w:rPr>
        <w:t>具有大专以上学历或有初级以上职称</w:t>
      </w:r>
      <w:r>
        <w:rPr>
          <w:sz w:val="21"/>
        </w:rPr>
        <w:t>（</w:t>
      </w:r>
      <w:r>
        <w:rPr>
          <w:spacing w:val="-3"/>
          <w:sz w:val="21"/>
        </w:rPr>
        <w:t>或具有与之相对应的专业能力）的业务部门负责人应不</w:t>
      </w:r>
      <w:r>
        <w:rPr>
          <w:spacing w:val="-17"/>
          <w:sz w:val="21"/>
        </w:rPr>
        <w:t xml:space="preserve">少于 </w:t>
      </w:r>
      <w:r>
        <w:rPr>
          <w:sz w:val="21"/>
        </w:rPr>
        <w:t>5</w:t>
      </w:r>
      <w:r>
        <w:rPr>
          <w:spacing w:val="-14"/>
          <w:sz w:val="21"/>
        </w:rPr>
        <w:t xml:space="preserve"> 人。专业技术人员不少于 </w:t>
      </w:r>
      <w:r>
        <w:rPr>
          <w:sz w:val="21"/>
        </w:rPr>
        <w:t>5</w:t>
      </w:r>
      <w:r>
        <w:rPr>
          <w:spacing w:val="-18"/>
          <w:sz w:val="21"/>
        </w:rPr>
        <w:t xml:space="preserve"> 人，其中至少 </w:t>
      </w:r>
      <w:r>
        <w:rPr>
          <w:sz w:val="21"/>
        </w:rPr>
        <w:t>3</w:t>
      </w:r>
      <w:r>
        <w:rPr>
          <w:spacing w:val="-10"/>
          <w:sz w:val="21"/>
        </w:rPr>
        <w:t xml:space="preserve"> 人具有专科以上学历或具有初级以上职称</w:t>
      </w:r>
      <w:r>
        <w:rPr>
          <w:spacing w:val="-3"/>
          <w:sz w:val="21"/>
        </w:rPr>
        <w:t>（或具有与之相对应的专业能力</w:t>
      </w:r>
      <w:r>
        <w:rPr>
          <w:sz w:val="21"/>
        </w:rPr>
        <w:t>）。</w:t>
      </w:r>
    </w:p>
    <w:p>
      <w:pPr>
        <w:pStyle w:val="BodyText"/>
        <w:spacing w:before="6"/>
        <w:rPr>
          <w:sz w:val="24"/>
        </w:rPr>
      </w:pPr>
    </w:p>
    <w:p>
      <w:pPr>
        <w:pStyle w:val="ListParagraph"/>
        <w:numPr>
          <w:ilvl w:val="0"/>
          <w:numId w:val="6"/>
        </w:numPr>
        <w:tabs>
          <w:tab w:val="left" w:pos="1209"/>
        </w:tabs>
        <w:spacing w:before="0" w:after="0" w:line="240" w:lineRule="auto"/>
        <w:ind w:left="1208" w:right="0" w:hanging="315"/>
        <w:jc w:val="left"/>
        <w:rPr>
          <w:rFonts w:ascii="黑体" w:eastAsia="黑体" w:hint="eastAsia"/>
          <w:sz w:val="21"/>
        </w:rPr>
      </w:pPr>
      <w:bookmarkStart w:id="44" w:name="5　 等级评定与管理"/>
      <w:bookmarkEnd w:id="44"/>
      <w:r>
        <w:rPr>
          <w:rFonts w:ascii="黑体" w:eastAsia="黑体" w:hint="eastAsia"/>
          <w:spacing w:val="-2"/>
          <w:sz w:val="21"/>
        </w:rPr>
        <w:t>等级评定与管理</w:t>
      </w:r>
    </w:p>
    <w:p>
      <w:pPr>
        <w:pStyle w:val="BodyText"/>
        <w:spacing w:before="6"/>
        <w:rPr>
          <w:rFonts w:ascii="黑体"/>
          <w:sz w:val="27"/>
        </w:rPr>
      </w:pPr>
    </w:p>
    <w:p>
      <w:pPr>
        <w:pStyle w:val="ListParagraph"/>
        <w:numPr>
          <w:ilvl w:val="1"/>
          <w:numId w:val="6"/>
        </w:numPr>
        <w:tabs>
          <w:tab w:val="left" w:pos="1420"/>
        </w:tabs>
        <w:spacing w:before="0" w:after="0" w:line="240" w:lineRule="auto"/>
        <w:ind w:left="1419" w:right="0" w:hanging="526"/>
        <w:jc w:val="left"/>
        <w:rPr>
          <w:rFonts w:ascii="黑体" w:eastAsia="黑体" w:hint="eastAsia"/>
          <w:sz w:val="21"/>
        </w:rPr>
      </w:pPr>
      <w:bookmarkStart w:id="45" w:name="5.1　 评定组织"/>
      <w:bookmarkEnd w:id="45"/>
      <w:r>
        <w:rPr>
          <w:rFonts w:ascii="黑体" w:eastAsia="黑体" w:hint="eastAsia"/>
          <w:spacing w:val="-1"/>
          <w:sz w:val="21"/>
        </w:rPr>
        <w:t>评定组织</w:t>
      </w:r>
    </w:p>
    <w:p>
      <w:pPr>
        <w:pStyle w:val="BodyText"/>
        <w:rPr>
          <w:rFonts w:ascii="黑体"/>
          <w:sz w:val="20"/>
        </w:rPr>
      </w:pPr>
    </w:p>
    <w:p>
      <w:pPr>
        <w:pStyle w:val="BodyText"/>
        <w:spacing w:before="3"/>
        <w:rPr>
          <w:rFonts w:ascii="黑体"/>
          <w:sz w:val="17"/>
        </w:rPr>
      </w:pPr>
    </w:p>
    <w:p>
      <w:pPr>
        <w:spacing w:before="0"/>
        <w:ind w:left="1113" w:right="0" w:firstLine="0"/>
        <w:jc w:val="left"/>
        <w:rPr>
          <w:sz w:val="18"/>
        </w:rPr>
      </w:pPr>
      <w:r>
        <w:rPr>
          <w:sz w:val="18"/>
        </w:rPr>
        <w:t>2</w:t>
      </w:r>
    </w:p>
    <w:p>
      <w:pPr>
        <w:spacing w:after="0"/>
        <w:jc w:val="left"/>
        <w:rPr>
          <w:sz w:val="18"/>
        </w:rPr>
        <w:sectPr>
          <w:headerReference w:type="even" r:id="rId24"/>
          <w:headerReference w:type="default" r:id="rId25"/>
          <w:footerReference w:type="default" r:id="rId26"/>
          <w:pgSz w:w="11910" w:h="16840"/>
          <w:pgMar w:top="1640" w:right="260" w:bottom="280" w:left="240" w:header="1448" w:footer="0"/>
          <w:pgNumType w:start="18"/>
          <w:cols w:space="708"/>
        </w:sectPr>
      </w:pPr>
    </w:p>
    <w:p>
      <w:pPr>
        <w:pStyle w:val="BodyText"/>
        <w:spacing w:before="61"/>
        <w:ind w:right="870"/>
        <w:jc w:val="right"/>
        <w:rPr>
          <w:rFonts w:ascii="黑体" w:hAnsi="黑体"/>
        </w:rPr>
      </w:pPr>
      <w:r>
        <w:pict>
          <v:group id="_x0000_s1051" style="width:595.5pt;height:842.15pt;margin-top:-0.09pt;margin-left:-0.09pt;mso-position-horizontal-relative:page;mso-position-vertical-relative:page;position:absolute;z-index:-251644928" coordorigin="-2,-2" coordsize="11910,16843">
            <v:shape id="_x0000_s1052" type="#_x0000_t75" style="width:6067;height:8051;left:2650;position:absolute;top:4649" stroked="f">
              <v:imagedata r:id="rId20" o:title=""/>
            </v:shape>
            <v:rect id="_x0000_s1053" style="width:11906;height:16838;position:absolute" filled="f" stroked="t" strokecolor="#231916" strokeweight="0.22pt">
              <v:stroke dashstyle="solid"/>
            </v:rect>
            <v:shape id="_x0000_s1054" type="#_x0000_t75" style="width:11200;height:7680;left:340;position:absolute;top:8258" stroked="f">
              <v:imagedata r:id="rId4" o:title=""/>
            </v:shape>
          </v:group>
        </w:pict>
      </w:r>
      <w:r>
        <w:rPr>
          <w:rFonts w:ascii="黑体" w:hAnsi="黑体"/>
        </w:rPr>
        <w:t>DB4201/T 532</w:t>
      </w:r>
      <w:r>
        <w:rPr>
          <w:rFonts w:ascii="Times New Roman" w:hAnsi="Times New Roman"/>
        </w:rPr>
        <w:t>—</w:t>
      </w:r>
      <w:r>
        <w:rPr>
          <w:rFonts w:ascii="黑体" w:hAnsi="黑体"/>
        </w:rPr>
        <w:t>2017</w:t>
      </w:r>
    </w:p>
    <w:p>
      <w:pPr>
        <w:pStyle w:val="BodyText"/>
        <w:spacing w:before="6"/>
        <w:rPr>
          <w:rFonts w:ascii="黑体"/>
          <w:sz w:val="13"/>
        </w:rPr>
      </w:pPr>
    </w:p>
    <w:p>
      <w:pPr>
        <w:pStyle w:val="ListParagraph"/>
        <w:numPr>
          <w:ilvl w:val="2"/>
          <w:numId w:val="14"/>
        </w:numPr>
        <w:tabs>
          <w:tab w:val="left" w:pos="1911"/>
        </w:tabs>
        <w:spacing w:before="72" w:after="0" w:line="240" w:lineRule="auto"/>
        <w:ind w:left="1910" w:right="0" w:hanging="735"/>
        <w:jc w:val="left"/>
        <w:rPr>
          <w:sz w:val="21"/>
        </w:rPr>
      </w:pPr>
      <w:bookmarkStart w:id="46" w:name="5.1.1　 清洁服务机构等级评定委员会（以下简称“评委会”）负责清洁服务机构等"/>
      <w:bookmarkEnd w:id="46"/>
      <w:r>
        <w:rPr>
          <w:spacing w:val="-3"/>
          <w:sz w:val="21"/>
        </w:rPr>
        <w:t>清洁服务机构等级评定委员会</w:t>
      </w:r>
      <w:r>
        <w:rPr>
          <w:spacing w:val="-3"/>
          <w:sz w:val="21"/>
        </w:rPr>
        <w:t>（以下简称“评委会</w:t>
      </w:r>
      <w:r>
        <w:rPr>
          <w:sz w:val="21"/>
        </w:rPr>
        <w:t>”）</w:t>
      </w:r>
      <w:r>
        <w:rPr>
          <w:spacing w:val="-3"/>
          <w:sz w:val="21"/>
        </w:rPr>
        <w:t>负责清洁服务机构等级的评定工作。</w:t>
      </w:r>
    </w:p>
    <w:p>
      <w:pPr>
        <w:pStyle w:val="ListParagraph"/>
        <w:numPr>
          <w:ilvl w:val="2"/>
          <w:numId w:val="14"/>
        </w:numPr>
        <w:tabs>
          <w:tab w:val="left" w:pos="1911"/>
        </w:tabs>
        <w:spacing w:before="43" w:after="0" w:line="240" w:lineRule="auto"/>
        <w:ind w:left="1910" w:right="0" w:hanging="736"/>
        <w:jc w:val="left"/>
        <w:rPr>
          <w:sz w:val="21"/>
        </w:rPr>
      </w:pPr>
      <w:bookmarkStart w:id="47" w:name="5.1.2　 评委会的主要职责包括："/>
      <w:bookmarkEnd w:id="47"/>
      <w:r>
        <w:rPr>
          <w:spacing w:val="-3"/>
          <w:sz w:val="21"/>
        </w:rPr>
        <w:t>评委会的主要职责包括：</w:t>
      </w:r>
    </w:p>
    <w:p>
      <w:pPr>
        <w:pStyle w:val="BodyText"/>
        <w:spacing w:before="43"/>
        <w:ind w:left="1601"/>
      </w:pPr>
      <w:r>
        <w:t>——根据初审意见，确定是否受理申请；</w:t>
      </w:r>
    </w:p>
    <w:p>
      <w:pPr>
        <w:pStyle w:val="BodyText"/>
        <w:spacing w:before="43"/>
        <w:ind w:left="1601"/>
      </w:pPr>
      <w:r>
        <w:t>——组成专家组对机构做评定检查；</w:t>
      </w:r>
    </w:p>
    <w:p>
      <w:pPr>
        <w:pStyle w:val="BodyText"/>
        <w:spacing w:before="42"/>
        <w:ind w:left="1601"/>
      </w:pPr>
      <w:r>
        <w:t>——根据检查结果和申报材料确定机构评定等级。</w:t>
      </w:r>
    </w:p>
    <w:p>
      <w:pPr>
        <w:pStyle w:val="ListParagraph"/>
        <w:numPr>
          <w:ilvl w:val="2"/>
          <w:numId w:val="14"/>
        </w:numPr>
        <w:tabs>
          <w:tab w:val="left" w:pos="1912"/>
        </w:tabs>
        <w:spacing w:before="43" w:after="0" w:line="240" w:lineRule="auto"/>
        <w:ind w:left="1911" w:right="0" w:hanging="736"/>
        <w:jc w:val="left"/>
        <w:rPr>
          <w:sz w:val="21"/>
        </w:rPr>
      </w:pPr>
      <w:bookmarkStart w:id="48" w:name="5.1.3　 评委会下设办公室，负责清洁服务机构等级评定的具体工作，评委会办公室"/>
      <w:bookmarkEnd w:id="48"/>
      <w:r>
        <w:rPr>
          <w:spacing w:val="-3"/>
          <w:sz w:val="21"/>
        </w:rPr>
        <w:t>评委会下设办公室，负责清洁服务机构等级评定的具体工作，评委会办公室的主要职责包括：</w:t>
      </w:r>
    </w:p>
    <w:p>
      <w:pPr>
        <w:pStyle w:val="BodyText"/>
        <w:spacing w:before="43"/>
        <w:ind w:left="1601"/>
      </w:pPr>
      <w:r>
        <w:t>——审查机构申报材料，提出初审意见；</w:t>
      </w:r>
    </w:p>
    <w:p>
      <w:pPr>
        <w:pStyle w:val="BodyText"/>
        <w:spacing w:before="43"/>
        <w:ind w:left="1601"/>
      </w:pPr>
      <w:r>
        <w:t>——组织实施各项评定程序；</w:t>
      </w:r>
    </w:p>
    <w:p>
      <w:pPr>
        <w:pStyle w:val="BodyText"/>
        <w:spacing w:before="43"/>
        <w:ind w:left="1601"/>
      </w:pPr>
      <w:r>
        <w:t>——在评委会领导下负责开展日常工作。</w:t>
      </w:r>
    </w:p>
    <w:p>
      <w:pPr>
        <w:pStyle w:val="BodyText"/>
        <w:spacing w:before="6"/>
        <w:rPr>
          <w:sz w:val="15"/>
        </w:rPr>
      </w:pPr>
    </w:p>
    <w:p>
      <w:pPr>
        <w:pStyle w:val="ListParagraph"/>
        <w:numPr>
          <w:ilvl w:val="1"/>
          <w:numId w:val="14"/>
        </w:numPr>
        <w:tabs>
          <w:tab w:val="left" w:pos="1703"/>
        </w:tabs>
        <w:spacing w:before="1" w:after="0" w:line="240" w:lineRule="auto"/>
        <w:ind w:left="1702" w:right="0" w:hanging="526"/>
        <w:jc w:val="left"/>
        <w:rPr>
          <w:rFonts w:ascii="黑体" w:eastAsia="黑体" w:hint="eastAsia"/>
          <w:sz w:val="21"/>
        </w:rPr>
      </w:pPr>
      <w:bookmarkStart w:id="49" w:name="5.2　 评定程序"/>
      <w:bookmarkEnd w:id="49"/>
      <w:r>
        <w:rPr>
          <w:rFonts w:ascii="黑体" w:eastAsia="黑体" w:hint="eastAsia"/>
          <w:spacing w:val="-1"/>
          <w:sz w:val="21"/>
        </w:rPr>
        <w:t>评定程序</w:t>
      </w:r>
    </w:p>
    <w:p>
      <w:pPr>
        <w:pStyle w:val="BodyText"/>
        <w:spacing w:before="6"/>
        <w:rPr>
          <w:rFonts w:ascii="黑体"/>
          <w:sz w:val="15"/>
        </w:rPr>
      </w:pPr>
    </w:p>
    <w:p>
      <w:pPr>
        <w:pStyle w:val="ListParagraph"/>
        <w:numPr>
          <w:ilvl w:val="2"/>
          <w:numId w:val="14"/>
        </w:numPr>
        <w:tabs>
          <w:tab w:val="left" w:pos="1912"/>
        </w:tabs>
        <w:spacing w:before="0" w:after="0" w:line="240" w:lineRule="auto"/>
        <w:ind w:left="1911" w:right="0" w:hanging="735"/>
        <w:jc w:val="left"/>
        <w:rPr>
          <w:rFonts w:ascii="黑体" w:eastAsia="黑体" w:hint="eastAsia"/>
          <w:sz w:val="21"/>
        </w:rPr>
      </w:pPr>
      <w:bookmarkStart w:id="50" w:name="5.2.1　 申请"/>
      <w:bookmarkEnd w:id="50"/>
      <w:r>
        <w:rPr>
          <w:rFonts w:ascii="黑体" w:eastAsia="黑体" w:hint="eastAsia"/>
          <w:sz w:val="21"/>
        </w:rPr>
        <w:t>申请</w:t>
      </w:r>
    </w:p>
    <w:p>
      <w:pPr>
        <w:pStyle w:val="BodyText"/>
        <w:spacing w:before="7"/>
        <w:rPr>
          <w:rFonts w:ascii="黑体"/>
          <w:sz w:val="15"/>
        </w:rPr>
      </w:pPr>
    </w:p>
    <w:p>
      <w:pPr>
        <w:pStyle w:val="ListParagraph"/>
        <w:numPr>
          <w:ilvl w:val="3"/>
          <w:numId w:val="14"/>
        </w:numPr>
        <w:tabs>
          <w:tab w:val="left" w:pos="2124"/>
        </w:tabs>
        <w:spacing w:before="0" w:after="0" w:line="240" w:lineRule="auto"/>
        <w:ind w:left="2123" w:right="0" w:hanging="947"/>
        <w:jc w:val="left"/>
        <w:rPr>
          <w:sz w:val="21"/>
        </w:rPr>
      </w:pPr>
      <w:bookmarkStart w:id="51" w:name="5.2.1.1　 清洁服务机构可不定期自愿申请等级评定。"/>
      <w:bookmarkEnd w:id="51"/>
      <w:r>
        <w:rPr>
          <w:spacing w:val="-3"/>
          <w:sz w:val="21"/>
        </w:rPr>
        <w:t>清洁服务机构可不定期自愿申请等级评定。</w:t>
      </w:r>
    </w:p>
    <w:p>
      <w:pPr>
        <w:pStyle w:val="ListParagraph"/>
        <w:numPr>
          <w:ilvl w:val="3"/>
          <w:numId w:val="14"/>
        </w:numPr>
        <w:tabs>
          <w:tab w:val="left" w:pos="2124"/>
        </w:tabs>
        <w:spacing w:before="43" w:after="0" w:line="240" w:lineRule="auto"/>
        <w:ind w:left="2123" w:right="0" w:hanging="947"/>
        <w:jc w:val="left"/>
        <w:rPr>
          <w:sz w:val="21"/>
        </w:rPr>
      </w:pPr>
      <w:bookmarkStart w:id="52" w:name="5.2.1.2　 清洁服务机构申请等级评定，应提供以下材料："/>
      <w:bookmarkEnd w:id="52"/>
      <w:r>
        <w:rPr>
          <w:spacing w:val="-3"/>
          <w:sz w:val="21"/>
        </w:rPr>
        <w:t>清洁服务机构申请等级评定，应提供以下材料：</w:t>
      </w:r>
    </w:p>
    <w:p>
      <w:pPr>
        <w:pStyle w:val="BodyText"/>
        <w:spacing w:before="43"/>
        <w:ind w:left="1602"/>
      </w:pPr>
      <w:r>
        <w:t>——清洁服务机构等级评定申报表，申报表中清洁服务机构应提供的信息表参见附录 B；</w:t>
      </w:r>
    </w:p>
    <w:p>
      <w:pPr>
        <w:pStyle w:val="BodyText"/>
        <w:spacing w:before="43"/>
        <w:ind w:left="1602"/>
      </w:pPr>
      <w:r>
        <w:t>——营业执照及副本复印件；</w:t>
      </w:r>
    </w:p>
    <w:p>
      <w:pPr>
        <w:pStyle w:val="BodyText"/>
        <w:spacing w:before="43"/>
        <w:ind w:left="1602"/>
      </w:pPr>
      <w:r>
        <w:t>——办公场所、库房产权证明或租赁合同及复印件；</w:t>
      </w:r>
    </w:p>
    <w:p>
      <w:pPr>
        <w:pStyle w:val="BodyText"/>
        <w:spacing w:before="43"/>
        <w:ind w:left="1602"/>
      </w:pPr>
      <w:r>
        <w:t>——近期财务报表等资料；</w:t>
      </w:r>
    </w:p>
    <w:p>
      <w:pPr>
        <w:pStyle w:val="BodyText"/>
        <w:spacing w:before="43"/>
        <w:ind w:left="1602"/>
      </w:pPr>
      <w:r>
        <w:rPr>
          <w:spacing w:val="-2"/>
        </w:rPr>
        <w:t>——业绩证明</w:t>
      </w:r>
      <w:r>
        <w:rPr>
          <w:spacing w:val="-3"/>
        </w:rPr>
        <w:t>（合同及复印件</w:t>
      </w:r>
      <w:r>
        <w:t>）；</w:t>
      </w:r>
    </w:p>
    <w:p>
      <w:pPr>
        <w:pStyle w:val="BodyText"/>
        <w:spacing w:before="42"/>
        <w:ind w:left="1603"/>
      </w:pPr>
      <w:r>
        <w:pict>
          <v:group id="_x0000_s1055" style="width:479.25pt;height:365.95pt;margin-top:18.37pt;margin-left:70.93pt;mso-position-horizontal-relative:page;mso-wrap-distance-left:0;mso-wrap-distance-right:0;position:absolute;z-index:-251643904" coordorigin="1419,367" coordsize="9585,7319">
            <v:shape id="_x0000_s1056" type="#_x0000_t202" style="width:4958;height:992;left:1418;position:absolute;top:367" filled="f" stroked="f">
              <v:textbox inset="0,0,0,0">
                <w:txbxContent>
                  <w:p>
                    <w:pPr>
                      <w:spacing w:before="0" w:line="241" w:lineRule="exact"/>
                      <w:ind w:left="424" w:right="0" w:firstLine="0"/>
                      <w:jc w:val="left"/>
                      <w:rPr>
                        <w:sz w:val="21"/>
                      </w:rPr>
                    </w:pPr>
                    <w:r>
                      <w:rPr>
                        <w:sz w:val="21"/>
                      </w:rPr>
                      <w:t>——与等级评定相关的其它资料。</w:t>
                    </w:r>
                  </w:p>
                  <w:p>
                    <w:pPr>
                      <w:spacing w:before="43"/>
                      <w:ind w:left="0" w:right="0" w:firstLine="0"/>
                      <w:jc w:val="left"/>
                      <w:rPr>
                        <w:sz w:val="21"/>
                      </w:rPr>
                    </w:pPr>
                    <w:bookmarkStart w:id="53" w:name="5.2.1.3　 清洁服务机构所提供的材料应真实、准确。"/>
                    <w:bookmarkEnd w:id="53"/>
                    <w:r>
                      <w:rPr>
                        <w:rFonts w:ascii="黑体" w:eastAsia="黑体" w:hint="eastAsia"/>
                        <w:sz w:val="21"/>
                      </w:rPr>
                      <w:t xml:space="preserve">5.2.1.3 </w:t>
                    </w:r>
                    <w:r>
                      <w:rPr>
                        <w:sz w:val="21"/>
                      </w:rPr>
                      <w:t>清洁服务机构所提供的材料应真实、准确。</w:t>
                    </w:r>
                  </w:p>
                  <w:p>
                    <w:pPr>
                      <w:spacing w:before="6" w:line="240" w:lineRule="auto"/>
                      <w:rPr>
                        <w:sz w:val="15"/>
                      </w:rPr>
                    </w:pPr>
                  </w:p>
                  <w:p>
                    <w:pPr>
                      <w:spacing w:before="0" w:line="240" w:lineRule="exact"/>
                      <w:ind w:left="0" w:right="0" w:firstLine="0"/>
                      <w:jc w:val="left"/>
                      <w:rPr>
                        <w:rFonts w:ascii="黑体" w:eastAsia="黑体" w:hint="eastAsia"/>
                        <w:sz w:val="21"/>
                      </w:rPr>
                    </w:pPr>
                    <w:bookmarkStart w:id="54" w:name="5.2.2　 受理"/>
                    <w:bookmarkEnd w:id="54"/>
                    <w:r>
                      <w:rPr>
                        <w:rFonts w:ascii="黑体" w:eastAsia="黑体" w:hint="eastAsia"/>
                        <w:sz w:val="21"/>
                      </w:rPr>
                      <w:t>5.2.2 受 理</w:t>
                    </w:r>
                  </w:p>
                </w:txbxContent>
              </v:textbox>
            </v:shape>
            <v:shape id="_x0000_s1057" type="#_x0000_t202" style="width:757;height:1148;left:1418;position:absolute;top:1615" filled="f" stroked="f">
              <v:textbox inset="0,0,0,0">
                <w:txbxContent>
                  <w:p>
                    <w:pPr>
                      <w:spacing w:before="0" w:line="241" w:lineRule="exact"/>
                      <w:ind w:left="0" w:right="0" w:firstLine="0"/>
                      <w:jc w:val="left"/>
                      <w:rPr>
                        <w:rFonts w:ascii="黑体"/>
                        <w:sz w:val="21"/>
                      </w:rPr>
                    </w:pPr>
                    <w:bookmarkStart w:id="55" w:name="5.2.2.1　 接到清洁服务机构申请材料后，评委会办公室应在10日内完成申请材"/>
                    <w:bookmarkEnd w:id="55"/>
                    <w:r>
                      <w:rPr>
                        <w:rFonts w:ascii="黑体"/>
                        <w:sz w:val="21"/>
                      </w:rPr>
                      <w:t>5.2.2.1</w:t>
                    </w:r>
                  </w:p>
                  <w:p>
                    <w:pPr>
                      <w:spacing w:before="43"/>
                      <w:ind w:left="0" w:right="0" w:firstLine="0"/>
                      <w:jc w:val="left"/>
                      <w:rPr>
                        <w:sz w:val="21"/>
                      </w:rPr>
                    </w:pPr>
                    <w:r>
                      <w:rPr>
                        <w:sz w:val="21"/>
                      </w:rPr>
                      <w:t>意见。</w:t>
                    </w:r>
                  </w:p>
                  <w:p>
                    <w:pPr>
                      <w:spacing w:before="42"/>
                      <w:ind w:left="0" w:right="0" w:firstLine="0"/>
                      <w:jc w:val="left"/>
                      <w:rPr>
                        <w:rFonts w:ascii="黑体"/>
                        <w:sz w:val="21"/>
                      </w:rPr>
                    </w:pPr>
                    <w:bookmarkStart w:id="56" w:name="5.2.2.2　 评委会接到初审意见后，组成专家组于5日内提出是否受理的意见。"/>
                    <w:bookmarkEnd w:id="56"/>
                    <w:r>
                      <w:rPr>
                        <w:rFonts w:ascii="黑体"/>
                        <w:sz w:val="21"/>
                      </w:rPr>
                      <w:t>5.2.2.2</w:t>
                    </w:r>
                  </w:p>
                  <w:p>
                    <w:pPr>
                      <w:spacing w:before="43" w:line="240" w:lineRule="exact"/>
                      <w:ind w:left="0" w:right="0" w:firstLine="0"/>
                      <w:jc w:val="left"/>
                      <w:rPr>
                        <w:rFonts w:ascii="黑体"/>
                        <w:sz w:val="21"/>
                      </w:rPr>
                    </w:pPr>
                    <w:bookmarkStart w:id="57" w:name="5.2.2.3　 评委会办公室根据专家组意见通知申请机构受理结果。"/>
                    <w:bookmarkEnd w:id="57"/>
                    <w:r>
                      <w:rPr>
                        <w:rFonts w:ascii="黑体"/>
                        <w:sz w:val="21"/>
                      </w:rPr>
                      <w:t>5.2.2.3</w:t>
                    </w:r>
                  </w:p>
                </w:txbxContent>
              </v:textbox>
            </v:shape>
            <v:shape id="_x0000_s1058" type="#_x0000_t202" style="width:8435;height:212;left:2364;position:absolute;top:1615" filled="f" stroked="f">
              <v:textbox inset="0,0,0,0">
                <w:txbxContent>
                  <w:p>
                    <w:pPr>
                      <w:spacing w:before="0" w:line="211" w:lineRule="exact"/>
                      <w:ind w:left="0" w:right="0" w:firstLine="0"/>
                      <w:jc w:val="left"/>
                      <w:rPr>
                        <w:sz w:val="21"/>
                      </w:rPr>
                    </w:pPr>
                    <w:r>
                      <w:rPr>
                        <w:spacing w:val="-9"/>
                        <w:sz w:val="21"/>
                      </w:rPr>
                      <w:t xml:space="preserve">接到清洁服务机构申请材料后，评委会办公室应在 </w:t>
                    </w:r>
                    <w:r>
                      <w:rPr>
                        <w:sz w:val="21"/>
                      </w:rPr>
                      <w:t>10</w:t>
                    </w:r>
                    <w:r>
                      <w:rPr>
                        <w:spacing w:val="-11"/>
                        <w:sz w:val="21"/>
                      </w:rPr>
                      <w:t xml:space="preserve"> 日内完成申请材料的初审，并提出初审</w:t>
                    </w:r>
                  </w:p>
                </w:txbxContent>
              </v:textbox>
            </v:shape>
            <v:shape id="_x0000_s1059" type="#_x0000_t202" style="width:6325;height:524;left:2364;position:absolute;top:2239" filled="f" stroked="f">
              <v:textbox inset="0,0,0,0">
                <w:txbxContent>
                  <w:p>
                    <w:pPr>
                      <w:spacing w:before="0" w:line="241" w:lineRule="exact"/>
                      <w:ind w:left="0" w:right="0" w:firstLine="0"/>
                      <w:jc w:val="left"/>
                      <w:rPr>
                        <w:sz w:val="21"/>
                      </w:rPr>
                    </w:pPr>
                    <w:r>
                      <w:rPr>
                        <w:spacing w:val="-5"/>
                        <w:sz w:val="21"/>
                      </w:rPr>
                      <w:t xml:space="preserve">评委会接到初审意见后，组成专家组于 </w:t>
                    </w:r>
                    <w:r>
                      <w:rPr>
                        <w:sz w:val="21"/>
                      </w:rPr>
                      <w:t>5</w:t>
                    </w:r>
                    <w:r>
                      <w:rPr>
                        <w:spacing w:val="-8"/>
                        <w:sz w:val="21"/>
                      </w:rPr>
                      <w:t xml:space="preserve"> 日内提出是否受理的意见。</w:t>
                    </w:r>
                  </w:p>
                  <w:p>
                    <w:pPr>
                      <w:spacing w:before="43" w:line="240" w:lineRule="exact"/>
                      <w:ind w:left="0" w:right="0" w:firstLine="0"/>
                      <w:jc w:val="left"/>
                      <w:rPr>
                        <w:sz w:val="21"/>
                      </w:rPr>
                    </w:pPr>
                    <w:r>
                      <w:rPr>
                        <w:sz w:val="21"/>
                      </w:rPr>
                      <w:t>评委会办公室根据专家组意见通知申请机构受理结果。</w:t>
                    </w:r>
                  </w:p>
                </w:txbxContent>
              </v:textbox>
            </v:shape>
            <v:shape id="_x0000_s1060" type="#_x0000_t202" style="width:9585;height:4668;left:1418;position:absolute;top:3019" filled="f" stroked="f">
              <v:textbox inset="0,0,0,0">
                <w:txbxContent>
                  <w:p>
                    <w:pPr>
                      <w:numPr>
                        <w:ilvl w:val="2"/>
                        <w:numId w:val="5"/>
                      </w:numPr>
                      <w:tabs>
                        <w:tab w:val="left" w:pos="735"/>
                      </w:tabs>
                      <w:spacing w:before="0" w:line="241" w:lineRule="exact"/>
                      <w:ind w:left="734" w:right="0" w:hanging="735"/>
                      <w:jc w:val="left"/>
                      <w:rPr>
                        <w:rFonts w:ascii="黑体" w:eastAsia="黑体" w:hint="eastAsia"/>
                        <w:sz w:val="21"/>
                      </w:rPr>
                    </w:pPr>
                    <w:bookmarkStart w:id="58" w:name="5.2.3　 现场检查"/>
                    <w:bookmarkEnd w:id="58"/>
                    <w:r>
                      <w:rPr>
                        <w:rFonts w:ascii="黑体" w:eastAsia="黑体" w:hint="eastAsia"/>
                        <w:spacing w:val="-2"/>
                        <w:sz w:val="21"/>
                      </w:rPr>
                      <w:t>现场检查</w:t>
                    </w:r>
                  </w:p>
                  <w:p>
                    <w:pPr>
                      <w:spacing w:before="6" w:line="240" w:lineRule="auto"/>
                      <w:rPr>
                        <w:rFonts w:ascii="黑体"/>
                        <w:sz w:val="15"/>
                      </w:rPr>
                    </w:pPr>
                  </w:p>
                  <w:p>
                    <w:pPr>
                      <w:numPr>
                        <w:ilvl w:val="3"/>
                        <w:numId w:val="5"/>
                      </w:numPr>
                      <w:tabs>
                        <w:tab w:val="left" w:pos="946"/>
                      </w:tabs>
                      <w:spacing w:before="0"/>
                      <w:ind w:left="945" w:right="0" w:hanging="946"/>
                      <w:jc w:val="left"/>
                      <w:rPr>
                        <w:sz w:val="21"/>
                      </w:rPr>
                    </w:pPr>
                    <w:bookmarkStart w:id="59" w:name="5.2.3.1　 评委会办公室根据已受理的申请安排现场检查计划，提交专家组。"/>
                    <w:bookmarkEnd w:id="59"/>
                    <w:r>
                      <w:rPr>
                        <w:spacing w:val="-3"/>
                        <w:sz w:val="21"/>
                      </w:rPr>
                      <w:t>评委会办公室根据已受理的申请安排现场检查计划，提交专家组。</w:t>
                    </w:r>
                  </w:p>
                  <w:p>
                    <w:pPr>
                      <w:numPr>
                        <w:ilvl w:val="3"/>
                        <w:numId w:val="5"/>
                      </w:numPr>
                      <w:tabs>
                        <w:tab w:val="left" w:pos="946"/>
                      </w:tabs>
                      <w:spacing w:before="43"/>
                      <w:ind w:left="945" w:right="0" w:hanging="946"/>
                      <w:jc w:val="left"/>
                      <w:rPr>
                        <w:sz w:val="21"/>
                      </w:rPr>
                    </w:pPr>
                    <w:bookmarkStart w:id="60" w:name="5.2.3.2　 专家组应根据现场检查计划在20个工作日内完成现场检查，出具检查"/>
                    <w:bookmarkEnd w:id="60"/>
                    <w:r>
                      <w:rPr>
                        <w:spacing w:val="-6"/>
                        <w:sz w:val="21"/>
                      </w:rPr>
                      <w:t xml:space="preserve">专家组应根据现场检查计划在 </w:t>
                    </w:r>
                    <w:r>
                      <w:rPr>
                        <w:sz w:val="21"/>
                      </w:rPr>
                      <w:t>20</w:t>
                    </w:r>
                    <w:r>
                      <w:rPr>
                        <w:spacing w:val="-14"/>
                        <w:sz w:val="21"/>
                      </w:rPr>
                      <w:t xml:space="preserve"> 个工作日内完成现场检查，出具检查报告提交评委会办公室。</w:t>
                    </w:r>
                  </w:p>
                  <w:p>
                    <w:pPr>
                      <w:spacing w:before="7" w:line="240" w:lineRule="auto"/>
                      <w:rPr>
                        <w:sz w:val="15"/>
                      </w:rPr>
                    </w:pPr>
                  </w:p>
                  <w:p>
                    <w:pPr>
                      <w:numPr>
                        <w:ilvl w:val="2"/>
                        <w:numId w:val="5"/>
                      </w:numPr>
                      <w:tabs>
                        <w:tab w:val="left" w:pos="735"/>
                      </w:tabs>
                      <w:spacing w:before="0"/>
                      <w:ind w:left="734" w:right="0" w:hanging="735"/>
                      <w:jc w:val="left"/>
                      <w:rPr>
                        <w:rFonts w:ascii="黑体" w:eastAsia="黑体" w:hint="eastAsia"/>
                        <w:sz w:val="21"/>
                      </w:rPr>
                    </w:pPr>
                    <w:bookmarkStart w:id="61" w:name="5.2.4　 评审"/>
                    <w:bookmarkEnd w:id="61"/>
                    <w:r>
                      <w:rPr>
                        <w:rFonts w:ascii="黑体" w:eastAsia="黑体" w:hint="eastAsia"/>
                        <w:sz w:val="21"/>
                      </w:rPr>
                      <w:t>评审</w:t>
                    </w:r>
                  </w:p>
                  <w:p>
                    <w:pPr>
                      <w:spacing w:before="7" w:line="240" w:lineRule="auto"/>
                      <w:rPr>
                        <w:rFonts w:ascii="黑体"/>
                        <w:sz w:val="15"/>
                      </w:rPr>
                    </w:pPr>
                  </w:p>
                  <w:p>
                    <w:pPr>
                      <w:numPr>
                        <w:ilvl w:val="3"/>
                        <w:numId w:val="5"/>
                      </w:numPr>
                      <w:tabs>
                        <w:tab w:val="left" w:pos="946"/>
                      </w:tabs>
                      <w:spacing w:before="0"/>
                      <w:ind w:left="945" w:right="0" w:hanging="946"/>
                      <w:jc w:val="left"/>
                      <w:rPr>
                        <w:sz w:val="21"/>
                      </w:rPr>
                    </w:pPr>
                    <w:bookmarkStart w:id="62" w:name="5.2.4.1　 接到检查报告后1个月内，评委会应按照办公室的安排，召开评审会议"/>
                    <w:bookmarkEnd w:id="62"/>
                    <w:r>
                      <w:rPr>
                        <w:spacing w:val="-9"/>
                        <w:sz w:val="21"/>
                      </w:rPr>
                      <w:t xml:space="preserve">接到检查报告后 </w:t>
                    </w:r>
                    <w:r>
                      <w:rPr>
                        <w:sz w:val="21"/>
                      </w:rPr>
                      <w:t>1</w:t>
                    </w:r>
                    <w:r>
                      <w:rPr>
                        <w:spacing w:val="-8"/>
                        <w:sz w:val="21"/>
                      </w:rPr>
                      <w:t xml:space="preserve"> 个月内，评委会应按照办公室的安排，召开评审会议，提出评审意见。</w:t>
                    </w:r>
                  </w:p>
                  <w:p>
                    <w:pPr>
                      <w:numPr>
                        <w:ilvl w:val="3"/>
                        <w:numId w:val="5"/>
                      </w:numPr>
                      <w:tabs>
                        <w:tab w:val="left" w:pos="946"/>
                      </w:tabs>
                      <w:spacing w:before="43"/>
                      <w:ind w:left="945" w:right="0" w:hanging="946"/>
                      <w:jc w:val="left"/>
                      <w:rPr>
                        <w:sz w:val="21"/>
                      </w:rPr>
                    </w:pPr>
                    <w:bookmarkStart w:id="63" w:name="5.2.4.2　 评审的主要内容包括："/>
                    <w:bookmarkEnd w:id="63"/>
                    <w:r>
                      <w:rPr>
                        <w:spacing w:val="-3"/>
                        <w:sz w:val="21"/>
                      </w:rPr>
                      <w:t>评审的主要内容包括：</w:t>
                    </w:r>
                  </w:p>
                  <w:p>
                    <w:pPr>
                      <w:spacing w:before="43"/>
                      <w:ind w:left="424" w:right="0" w:firstLine="0"/>
                      <w:jc w:val="left"/>
                      <w:rPr>
                        <w:sz w:val="21"/>
                      </w:rPr>
                    </w:pPr>
                    <w:r>
                      <w:rPr>
                        <w:spacing w:val="-3"/>
                        <w:sz w:val="21"/>
                      </w:rPr>
                      <w:t>——审定申请资格；</w:t>
                    </w:r>
                  </w:p>
                  <w:p>
                    <w:pPr>
                      <w:spacing w:before="43"/>
                      <w:ind w:left="424" w:right="0" w:firstLine="0"/>
                      <w:jc w:val="left"/>
                      <w:rPr>
                        <w:sz w:val="21"/>
                      </w:rPr>
                    </w:pPr>
                    <w:r>
                      <w:rPr>
                        <w:spacing w:val="-3"/>
                        <w:sz w:val="21"/>
                      </w:rPr>
                      <w:t>——核实申请报告；</w:t>
                    </w:r>
                  </w:p>
                  <w:p>
                    <w:pPr>
                      <w:spacing w:before="42"/>
                      <w:ind w:left="424" w:right="0" w:firstLine="0"/>
                      <w:jc w:val="left"/>
                      <w:rPr>
                        <w:sz w:val="21"/>
                      </w:rPr>
                    </w:pPr>
                    <w:r>
                      <w:rPr>
                        <w:sz w:val="21"/>
                      </w:rPr>
                      <w:t>——认定清洁服务机构达标情况；</w:t>
                    </w:r>
                  </w:p>
                  <w:p>
                    <w:pPr>
                      <w:spacing w:before="43"/>
                      <w:ind w:left="424" w:right="0" w:firstLine="0"/>
                      <w:jc w:val="left"/>
                      <w:rPr>
                        <w:sz w:val="21"/>
                      </w:rPr>
                    </w:pPr>
                    <w:r>
                      <w:rPr>
                        <w:sz w:val="21"/>
                      </w:rPr>
                      <w:t>——查验违规及事故；</w:t>
                    </w:r>
                  </w:p>
                  <w:p>
                    <w:pPr>
                      <w:spacing w:before="43"/>
                      <w:ind w:left="425" w:right="0" w:firstLine="0"/>
                      <w:jc w:val="left"/>
                      <w:rPr>
                        <w:sz w:val="21"/>
                      </w:rPr>
                    </w:pPr>
                    <w:r>
                      <w:rPr>
                        <w:sz w:val="21"/>
                      </w:rPr>
                      <w:t>——投诉处理情况。</w:t>
                    </w:r>
                  </w:p>
                  <w:p>
                    <w:pPr>
                      <w:spacing w:before="8" w:line="240" w:lineRule="auto"/>
                      <w:rPr>
                        <w:sz w:val="15"/>
                      </w:rPr>
                    </w:pPr>
                  </w:p>
                  <w:p>
                    <w:pPr>
                      <w:numPr>
                        <w:ilvl w:val="2"/>
                        <w:numId w:val="5"/>
                      </w:numPr>
                      <w:tabs>
                        <w:tab w:val="left" w:pos="732"/>
                      </w:tabs>
                      <w:spacing w:before="0"/>
                      <w:ind w:left="731" w:right="0" w:hanging="732"/>
                      <w:jc w:val="left"/>
                      <w:rPr>
                        <w:rFonts w:ascii="黑体" w:eastAsia="黑体" w:hint="eastAsia"/>
                        <w:sz w:val="21"/>
                      </w:rPr>
                    </w:pPr>
                    <w:bookmarkStart w:id="64" w:name="5.2.5　 公示"/>
                    <w:bookmarkEnd w:id="64"/>
                    <w:r>
                      <w:rPr>
                        <w:rFonts w:ascii="黑体" w:eastAsia="黑体" w:hint="eastAsia"/>
                        <w:sz w:val="21"/>
                      </w:rPr>
                      <w:t>公示</w:t>
                    </w:r>
                  </w:p>
                  <w:p>
                    <w:pPr>
                      <w:spacing w:before="164" w:line="205" w:lineRule="exact"/>
                      <w:ind w:left="0" w:right="430" w:firstLine="0"/>
                      <w:jc w:val="right"/>
                      <w:rPr>
                        <w:sz w:val="18"/>
                      </w:rPr>
                    </w:pPr>
                    <w:r>
                      <w:rPr>
                        <w:sz w:val="18"/>
                      </w:rPr>
                      <w:t>3</w:t>
                    </w:r>
                  </w:p>
                </w:txbxContent>
              </v:textbox>
            </v:shape>
            <w10:wrap type="topAndBottom"/>
          </v:group>
        </w:pict>
      </w:r>
      <w:r>
        <w:rPr>
          <w:spacing w:val="-3"/>
        </w:rPr>
        <w:t>——主要设备及器械情况汇总表；</w:t>
      </w:r>
    </w:p>
    <w:p>
      <w:pPr>
        <w:spacing w:after="0"/>
        <w:sectPr>
          <w:headerReference w:type="even" r:id="rId27"/>
          <w:headerReference w:type="default" r:id="rId28"/>
          <w:footerReference w:type="default" r:id="rId29"/>
          <w:pgSz w:w="11910" w:h="16840"/>
          <w:pgMar w:top="1340" w:right="260" w:bottom="280" w:left="240" w:header="0" w:footer="0"/>
          <w:pgNumType w:start="19"/>
          <w:cols w:space="708"/>
        </w:sectPr>
      </w:pPr>
    </w:p>
    <w:p>
      <w:pPr>
        <w:pStyle w:val="BodyText"/>
        <w:spacing w:before="10"/>
        <w:rPr>
          <w:sz w:val="15"/>
        </w:rPr>
      </w:pPr>
    </w:p>
    <w:p>
      <w:pPr>
        <w:pStyle w:val="ListParagraph"/>
        <w:numPr>
          <w:ilvl w:val="3"/>
          <w:numId w:val="4"/>
        </w:numPr>
        <w:tabs>
          <w:tab w:val="left" w:pos="1839"/>
        </w:tabs>
        <w:spacing w:before="71" w:after="0" w:line="240" w:lineRule="auto"/>
        <w:ind w:left="1838" w:right="0" w:hanging="947"/>
        <w:jc w:val="left"/>
        <w:rPr>
          <w:sz w:val="21"/>
        </w:rPr>
      </w:pPr>
      <w:bookmarkStart w:id="65" w:name="5.2.5.1  评审通过的清洁服务机构应予以公示，公示时间应不少于10个工作日"/>
      <w:bookmarkEnd w:id="65"/>
      <w:r>
        <w:rPr>
          <w:spacing w:val="-5"/>
          <w:sz w:val="21"/>
        </w:rPr>
        <w:t xml:space="preserve">评审通过的清洁服务机构应予以公示，公示时间应不少于 </w:t>
      </w:r>
      <w:r>
        <w:rPr>
          <w:sz w:val="21"/>
        </w:rPr>
        <w:t>10</w:t>
      </w:r>
      <w:r>
        <w:rPr>
          <w:spacing w:val="-10"/>
          <w:sz w:val="21"/>
        </w:rPr>
        <w:t xml:space="preserve"> 个工作日。</w:t>
      </w:r>
    </w:p>
    <w:p>
      <w:pPr>
        <w:pStyle w:val="ListParagraph"/>
        <w:numPr>
          <w:ilvl w:val="3"/>
          <w:numId w:val="4"/>
        </w:numPr>
        <w:tabs>
          <w:tab w:val="left" w:pos="1839"/>
        </w:tabs>
        <w:spacing w:before="94" w:after="0" w:line="240" w:lineRule="auto"/>
        <w:ind w:left="1838" w:right="0" w:hanging="946"/>
        <w:jc w:val="left"/>
        <w:rPr>
          <w:sz w:val="21"/>
        </w:rPr>
      </w:pPr>
      <w:bookmarkStart w:id="66" w:name="5.2.5.2  在公示期内收到举报的，评委会应查证情况。举报情况属实，应重新确"/>
      <w:bookmarkEnd w:id="66"/>
      <w:r>
        <w:rPr>
          <w:spacing w:val="-3"/>
          <w:sz w:val="21"/>
        </w:rPr>
        <w:t>在公示期内收到举报的，评委会应查证情况。举报情况属实，应重新确定评审结论。</w:t>
      </w:r>
    </w:p>
    <w:p>
      <w:pPr>
        <w:pStyle w:val="BodyText"/>
        <w:spacing w:before="9"/>
        <w:rPr>
          <w:sz w:val="15"/>
        </w:rPr>
      </w:pPr>
    </w:p>
    <w:p>
      <w:pPr>
        <w:pStyle w:val="ListParagraph"/>
        <w:numPr>
          <w:ilvl w:val="2"/>
          <w:numId w:val="3"/>
        </w:numPr>
        <w:tabs>
          <w:tab w:val="left" w:pos="1628"/>
        </w:tabs>
        <w:spacing w:before="0" w:after="0" w:line="240" w:lineRule="auto"/>
        <w:ind w:left="1627" w:right="0" w:hanging="735"/>
        <w:jc w:val="left"/>
        <w:rPr>
          <w:rFonts w:ascii="黑体" w:eastAsia="黑体" w:hint="eastAsia"/>
          <w:sz w:val="21"/>
        </w:rPr>
      </w:pPr>
      <w:bookmarkStart w:id="67" w:name="5.2.6　 批复"/>
      <w:bookmarkEnd w:id="67"/>
      <w:r>
        <w:rPr>
          <w:rFonts w:ascii="黑体" w:eastAsia="黑体" w:hint="eastAsia"/>
          <w:sz w:val="21"/>
        </w:rPr>
        <w:t>批复</w:t>
      </w:r>
    </w:p>
    <w:p>
      <w:pPr>
        <w:pStyle w:val="BodyText"/>
        <w:spacing w:before="4"/>
        <w:rPr>
          <w:rFonts w:ascii="黑体"/>
          <w:sz w:val="15"/>
        </w:rPr>
      </w:pPr>
    </w:p>
    <w:p>
      <w:pPr>
        <w:pStyle w:val="ListParagraph"/>
        <w:numPr>
          <w:ilvl w:val="3"/>
          <w:numId w:val="3"/>
        </w:numPr>
        <w:tabs>
          <w:tab w:val="left" w:pos="1839"/>
        </w:tabs>
        <w:spacing w:before="0" w:after="0" w:line="278" w:lineRule="auto"/>
        <w:ind w:left="893" w:right="1158" w:firstLine="0"/>
        <w:jc w:val="left"/>
        <w:rPr>
          <w:sz w:val="21"/>
        </w:rPr>
      </w:pPr>
      <w:bookmarkStart w:id="68" w:name="5.2.6.1　 对于评审通过的清洁服务机构，评委会应给予评定等级的批复，并授予"/>
      <w:bookmarkEnd w:id="68"/>
      <w:r>
        <w:rPr>
          <w:spacing w:val="-3"/>
          <w:sz w:val="21"/>
        </w:rPr>
        <w:t>对于评审通过的清洁服务机构，评委会应给予评定等级的批复，并授予相应等级的标志和证</w:t>
      </w:r>
      <w:r>
        <w:rPr>
          <w:spacing w:val="-3"/>
          <w:sz w:val="21"/>
        </w:rPr>
        <w:t>书。</w:t>
      </w:r>
    </w:p>
    <w:p>
      <w:pPr>
        <w:pStyle w:val="ListParagraph"/>
        <w:numPr>
          <w:ilvl w:val="3"/>
          <w:numId w:val="3"/>
        </w:numPr>
        <w:tabs>
          <w:tab w:val="left" w:pos="1839"/>
        </w:tabs>
        <w:spacing w:before="0" w:after="0" w:line="269" w:lineRule="exact"/>
        <w:ind w:left="1838" w:right="0" w:hanging="946"/>
        <w:jc w:val="left"/>
        <w:rPr>
          <w:sz w:val="21"/>
        </w:rPr>
      </w:pPr>
      <w:bookmarkStart w:id="69" w:name="5.2.6.2　 对于未通过评审的清洁服务机构，由评委会办公室提出限期整改意见。"/>
      <w:bookmarkEnd w:id="69"/>
      <w:r>
        <w:rPr>
          <w:spacing w:val="-3"/>
          <w:sz w:val="21"/>
        </w:rPr>
        <w:t>对于未通过评审的清洁服务机构，由评委会办公室提出限期整改意见。</w:t>
      </w:r>
    </w:p>
    <w:p>
      <w:pPr>
        <w:pStyle w:val="ListParagraph"/>
        <w:numPr>
          <w:ilvl w:val="3"/>
          <w:numId w:val="3"/>
        </w:numPr>
        <w:tabs>
          <w:tab w:val="left" w:pos="1839"/>
        </w:tabs>
        <w:spacing w:before="43" w:after="0" w:line="278" w:lineRule="auto"/>
        <w:ind w:left="893" w:right="1158" w:firstLine="0"/>
        <w:jc w:val="left"/>
        <w:rPr>
          <w:sz w:val="21"/>
        </w:rPr>
      </w:pPr>
      <w:bookmarkStart w:id="70" w:name="5.2.6.3　 在期限内完成整改，经再次评审通过的清洁服务机构，评委会应给予评"/>
      <w:bookmarkEnd w:id="70"/>
      <w:r>
        <w:rPr>
          <w:spacing w:val="-3"/>
          <w:sz w:val="21"/>
        </w:rPr>
        <w:t>在期限内完成整改，经再次评审通过的清洁服务机构，评委会应给予评定等级的批复，并授</w:t>
      </w:r>
      <w:r>
        <w:rPr>
          <w:spacing w:val="-3"/>
          <w:sz w:val="21"/>
        </w:rPr>
        <w:t>予相应等级的标志和证书。</w:t>
      </w:r>
    </w:p>
    <w:p>
      <w:pPr>
        <w:pStyle w:val="ListParagraph"/>
        <w:numPr>
          <w:ilvl w:val="2"/>
          <w:numId w:val="3"/>
        </w:numPr>
        <w:tabs>
          <w:tab w:val="left" w:pos="1628"/>
        </w:tabs>
        <w:spacing w:before="156" w:after="0" w:line="240" w:lineRule="auto"/>
        <w:ind w:left="1627" w:right="0" w:hanging="735"/>
        <w:jc w:val="left"/>
        <w:rPr>
          <w:rFonts w:ascii="黑体" w:eastAsia="黑体" w:hint="eastAsia"/>
          <w:sz w:val="21"/>
        </w:rPr>
      </w:pPr>
      <w:bookmarkStart w:id="71" w:name="5.2.7　 等级复核及处理"/>
      <w:bookmarkEnd w:id="71"/>
      <w:r>
        <w:rPr>
          <w:rFonts w:ascii="黑体" w:eastAsia="黑体" w:hint="eastAsia"/>
          <w:spacing w:val="-2"/>
          <w:sz w:val="21"/>
        </w:rPr>
        <w:t>等级复核及处理</w:t>
      </w:r>
    </w:p>
    <w:p>
      <w:pPr>
        <w:pStyle w:val="BodyText"/>
        <w:spacing w:before="7"/>
        <w:rPr>
          <w:rFonts w:ascii="黑体"/>
          <w:sz w:val="15"/>
        </w:rPr>
      </w:pPr>
    </w:p>
    <w:p>
      <w:pPr>
        <w:pStyle w:val="ListParagraph"/>
        <w:numPr>
          <w:ilvl w:val="3"/>
          <w:numId w:val="3"/>
        </w:numPr>
        <w:tabs>
          <w:tab w:val="left" w:pos="1839"/>
        </w:tabs>
        <w:spacing w:before="0" w:after="0" w:line="240" w:lineRule="auto"/>
        <w:ind w:left="1838" w:right="0" w:hanging="946"/>
        <w:jc w:val="left"/>
        <w:rPr>
          <w:sz w:val="21"/>
        </w:rPr>
      </w:pPr>
      <w:bookmarkStart w:id="72" w:name="5.2.7.1　 对已经完成等级评定的清洁服务机构，应每年进行1次复核。"/>
      <w:bookmarkEnd w:id="72"/>
      <w:r>
        <w:rPr>
          <w:spacing w:val="-6"/>
          <w:sz w:val="21"/>
        </w:rPr>
        <w:t xml:space="preserve">对已经完成等级评定的清洁服务机构，应每年进行 </w:t>
      </w:r>
      <w:r>
        <w:rPr>
          <w:sz w:val="21"/>
        </w:rPr>
        <w:t>1</w:t>
      </w:r>
      <w:r>
        <w:rPr>
          <w:spacing w:val="-12"/>
          <w:sz w:val="21"/>
        </w:rPr>
        <w:t xml:space="preserve"> 次复核。</w:t>
      </w:r>
    </w:p>
    <w:p>
      <w:pPr>
        <w:pStyle w:val="ListParagraph"/>
        <w:numPr>
          <w:ilvl w:val="3"/>
          <w:numId w:val="3"/>
        </w:numPr>
        <w:tabs>
          <w:tab w:val="left" w:pos="1840"/>
        </w:tabs>
        <w:spacing w:before="43" w:after="0" w:line="278" w:lineRule="auto"/>
        <w:ind w:left="893" w:right="1157" w:firstLine="0"/>
        <w:jc w:val="left"/>
        <w:rPr>
          <w:sz w:val="21"/>
        </w:rPr>
      </w:pPr>
      <w:bookmarkStart w:id="73" w:name="5.2.7.2　 清洁服务机构应对照等级标准先行自查自纠，并将自查结果报告评委会"/>
      <w:bookmarkEnd w:id="73"/>
      <w:r>
        <w:rPr>
          <w:spacing w:val="-3"/>
          <w:sz w:val="21"/>
        </w:rPr>
        <w:t>清洁服务机构应对照等级标准先行自查自纠，并将自查结果报告评委会。评委会以明查或暗</w:t>
      </w:r>
      <w:r>
        <w:rPr>
          <w:spacing w:val="-3"/>
          <w:sz w:val="21"/>
        </w:rPr>
        <w:t>访的形式安排抽查复核。</w:t>
      </w:r>
    </w:p>
    <w:p>
      <w:pPr>
        <w:pStyle w:val="ListParagraph"/>
        <w:numPr>
          <w:ilvl w:val="3"/>
          <w:numId w:val="3"/>
        </w:numPr>
        <w:tabs>
          <w:tab w:val="left" w:pos="1840"/>
        </w:tabs>
        <w:spacing w:before="0" w:after="0" w:line="269" w:lineRule="exact"/>
        <w:ind w:left="1839" w:right="0" w:hanging="947"/>
        <w:jc w:val="left"/>
        <w:rPr>
          <w:sz w:val="21"/>
        </w:rPr>
      </w:pPr>
      <w:bookmarkStart w:id="74" w:name="5.2.7.3　 对复核认定达不到相应等级的清洁服务机构，按以下办法处理："/>
      <w:bookmarkEnd w:id="74"/>
      <w:r>
        <w:rPr>
          <w:spacing w:val="-3"/>
          <w:sz w:val="21"/>
        </w:rPr>
        <w:t>对复核认定达不到相应等级的清洁服务机构，按以下办法处理：</w:t>
      </w:r>
    </w:p>
    <w:p>
      <w:pPr>
        <w:pStyle w:val="BodyText"/>
        <w:spacing w:before="42"/>
        <w:ind w:left="1318"/>
      </w:pPr>
      <w:r>
        <w:t>——评委会签发限期 3 个月整改通知书；</w:t>
      </w:r>
    </w:p>
    <w:p>
      <w:pPr>
        <w:pStyle w:val="BodyText"/>
        <w:spacing w:before="43" w:line="278" w:lineRule="auto"/>
        <w:ind w:left="1727" w:right="1150" w:hanging="409"/>
      </w:pPr>
      <w:r>
        <w:t>——3</w:t>
      </w:r>
      <w:r>
        <w:rPr>
          <w:spacing w:val="-7"/>
        </w:rPr>
        <w:t xml:space="preserve"> 个月内清洁服务机构应向评委会申请再次复核，如仍未达到相应等级，应降低或取消原有等</w:t>
      </w:r>
      <w:r>
        <w:rPr>
          <w:spacing w:val="-5"/>
        </w:rPr>
        <w:t>级，并向社会公布；</w:t>
      </w:r>
    </w:p>
    <w:p>
      <w:pPr>
        <w:pStyle w:val="BodyText"/>
        <w:spacing w:line="269" w:lineRule="exact"/>
        <w:ind w:left="1319"/>
      </w:pPr>
      <w:r>
        <w:t>——被降低或取消等级的清洁服务机构，自降低或取消等级之日起 1 年后，方可重新申请等级评定；</w:t>
      </w:r>
    </w:p>
    <w:p>
      <w:pPr>
        <w:pStyle w:val="BodyText"/>
        <w:spacing w:before="43"/>
        <w:ind w:left="1319"/>
      </w:pPr>
      <w:r>
        <w:pict>
          <v:group id="_x0000_s1061" style="width:468.45pt;height:371.25pt;margin-top:19.17pt;margin-left:56.76pt;mso-position-horizontal-relative:page;mso-wrap-distance-left:0;mso-wrap-distance-right:0;position:absolute;z-index:-251641856" coordorigin="1135,383" coordsize="9369,7425">
            <v:shape id="_x0000_s1062" type="#_x0000_t202" style="width:9369;height:2084;left:1135;position:absolute;top:383" filled="f" stroked="f">
              <v:textbox inset="0,0,0,0">
                <w:txbxContent>
                  <w:p>
                    <w:pPr>
                      <w:spacing w:before="0" w:line="241" w:lineRule="exact"/>
                      <w:ind w:left="832" w:right="0" w:firstLine="0"/>
                      <w:jc w:val="left"/>
                      <w:rPr>
                        <w:sz w:val="21"/>
                      </w:rPr>
                    </w:pPr>
                    <w:r>
                      <w:rPr>
                        <w:sz w:val="21"/>
                      </w:rPr>
                      <w:t>的处理。</w:t>
                    </w:r>
                  </w:p>
                  <w:p>
                    <w:pPr>
                      <w:spacing w:before="6" w:line="240" w:lineRule="auto"/>
                      <w:rPr>
                        <w:sz w:val="15"/>
                      </w:rPr>
                    </w:pPr>
                  </w:p>
                  <w:p>
                    <w:pPr>
                      <w:numPr>
                        <w:ilvl w:val="1"/>
                        <w:numId w:val="2"/>
                      </w:numPr>
                      <w:tabs>
                        <w:tab w:val="left" w:pos="526"/>
                      </w:tabs>
                      <w:spacing w:before="0"/>
                      <w:ind w:left="525" w:right="0" w:hanging="526"/>
                      <w:jc w:val="left"/>
                      <w:rPr>
                        <w:rFonts w:ascii="黑体" w:eastAsia="黑体" w:hint="eastAsia"/>
                        <w:sz w:val="21"/>
                      </w:rPr>
                    </w:pPr>
                    <w:bookmarkStart w:id="75" w:name="5.3　 证书和标志管理"/>
                    <w:bookmarkEnd w:id="75"/>
                    <w:r>
                      <w:rPr>
                        <w:rFonts w:ascii="黑体" w:eastAsia="黑体" w:hint="eastAsia"/>
                        <w:spacing w:val="-2"/>
                        <w:sz w:val="21"/>
                      </w:rPr>
                      <w:t>证书和标志管理</w:t>
                    </w:r>
                  </w:p>
                  <w:p>
                    <w:pPr>
                      <w:spacing w:before="7" w:line="240" w:lineRule="auto"/>
                      <w:rPr>
                        <w:rFonts w:ascii="黑体"/>
                        <w:sz w:val="15"/>
                      </w:rPr>
                    </w:pPr>
                  </w:p>
                  <w:p>
                    <w:pPr>
                      <w:numPr>
                        <w:ilvl w:val="2"/>
                        <w:numId w:val="2"/>
                      </w:numPr>
                      <w:tabs>
                        <w:tab w:val="left" w:pos="735"/>
                      </w:tabs>
                      <w:spacing w:before="0"/>
                      <w:ind w:left="734" w:right="0" w:hanging="735"/>
                      <w:jc w:val="left"/>
                      <w:rPr>
                        <w:sz w:val="21"/>
                      </w:rPr>
                    </w:pPr>
                    <w:bookmarkStart w:id="76" w:name="5.3.1　 清洁服务机构等级证书与标志由评委会统一制作。"/>
                    <w:bookmarkEnd w:id="76"/>
                    <w:r>
                      <w:rPr>
                        <w:spacing w:val="-3"/>
                        <w:sz w:val="21"/>
                      </w:rPr>
                      <w:t>清洁服务机构等级证书与标志由评委会统一制作。</w:t>
                    </w:r>
                  </w:p>
                  <w:p>
                    <w:pPr>
                      <w:numPr>
                        <w:ilvl w:val="2"/>
                        <w:numId w:val="2"/>
                      </w:numPr>
                      <w:tabs>
                        <w:tab w:val="left" w:pos="735"/>
                      </w:tabs>
                      <w:spacing w:before="43"/>
                      <w:ind w:left="734" w:right="0" w:hanging="735"/>
                      <w:jc w:val="left"/>
                      <w:rPr>
                        <w:sz w:val="21"/>
                      </w:rPr>
                    </w:pPr>
                    <w:bookmarkStart w:id="77" w:name="5.3.2　 等级证书的有效期为3年（自颁发证书之日起计算），到期应重新申请评定"/>
                    <w:bookmarkEnd w:id="77"/>
                    <w:r>
                      <w:rPr>
                        <w:spacing w:val="-7"/>
                        <w:sz w:val="21"/>
                      </w:rPr>
                      <w:t xml:space="preserve">等级证书的有效期为 </w:t>
                    </w:r>
                    <w:r>
                      <w:rPr>
                        <w:sz w:val="21"/>
                      </w:rPr>
                      <w:t>3</w:t>
                    </w:r>
                    <w:r>
                      <w:rPr>
                        <w:spacing w:val="-19"/>
                        <w:sz w:val="21"/>
                      </w:rPr>
                      <w:t xml:space="preserve"> 年</w:t>
                    </w:r>
                    <w:r>
                      <w:rPr>
                        <w:sz w:val="21"/>
                      </w:rPr>
                      <w:t>（</w:t>
                    </w:r>
                    <w:r>
                      <w:rPr>
                        <w:spacing w:val="-3"/>
                        <w:sz w:val="21"/>
                      </w:rPr>
                      <w:t>自颁发证书之日起计算</w:t>
                    </w:r>
                    <w:r>
                      <w:rPr>
                        <w:sz w:val="21"/>
                      </w:rPr>
                      <w:t>），</w:t>
                    </w:r>
                    <w:r>
                      <w:rPr>
                        <w:spacing w:val="-3"/>
                        <w:sz w:val="21"/>
                      </w:rPr>
                      <w:t>到期应重新申请评定。在有效期内，满</w:t>
                    </w:r>
                  </w:p>
                  <w:p>
                    <w:pPr>
                      <w:spacing w:before="43"/>
                      <w:ind w:left="0" w:right="0" w:firstLine="0"/>
                      <w:jc w:val="left"/>
                      <w:rPr>
                        <w:sz w:val="21"/>
                      </w:rPr>
                    </w:pPr>
                    <w:r>
                      <w:rPr>
                        <w:sz w:val="21"/>
                      </w:rPr>
                      <w:t>1 年可继续申请评定更高等级。证书有效期满，不得继续使用。</w:t>
                    </w:r>
                  </w:p>
                  <w:p>
                    <w:pPr>
                      <w:spacing w:before="43" w:line="240" w:lineRule="exact"/>
                      <w:ind w:left="0" w:right="0" w:firstLine="0"/>
                      <w:jc w:val="left"/>
                      <w:rPr>
                        <w:sz w:val="21"/>
                      </w:rPr>
                    </w:pPr>
                    <w:bookmarkStart w:id="78" w:name="5.3.3　 等级标志应置于清洁服务机构服务场所内的显著位置。"/>
                    <w:bookmarkEnd w:id="78"/>
                    <w:r>
                      <w:rPr>
                        <w:rFonts w:ascii="黑体" w:eastAsia="黑体" w:hint="eastAsia"/>
                        <w:sz w:val="21"/>
                      </w:rPr>
                      <w:t>5.3.3</w:t>
                    </w:r>
                    <w:r>
                      <w:rPr>
                        <w:rFonts w:ascii="黑体" w:eastAsia="黑体" w:hint="eastAsia"/>
                        <w:spacing w:val="102"/>
                        <w:sz w:val="21"/>
                      </w:rPr>
                      <w:t xml:space="preserve"> </w:t>
                    </w:r>
                    <w:r>
                      <w:rPr>
                        <w:spacing w:val="-3"/>
                        <w:sz w:val="21"/>
                      </w:rPr>
                      <w:t>等级标志应置于清洁服务机构服务场所内的显著位置。</w:t>
                    </w:r>
                  </w:p>
                </w:txbxContent>
              </v:textbox>
            </v:shape>
            <v:shape id="_x0000_s1063" type="#_x0000_t202" style="width:110;height:180;left:1353;position:absolute;top:7627" filled="f" stroked="f">
              <v:textbox inset="0,0,0,0">
                <w:txbxContent>
                  <w:p>
                    <w:pPr>
                      <w:spacing w:before="0" w:line="180" w:lineRule="exact"/>
                      <w:ind w:left="0" w:right="0" w:firstLine="0"/>
                      <w:jc w:val="left"/>
                      <w:rPr>
                        <w:sz w:val="18"/>
                      </w:rPr>
                    </w:pPr>
                    <w:r>
                      <w:rPr>
                        <w:sz w:val="18"/>
                      </w:rPr>
                      <w:t>4</w:t>
                    </w:r>
                  </w:p>
                </w:txbxContent>
              </v:textbox>
            </v:shape>
            <w10:wrap type="topAndBottom"/>
          </v:group>
        </w:pict>
      </w:r>
      <w:r>
        <w:drawing>
          <wp:anchor distT="0" distB="0" distL="0" distR="0" simplePos="0" relativeHeight="251673600" behindDoc="0" locked="0" layoutInCell="1" allowOverlap="1">
            <wp:simplePos x="0" y="0"/>
            <wp:positionH relativeFrom="page">
              <wp:posOffset>215900</wp:posOffset>
            </wp:positionH>
            <wp:positionV relativeFrom="paragraph">
              <wp:posOffset>247900</wp:posOffset>
            </wp:positionV>
            <wp:extent cx="7112000" cy="48768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t>——已取得等级的清洁服务机构发生重大事故造成恶劣影响的，评委会应立即做出降低或取消等级</w:t>
      </w:r>
    </w:p>
    <w:p>
      <w:pPr>
        <w:spacing w:after="0"/>
        <w:sectPr>
          <w:headerReference w:type="even" r:id="rId30"/>
          <w:headerReference w:type="default" r:id="rId31"/>
          <w:footerReference w:type="default" r:id="rId32"/>
          <w:pgSz w:w="11910" w:h="16840"/>
          <w:pgMar w:top="1640" w:right="260" w:bottom="280" w:left="240" w:header="1448" w:footer="0"/>
          <w:pgNumType w:start="20"/>
          <w:cols w:space="708"/>
        </w:sectPr>
      </w:pPr>
    </w:p>
    <w:p>
      <w:pPr>
        <w:pStyle w:val="BodyText"/>
        <w:spacing w:before="61"/>
        <w:ind w:right="870"/>
        <w:jc w:val="right"/>
        <w:rPr>
          <w:rFonts w:ascii="黑体" w:hAnsi="黑体"/>
        </w:rPr>
      </w:pPr>
      <w:r>
        <w:pict>
          <v:group id="_x0000_s1064" style="width:595.5pt;height:842.15pt;margin-top:-0.09pt;margin-left:-0.09pt;mso-position-horizontal-relative:page;mso-position-vertical-relative:page;position:absolute;z-index:-251640832" coordorigin="-2,-2" coordsize="11910,16843">
            <v:shape id="_x0000_s1065" type="#_x0000_t75" style="width:6067;height:8051;left:2650;position:absolute;top:4649" stroked="f">
              <v:imagedata r:id="rId20" o:title=""/>
            </v:shape>
            <v:rect id="_x0000_s1066" style="width:11906;height:16838;position:absolute" filled="f" stroked="t" strokecolor="#231916" strokeweight="0.22pt">
              <v:stroke dashstyle="solid"/>
            </v:rect>
            <v:shape id="_x0000_s1067" type="#_x0000_t75" style="width:11200;height:7680;left:340;position:absolute;top:8258" stroked="f">
              <v:imagedata r:id="rId4" o:title=""/>
            </v:shape>
          </v:group>
        </w:pict>
      </w:r>
      <w:r>
        <w:rPr>
          <w:rFonts w:ascii="黑体" w:hAnsi="黑体"/>
        </w:rPr>
        <w:t>DB4201/T 532</w:t>
      </w:r>
      <w:r>
        <w:rPr>
          <w:rFonts w:ascii="Times New Roman" w:hAnsi="Times New Roman"/>
        </w:rPr>
        <w:t>—</w:t>
      </w:r>
      <w:r>
        <w:rPr>
          <w:rFonts w:ascii="黑体" w:hAnsi="黑体"/>
        </w:rPr>
        <w:t>2017</w:t>
      </w:r>
    </w:p>
    <w:p>
      <w:pPr>
        <w:pStyle w:val="BodyText"/>
        <w:rPr>
          <w:rFonts w:ascii="黑体"/>
          <w:sz w:val="20"/>
        </w:rPr>
      </w:pPr>
    </w:p>
    <w:p>
      <w:pPr>
        <w:pStyle w:val="BodyText"/>
        <w:rPr>
          <w:rFonts w:ascii="黑体"/>
          <w:sz w:val="20"/>
        </w:rPr>
      </w:pPr>
    </w:p>
    <w:p>
      <w:pPr>
        <w:pStyle w:val="BodyText"/>
        <w:spacing w:before="10"/>
        <w:rPr>
          <w:rFonts w:ascii="黑体"/>
          <w:sz w:val="25"/>
        </w:rPr>
      </w:pPr>
    </w:p>
    <w:p>
      <w:pPr>
        <w:pStyle w:val="BodyText"/>
        <w:spacing w:before="71"/>
        <w:ind w:left="303"/>
        <w:jc w:val="center"/>
        <w:rPr>
          <w:rFonts w:ascii="黑体" w:eastAsia="黑体" w:hint="eastAsia"/>
        </w:rPr>
      </w:pPr>
      <w:bookmarkStart w:id="79" w:name="A"/>
      <w:bookmarkEnd w:id="79"/>
      <w:bookmarkStart w:id="80" w:name="附　录　A  （规范性附录） 清洁服务机构等级评价办法"/>
      <w:bookmarkEnd w:id="80"/>
      <w:r>
        <w:rPr>
          <w:rFonts w:ascii="黑体" w:eastAsia="黑体" w:hint="eastAsia"/>
        </w:rPr>
        <w:t>附 录 A</w:t>
      </w:r>
    </w:p>
    <w:p>
      <w:pPr>
        <w:pStyle w:val="BodyText"/>
        <w:spacing w:before="41"/>
        <w:ind w:left="300"/>
        <w:jc w:val="center"/>
        <w:rPr>
          <w:rFonts w:ascii="黑体" w:eastAsia="黑体" w:hint="eastAsia"/>
        </w:rPr>
      </w:pPr>
      <w:r>
        <w:rPr>
          <w:rFonts w:ascii="黑体" w:eastAsia="黑体" w:hint="eastAsia"/>
        </w:rPr>
        <w:t>（规范性附录）</w:t>
      </w:r>
    </w:p>
    <w:p>
      <w:pPr>
        <w:pStyle w:val="BodyText"/>
        <w:spacing w:before="43"/>
        <w:ind w:left="296"/>
        <w:jc w:val="center"/>
        <w:rPr>
          <w:rFonts w:ascii="黑体" w:eastAsia="黑体" w:hint="eastAsia"/>
        </w:rPr>
      </w:pPr>
      <w:r>
        <w:rPr>
          <w:rFonts w:ascii="黑体" w:eastAsia="黑体" w:hint="eastAsia"/>
        </w:rPr>
        <w:t>清洁服务机构等级评价办法</w:t>
      </w:r>
    </w:p>
    <w:p>
      <w:pPr>
        <w:pStyle w:val="BodyText"/>
        <w:spacing w:before="3"/>
        <w:rPr>
          <w:rFonts w:ascii="黑体"/>
          <w:sz w:val="22"/>
        </w:rPr>
      </w:pPr>
    </w:p>
    <w:p>
      <w:pPr>
        <w:pStyle w:val="ListParagraph"/>
        <w:numPr>
          <w:ilvl w:val="1"/>
          <w:numId w:val="15"/>
        </w:numPr>
        <w:tabs>
          <w:tab w:val="left" w:pos="1702"/>
        </w:tabs>
        <w:spacing w:before="72" w:after="0" w:line="240" w:lineRule="auto"/>
        <w:ind w:left="1701" w:right="0" w:hanging="526"/>
        <w:jc w:val="left"/>
        <w:rPr>
          <w:rFonts w:ascii="黑体" w:eastAsia="黑体" w:hint="eastAsia"/>
          <w:sz w:val="21"/>
        </w:rPr>
      </w:pPr>
      <w:bookmarkStart w:id="81" w:name="A.1　 等级指标体系"/>
      <w:bookmarkEnd w:id="81"/>
      <w:r>
        <w:rPr>
          <w:rFonts w:ascii="黑体" w:eastAsia="黑体" w:hint="eastAsia"/>
          <w:spacing w:val="-2"/>
          <w:sz w:val="21"/>
        </w:rPr>
        <w:t>等级指标体系</w:t>
      </w:r>
    </w:p>
    <w:p>
      <w:pPr>
        <w:pStyle w:val="BodyText"/>
        <w:spacing w:before="7"/>
        <w:rPr>
          <w:rFonts w:ascii="黑体"/>
          <w:sz w:val="27"/>
        </w:rPr>
      </w:pPr>
    </w:p>
    <w:p>
      <w:pPr>
        <w:pStyle w:val="BodyText"/>
        <w:ind w:left="1596"/>
      </w:pPr>
      <w:r>
        <w:t>等级指标体系见表A.1。</w:t>
      </w:r>
    </w:p>
    <w:p>
      <w:pPr>
        <w:pStyle w:val="BodyText"/>
        <w:spacing w:before="12"/>
        <w:rPr>
          <w:sz w:val="9"/>
        </w:rPr>
      </w:pPr>
    </w:p>
    <w:p>
      <w:pPr>
        <w:pStyle w:val="BodyText"/>
        <w:spacing w:before="71"/>
        <w:ind w:left="301"/>
        <w:jc w:val="center"/>
        <w:rPr>
          <w:rFonts w:ascii="黑体" w:eastAsia="黑体" w:hint="eastAsia"/>
        </w:rPr>
      </w:pPr>
      <w:r>
        <w:rPr>
          <w:rFonts w:ascii="黑体" w:eastAsia="黑体" w:hint="eastAsia"/>
        </w:rPr>
        <w:t>表A.1 等级指标体系</w:t>
      </w:r>
    </w:p>
    <w:p>
      <w:pPr>
        <w:pStyle w:val="BodyText"/>
        <w:spacing w:before="10"/>
        <w:rPr>
          <w:rFonts w:ascii="黑体"/>
          <w:sz w:val="13"/>
        </w:rPr>
      </w:pPr>
    </w:p>
    <w:tbl>
      <w:tblPr>
        <w:tblStyle w:val="TableNormal0"/>
        <w:tblW w:w="0" w:type="auto"/>
        <w:jc w:val="left"/>
        <w:tblInd w:w="119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32"/>
        <w:gridCol w:w="3043"/>
        <w:gridCol w:w="648"/>
        <w:gridCol w:w="2705"/>
        <w:gridCol w:w="2811"/>
      </w:tblGrid>
      <w:tr>
        <w:tblPrEx>
          <w:tblW w:w="0" w:type="auto"/>
          <w:jc w:val="left"/>
          <w:tblInd w:w="119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322"/>
          <w:jc w:val="left"/>
        </w:trPr>
        <w:tc>
          <w:tcPr>
            <w:tcW w:w="3475" w:type="dxa"/>
            <w:gridSpan w:val="2"/>
            <w:tcBorders>
              <w:right w:val="single" w:sz="4" w:space="0" w:color="000000"/>
            </w:tcBorders>
          </w:tcPr>
          <w:p>
            <w:pPr>
              <w:pStyle w:val="TableParagraph"/>
              <w:spacing w:before="40"/>
              <w:ind w:left="1014"/>
              <w:rPr>
                <w:sz w:val="18"/>
              </w:rPr>
            </w:pPr>
            <w:r>
              <w:rPr>
                <w:sz w:val="18"/>
              </w:rPr>
              <w:t>基本要素及其含义</w:t>
            </w:r>
          </w:p>
        </w:tc>
        <w:tc>
          <w:tcPr>
            <w:tcW w:w="648" w:type="dxa"/>
            <w:tcBorders>
              <w:left w:val="single" w:sz="4" w:space="0" w:color="000000"/>
              <w:right w:val="single" w:sz="4" w:space="0" w:color="000000"/>
            </w:tcBorders>
          </w:tcPr>
          <w:p>
            <w:pPr>
              <w:pStyle w:val="TableParagraph"/>
              <w:spacing w:before="40"/>
              <w:ind w:left="133" w:right="104"/>
              <w:jc w:val="center"/>
              <w:rPr>
                <w:sz w:val="18"/>
              </w:rPr>
            </w:pPr>
            <w:r>
              <w:rPr>
                <w:sz w:val="18"/>
              </w:rPr>
              <w:t>序号</w:t>
            </w:r>
          </w:p>
        </w:tc>
        <w:tc>
          <w:tcPr>
            <w:tcW w:w="5516" w:type="dxa"/>
            <w:gridSpan w:val="2"/>
            <w:tcBorders>
              <w:left w:val="single" w:sz="4" w:space="0" w:color="000000"/>
            </w:tcBorders>
          </w:tcPr>
          <w:p>
            <w:pPr>
              <w:pStyle w:val="TableParagraph"/>
              <w:spacing w:before="40"/>
              <w:ind w:left="2027" w:right="1989"/>
              <w:jc w:val="center"/>
              <w:rPr>
                <w:sz w:val="18"/>
              </w:rPr>
            </w:pPr>
            <w:r>
              <w:rPr>
                <w:sz w:val="18"/>
              </w:rPr>
              <w:t>评价因素及其含义</w:t>
            </w:r>
          </w:p>
        </w:tc>
      </w:tr>
      <w:tr>
        <w:tblPrEx>
          <w:tblW w:w="0" w:type="auto"/>
          <w:jc w:val="left"/>
          <w:tblInd w:w="1191" w:type="dxa"/>
          <w:tblLayout w:type="fixed"/>
          <w:tblCellMar>
            <w:top w:w="0" w:type="dxa"/>
            <w:left w:w="0" w:type="dxa"/>
            <w:bottom w:w="0" w:type="dxa"/>
            <w:right w:w="0" w:type="dxa"/>
          </w:tblCellMar>
          <w:tblLook w:val="01E0"/>
        </w:tblPrEx>
        <w:trPr>
          <w:trHeight w:val="623"/>
          <w:jc w:val="left"/>
        </w:trPr>
        <w:tc>
          <w:tcPr>
            <w:tcW w:w="432" w:type="dxa"/>
            <w:vMerge w:val="restart"/>
            <w:tcBorders>
              <w:bottom w:val="single" w:sz="4" w:space="0" w:color="000000"/>
              <w:right w:val="single" w:sz="4" w:space="0" w:color="000000"/>
            </w:tcBorders>
            <w:textDirection w:val="tbRl"/>
          </w:tcPr>
          <w:p>
            <w:pPr>
              <w:pStyle w:val="TableParagraph"/>
              <w:spacing w:before="51"/>
              <w:ind w:left="1202" w:right="1202"/>
              <w:jc w:val="center"/>
              <w:rPr>
                <w:sz w:val="18"/>
              </w:rPr>
            </w:pPr>
            <w:r>
              <w:rPr>
                <w:sz w:val="18"/>
              </w:rPr>
              <w:t>从业人员</w:t>
            </w:r>
          </w:p>
        </w:tc>
        <w:tc>
          <w:tcPr>
            <w:tcW w:w="3043" w:type="dxa"/>
            <w:vMerge w:val="restart"/>
            <w:tcBorders>
              <w:left w:val="single" w:sz="4" w:space="0" w:color="000000"/>
              <w:bottom w:val="single" w:sz="4" w:space="0" w:color="000000"/>
              <w:right w:val="single" w:sz="4" w:space="0" w:color="000000"/>
            </w:tcBorders>
          </w:tcPr>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spacing w:before="156" w:line="324" w:lineRule="auto"/>
              <w:ind w:left="117" w:right="77"/>
              <w:rPr>
                <w:sz w:val="18"/>
              </w:rPr>
            </w:pPr>
            <w:r>
              <w:rPr>
                <w:sz w:val="18"/>
              </w:rPr>
              <w:t>从人员状况来反映机构的人员队伍的整体素质水平和机构的发展潜力</w:t>
            </w:r>
          </w:p>
        </w:tc>
        <w:tc>
          <w:tcPr>
            <w:tcW w:w="648" w:type="dxa"/>
            <w:tcBorders>
              <w:left w:val="single" w:sz="4" w:space="0" w:color="000000"/>
              <w:bottom w:val="single" w:sz="4" w:space="0" w:color="000000"/>
              <w:right w:val="single" w:sz="4" w:space="0" w:color="000000"/>
            </w:tcBorders>
          </w:tcPr>
          <w:p>
            <w:pPr>
              <w:pStyle w:val="TableParagraph"/>
              <w:spacing w:before="1"/>
              <w:rPr>
                <w:rFonts w:ascii="黑体"/>
                <w:sz w:val="15"/>
              </w:rPr>
            </w:pPr>
          </w:p>
          <w:p>
            <w:pPr>
              <w:pStyle w:val="TableParagraph"/>
              <w:ind w:left="27"/>
              <w:jc w:val="center"/>
              <w:rPr>
                <w:sz w:val="18"/>
              </w:rPr>
            </w:pPr>
            <w:r>
              <w:rPr>
                <w:sz w:val="18"/>
              </w:rPr>
              <w:t>1</w:t>
            </w:r>
          </w:p>
        </w:tc>
        <w:tc>
          <w:tcPr>
            <w:tcW w:w="2705" w:type="dxa"/>
            <w:tcBorders>
              <w:left w:val="single" w:sz="4" w:space="0" w:color="000000"/>
              <w:bottom w:val="single" w:sz="4" w:space="0" w:color="000000"/>
              <w:right w:val="single" w:sz="4" w:space="0" w:color="000000"/>
            </w:tcBorders>
          </w:tcPr>
          <w:p>
            <w:pPr>
              <w:pStyle w:val="TableParagraph"/>
              <w:spacing w:before="1"/>
              <w:rPr>
                <w:rFonts w:ascii="黑体"/>
                <w:sz w:val="15"/>
              </w:rPr>
            </w:pPr>
          </w:p>
          <w:p>
            <w:pPr>
              <w:pStyle w:val="TableParagraph"/>
              <w:ind w:left="82" w:right="53"/>
              <w:jc w:val="center"/>
              <w:rPr>
                <w:sz w:val="18"/>
              </w:rPr>
            </w:pPr>
            <w:r>
              <w:rPr>
                <w:sz w:val="18"/>
              </w:rPr>
              <w:t>从业人员数量及持有资格证书</w:t>
            </w:r>
          </w:p>
        </w:tc>
        <w:tc>
          <w:tcPr>
            <w:tcW w:w="2811" w:type="dxa"/>
            <w:tcBorders>
              <w:left w:val="single" w:sz="4" w:space="0" w:color="000000"/>
              <w:bottom w:val="single" w:sz="4" w:space="0" w:color="000000"/>
            </w:tcBorders>
          </w:tcPr>
          <w:p>
            <w:pPr>
              <w:pStyle w:val="TableParagraph"/>
              <w:spacing w:before="37"/>
              <w:ind w:left="117"/>
              <w:rPr>
                <w:sz w:val="18"/>
              </w:rPr>
            </w:pPr>
            <w:r>
              <w:rPr>
                <w:sz w:val="18"/>
              </w:rPr>
              <w:t>评价机构人员数量及持证率对其</w:t>
            </w:r>
          </w:p>
          <w:p>
            <w:pPr>
              <w:pStyle w:val="TableParagraph"/>
              <w:spacing w:before="82"/>
              <w:ind w:left="117"/>
              <w:rPr>
                <w:sz w:val="18"/>
              </w:rPr>
            </w:pPr>
            <w:r>
              <w:rPr>
                <w:sz w:val="18"/>
              </w:rPr>
              <w:t>整体素质水平的影响</w:t>
            </w:r>
          </w:p>
        </w:tc>
      </w:tr>
      <w:tr>
        <w:tblPrEx>
          <w:tblW w:w="0" w:type="auto"/>
          <w:jc w:val="left"/>
          <w:tblInd w:w="1191" w:type="dxa"/>
          <w:tblLayout w:type="fixed"/>
          <w:tblCellMar>
            <w:top w:w="0" w:type="dxa"/>
            <w:left w:w="0" w:type="dxa"/>
            <w:bottom w:w="0" w:type="dxa"/>
            <w:right w:w="0" w:type="dxa"/>
          </w:tblCellMar>
          <w:tblLook w:val="01E0"/>
        </w:tblPrEx>
        <w:trPr>
          <w:trHeight w:val="633"/>
          <w:jc w:val="left"/>
        </w:trPr>
        <w:tc>
          <w:tcPr>
            <w:tcW w:w="432" w:type="dxa"/>
            <w:vMerge/>
            <w:tcBorders>
              <w:top w:val="nil"/>
              <w:bottom w:val="single" w:sz="4" w:space="0" w:color="000000"/>
              <w:right w:val="single" w:sz="4" w:space="0" w:color="000000"/>
            </w:tcBorders>
            <w:textDirection w:val="tbRl"/>
          </w:tcPr>
          <w:p>
            <w:pPr>
              <w:rPr>
                <w:sz w:val="2"/>
                <w:szCs w:val="2"/>
              </w:rPr>
            </w:pPr>
          </w:p>
        </w:tc>
        <w:tc>
          <w:tcPr>
            <w:tcW w:w="3043" w:type="dxa"/>
            <w:vMerge/>
            <w:tcBorders>
              <w:top w:val="nil"/>
              <w:left w:val="single" w:sz="4" w:space="0" w:color="000000"/>
              <w:bottom w:val="single" w:sz="4" w:space="0" w:color="000000"/>
              <w:right w:val="single" w:sz="4" w:space="0" w:color="000000"/>
            </w:tcBorders>
          </w:tcPr>
          <w:p>
            <w:pPr>
              <w:rPr>
                <w:sz w:val="2"/>
                <w:szCs w:val="2"/>
              </w:rPr>
            </w:pP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6"/>
              <w:rPr>
                <w:rFonts w:ascii="黑体"/>
                <w:sz w:val="15"/>
              </w:rPr>
            </w:pPr>
          </w:p>
          <w:p>
            <w:pPr>
              <w:pStyle w:val="TableParagraph"/>
              <w:spacing w:before="1"/>
              <w:ind w:left="28"/>
              <w:jc w:val="center"/>
              <w:rPr>
                <w:sz w:val="18"/>
              </w:rPr>
            </w:pPr>
            <w:r>
              <w:rPr>
                <w:sz w:val="18"/>
              </w:rPr>
              <w:t>2</w:t>
            </w:r>
          </w:p>
        </w:tc>
        <w:tc>
          <w:tcPr>
            <w:tcW w:w="2705" w:type="dxa"/>
            <w:tcBorders>
              <w:top w:val="single" w:sz="4" w:space="0" w:color="000000"/>
              <w:left w:val="single" w:sz="4" w:space="0" w:color="000000"/>
              <w:bottom w:val="single" w:sz="4" w:space="0" w:color="000000"/>
              <w:right w:val="single" w:sz="4" w:space="0" w:color="000000"/>
            </w:tcBorders>
          </w:tcPr>
          <w:p>
            <w:pPr>
              <w:pStyle w:val="TableParagraph"/>
              <w:spacing w:before="6"/>
              <w:rPr>
                <w:rFonts w:ascii="黑体"/>
                <w:sz w:val="15"/>
              </w:rPr>
            </w:pPr>
          </w:p>
          <w:p>
            <w:pPr>
              <w:pStyle w:val="TableParagraph"/>
              <w:spacing w:before="1"/>
              <w:ind w:left="79" w:right="53"/>
              <w:jc w:val="center"/>
              <w:rPr>
                <w:sz w:val="18"/>
              </w:rPr>
            </w:pPr>
            <w:r>
              <w:rPr>
                <w:sz w:val="18"/>
              </w:rPr>
              <w:t>学历、职称及从业年限</w:t>
            </w:r>
          </w:p>
        </w:tc>
        <w:tc>
          <w:tcPr>
            <w:tcW w:w="2811" w:type="dxa"/>
            <w:tcBorders>
              <w:top w:val="single" w:sz="4" w:space="0" w:color="000000"/>
              <w:left w:val="single" w:sz="4" w:space="0" w:color="000000"/>
              <w:bottom w:val="single" w:sz="4" w:space="0" w:color="000000"/>
            </w:tcBorders>
          </w:tcPr>
          <w:p>
            <w:pPr>
              <w:pStyle w:val="TableParagraph"/>
              <w:spacing w:before="43"/>
              <w:ind w:left="117"/>
              <w:rPr>
                <w:sz w:val="18"/>
              </w:rPr>
            </w:pPr>
            <w:r>
              <w:rPr>
                <w:sz w:val="18"/>
              </w:rPr>
              <w:t>评价机构管理人员的知识水平对</w:t>
            </w:r>
          </w:p>
          <w:p>
            <w:pPr>
              <w:pStyle w:val="TableParagraph"/>
              <w:spacing w:before="81"/>
              <w:ind w:left="117"/>
              <w:rPr>
                <w:sz w:val="18"/>
              </w:rPr>
            </w:pPr>
            <w:r>
              <w:rPr>
                <w:sz w:val="18"/>
              </w:rPr>
              <w:t>其整体素质水平的影响</w:t>
            </w:r>
          </w:p>
        </w:tc>
      </w:tr>
      <w:tr>
        <w:tblPrEx>
          <w:tblW w:w="0" w:type="auto"/>
          <w:jc w:val="left"/>
          <w:tblInd w:w="1191" w:type="dxa"/>
          <w:tblLayout w:type="fixed"/>
          <w:tblCellMar>
            <w:top w:w="0" w:type="dxa"/>
            <w:left w:w="0" w:type="dxa"/>
            <w:bottom w:w="0" w:type="dxa"/>
            <w:right w:w="0" w:type="dxa"/>
          </w:tblCellMar>
          <w:tblLook w:val="01E0"/>
        </w:tblPrEx>
        <w:trPr>
          <w:trHeight w:val="623"/>
          <w:jc w:val="left"/>
        </w:trPr>
        <w:tc>
          <w:tcPr>
            <w:tcW w:w="432" w:type="dxa"/>
            <w:vMerge/>
            <w:tcBorders>
              <w:top w:val="nil"/>
              <w:bottom w:val="single" w:sz="4" w:space="0" w:color="000000"/>
              <w:right w:val="single" w:sz="4" w:space="0" w:color="000000"/>
            </w:tcBorders>
            <w:textDirection w:val="tbRl"/>
          </w:tcPr>
          <w:p>
            <w:pPr>
              <w:rPr>
                <w:sz w:val="2"/>
                <w:szCs w:val="2"/>
              </w:rPr>
            </w:pPr>
          </w:p>
        </w:tc>
        <w:tc>
          <w:tcPr>
            <w:tcW w:w="3043" w:type="dxa"/>
            <w:vMerge/>
            <w:tcBorders>
              <w:top w:val="nil"/>
              <w:left w:val="single" w:sz="4" w:space="0" w:color="000000"/>
              <w:bottom w:val="single" w:sz="4" w:space="0" w:color="000000"/>
              <w:right w:val="single" w:sz="4" w:space="0" w:color="000000"/>
            </w:tcBorders>
          </w:tcPr>
          <w:p>
            <w:pPr>
              <w:rPr>
                <w:sz w:val="2"/>
                <w:szCs w:val="2"/>
              </w:rPr>
            </w:pP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黑体"/>
                <w:sz w:val="15"/>
              </w:rPr>
            </w:pPr>
          </w:p>
          <w:p>
            <w:pPr>
              <w:pStyle w:val="TableParagraph"/>
              <w:ind w:left="28"/>
              <w:jc w:val="center"/>
              <w:rPr>
                <w:sz w:val="18"/>
              </w:rPr>
            </w:pPr>
            <w:r>
              <w:rPr>
                <w:sz w:val="18"/>
              </w:rPr>
              <w:t>3</w:t>
            </w:r>
          </w:p>
        </w:tc>
        <w:tc>
          <w:tcPr>
            <w:tcW w:w="2705"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黑体"/>
                <w:sz w:val="15"/>
              </w:rPr>
            </w:pPr>
          </w:p>
          <w:p>
            <w:pPr>
              <w:pStyle w:val="TableParagraph"/>
              <w:ind w:left="79" w:right="53"/>
              <w:jc w:val="center"/>
              <w:rPr>
                <w:sz w:val="18"/>
              </w:rPr>
            </w:pPr>
            <w:r>
              <w:rPr>
                <w:sz w:val="18"/>
              </w:rPr>
              <w:t>培训情况</w:t>
            </w:r>
          </w:p>
        </w:tc>
        <w:tc>
          <w:tcPr>
            <w:tcW w:w="2811" w:type="dxa"/>
            <w:tcBorders>
              <w:top w:val="single" w:sz="4" w:space="0" w:color="000000"/>
              <w:left w:val="single" w:sz="4" w:space="0" w:color="000000"/>
              <w:bottom w:val="single" w:sz="4" w:space="0" w:color="000000"/>
            </w:tcBorders>
          </w:tcPr>
          <w:p>
            <w:pPr>
              <w:pStyle w:val="TableParagraph"/>
              <w:spacing w:before="38"/>
              <w:ind w:left="117"/>
              <w:rPr>
                <w:sz w:val="18"/>
              </w:rPr>
            </w:pPr>
            <w:r>
              <w:rPr>
                <w:sz w:val="18"/>
              </w:rPr>
              <w:t>评价机构人员日常培训对其整体</w:t>
            </w:r>
          </w:p>
          <w:p>
            <w:pPr>
              <w:pStyle w:val="TableParagraph"/>
              <w:spacing w:before="81"/>
              <w:ind w:left="117"/>
              <w:rPr>
                <w:sz w:val="18"/>
              </w:rPr>
            </w:pPr>
            <w:r>
              <w:rPr>
                <w:sz w:val="18"/>
              </w:rPr>
              <w:t>素质水平的影响</w:t>
            </w:r>
          </w:p>
        </w:tc>
      </w:tr>
      <w:tr>
        <w:tblPrEx>
          <w:tblW w:w="0" w:type="auto"/>
          <w:jc w:val="left"/>
          <w:tblInd w:w="1191" w:type="dxa"/>
          <w:tblLayout w:type="fixed"/>
          <w:tblCellMar>
            <w:top w:w="0" w:type="dxa"/>
            <w:left w:w="0" w:type="dxa"/>
            <w:bottom w:w="0" w:type="dxa"/>
            <w:right w:w="0" w:type="dxa"/>
          </w:tblCellMar>
          <w:tblLook w:val="01E0"/>
        </w:tblPrEx>
        <w:trPr>
          <w:trHeight w:val="623"/>
          <w:jc w:val="left"/>
        </w:trPr>
        <w:tc>
          <w:tcPr>
            <w:tcW w:w="432" w:type="dxa"/>
            <w:vMerge/>
            <w:tcBorders>
              <w:top w:val="nil"/>
              <w:bottom w:val="single" w:sz="4" w:space="0" w:color="000000"/>
              <w:right w:val="single" w:sz="4" w:space="0" w:color="000000"/>
            </w:tcBorders>
            <w:textDirection w:val="tbRl"/>
          </w:tcPr>
          <w:p>
            <w:pPr>
              <w:rPr>
                <w:sz w:val="2"/>
                <w:szCs w:val="2"/>
              </w:rPr>
            </w:pPr>
          </w:p>
        </w:tc>
        <w:tc>
          <w:tcPr>
            <w:tcW w:w="3043" w:type="dxa"/>
            <w:vMerge/>
            <w:tcBorders>
              <w:top w:val="nil"/>
              <w:left w:val="single" w:sz="4" w:space="0" w:color="000000"/>
              <w:bottom w:val="single" w:sz="4" w:space="0" w:color="000000"/>
              <w:right w:val="single" w:sz="4" w:space="0" w:color="000000"/>
            </w:tcBorders>
          </w:tcPr>
          <w:p>
            <w:pPr>
              <w:rPr>
                <w:sz w:val="2"/>
                <w:szCs w:val="2"/>
              </w:rPr>
            </w:pP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黑体"/>
                <w:sz w:val="15"/>
              </w:rPr>
            </w:pPr>
          </w:p>
          <w:p>
            <w:pPr>
              <w:pStyle w:val="TableParagraph"/>
              <w:ind w:left="28"/>
              <w:jc w:val="center"/>
              <w:rPr>
                <w:sz w:val="18"/>
              </w:rPr>
            </w:pPr>
            <w:r>
              <w:rPr>
                <w:sz w:val="18"/>
              </w:rPr>
              <w:t>4</w:t>
            </w:r>
          </w:p>
        </w:tc>
        <w:tc>
          <w:tcPr>
            <w:tcW w:w="2705"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黑体"/>
                <w:sz w:val="15"/>
              </w:rPr>
            </w:pPr>
          </w:p>
          <w:p>
            <w:pPr>
              <w:pStyle w:val="TableParagraph"/>
              <w:ind w:left="79" w:right="53"/>
              <w:jc w:val="center"/>
              <w:rPr>
                <w:sz w:val="18"/>
              </w:rPr>
            </w:pPr>
            <w:r>
              <w:rPr>
                <w:sz w:val="18"/>
              </w:rPr>
              <w:t>专业技术人员</w:t>
            </w:r>
          </w:p>
        </w:tc>
        <w:tc>
          <w:tcPr>
            <w:tcW w:w="2811" w:type="dxa"/>
            <w:tcBorders>
              <w:top w:val="single" w:sz="4" w:space="0" w:color="000000"/>
              <w:left w:val="single" w:sz="4" w:space="0" w:color="000000"/>
              <w:bottom w:val="single" w:sz="4" w:space="0" w:color="000000"/>
            </w:tcBorders>
          </w:tcPr>
          <w:p>
            <w:pPr>
              <w:pStyle w:val="TableParagraph"/>
              <w:spacing w:before="38"/>
              <w:ind w:left="117"/>
              <w:rPr>
                <w:sz w:val="18"/>
              </w:rPr>
            </w:pPr>
            <w:r>
              <w:rPr>
                <w:sz w:val="18"/>
              </w:rPr>
              <w:t>评价机构专业技术人员的技术水</w:t>
            </w:r>
          </w:p>
          <w:p>
            <w:pPr>
              <w:pStyle w:val="TableParagraph"/>
              <w:spacing w:before="81"/>
              <w:ind w:left="117"/>
              <w:rPr>
                <w:sz w:val="18"/>
              </w:rPr>
            </w:pPr>
            <w:r>
              <w:rPr>
                <w:sz w:val="18"/>
              </w:rPr>
              <w:t>平对其整体素质水平的影响</w:t>
            </w:r>
          </w:p>
        </w:tc>
      </w:tr>
      <w:tr>
        <w:tblPrEx>
          <w:tblW w:w="0" w:type="auto"/>
          <w:jc w:val="left"/>
          <w:tblInd w:w="1191" w:type="dxa"/>
          <w:tblLayout w:type="fixed"/>
          <w:tblCellMar>
            <w:top w:w="0" w:type="dxa"/>
            <w:left w:w="0" w:type="dxa"/>
            <w:bottom w:w="0" w:type="dxa"/>
            <w:right w:w="0" w:type="dxa"/>
          </w:tblCellMar>
          <w:tblLook w:val="01E0"/>
        </w:tblPrEx>
        <w:trPr>
          <w:trHeight w:val="623"/>
          <w:jc w:val="left"/>
        </w:trPr>
        <w:tc>
          <w:tcPr>
            <w:tcW w:w="432" w:type="dxa"/>
            <w:vMerge/>
            <w:tcBorders>
              <w:top w:val="nil"/>
              <w:bottom w:val="single" w:sz="4" w:space="0" w:color="000000"/>
              <w:right w:val="single" w:sz="4" w:space="0" w:color="000000"/>
            </w:tcBorders>
            <w:textDirection w:val="tbRl"/>
          </w:tcPr>
          <w:p>
            <w:pPr>
              <w:rPr>
                <w:sz w:val="2"/>
                <w:szCs w:val="2"/>
              </w:rPr>
            </w:pPr>
          </w:p>
        </w:tc>
        <w:tc>
          <w:tcPr>
            <w:tcW w:w="3043" w:type="dxa"/>
            <w:vMerge/>
            <w:tcBorders>
              <w:top w:val="nil"/>
              <w:left w:val="single" w:sz="4" w:space="0" w:color="000000"/>
              <w:bottom w:val="single" w:sz="4" w:space="0" w:color="000000"/>
              <w:right w:val="single" w:sz="4" w:space="0" w:color="000000"/>
            </w:tcBorders>
          </w:tcPr>
          <w:p>
            <w:pPr>
              <w:rPr>
                <w:sz w:val="2"/>
                <w:szCs w:val="2"/>
              </w:rPr>
            </w:pP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黑体"/>
                <w:sz w:val="15"/>
              </w:rPr>
            </w:pPr>
          </w:p>
          <w:p>
            <w:pPr>
              <w:pStyle w:val="TableParagraph"/>
              <w:ind w:left="28"/>
              <w:jc w:val="center"/>
              <w:rPr>
                <w:sz w:val="18"/>
              </w:rPr>
            </w:pPr>
            <w:r>
              <w:rPr>
                <w:sz w:val="18"/>
              </w:rPr>
              <w:t>5</w:t>
            </w:r>
          </w:p>
        </w:tc>
        <w:tc>
          <w:tcPr>
            <w:tcW w:w="2705"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黑体"/>
                <w:sz w:val="15"/>
              </w:rPr>
            </w:pPr>
          </w:p>
          <w:p>
            <w:pPr>
              <w:pStyle w:val="TableParagraph"/>
              <w:ind w:left="79" w:right="53"/>
              <w:jc w:val="center"/>
              <w:rPr>
                <w:sz w:val="18"/>
              </w:rPr>
            </w:pPr>
            <w:r>
              <w:rPr>
                <w:sz w:val="18"/>
              </w:rPr>
              <w:t>作业人员队伍情况</w:t>
            </w:r>
          </w:p>
        </w:tc>
        <w:tc>
          <w:tcPr>
            <w:tcW w:w="2811" w:type="dxa"/>
            <w:tcBorders>
              <w:top w:val="single" w:sz="4" w:space="0" w:color="000000"/>
              <w:left w:val="single" w:sz="4" w:space="0" w:color="000000"/>
              <w:bottom w:val="single" w:sz="4" w:space="0" w:color="000000"/>
            </w:tcBorders>
          </w:tcPr>
          <w:p>
            <w:pPr>
              <w:pStyle w:val="TableParagraph"/>
              <w:spacing w:before="38"/>
              <w:ind w:left="117"/>
              <w:rPr>
                <w:sz w:val="18"/>
              </w:rPr>
            </w:pPr>
            <w:r>
              <w:rPr>
                <w:sz w:val="18"/>
              </w:rPr>
              <w:t>评价机构人员稳定性对其整体素</w:t>
            </w:r>
          </w:p>
          <w:p>
            <w:pPr>
              <w:pStyle w:val="TableParagraph"/>
              <w:spacing w:before="81"/>
              <w:ind w:left="117"/>
              <w:rPr>
                <w:sz w:val="18"/>
              </w:rPr>
            </w:pPr>
            <w:r>
              <w:rPr>
                <w:sz w:val="18"/>
              </w:rPr>
              <w:t>质水平的影响</w:t>
            </w:r>
          </w:p>
        </w:tc>
      </w:tr>
      <w:tr>
        <w:tblPrEx>
          <w:tblW w:w="0" w:type="auto"/>
          <w:jc w:val="left"/>
          <w:tblInd w:w="1191" w:type="dxa"/>
          <w:tblLayout w:type="fixed"/>
          <w:tblCellMar>
            <w:top w:w="0" w:type="dxa"/>
            <w:left w:w="0" w:type="dxa"/>
            <w:bottom w:w="0" w:type="dxa"/>
            <w:right w:w="0" w:type="dxa"/>
          </w:tblCellMar>
          <w:tblLook w:val="01E0"/>
        </w:tblPrEx>
        <w:trPr>
          <w:trHeight w:val="640"/>
          <w:jc w:val="left"/>
        </w:trPr>
        <w:tc>
          <w:tcPr>
            <w:tcW w:w="432" w:type="dxa"/>
            <w:vMerge w:val="restart"/>
            <w:tcBorders>
              <w:top w:val="single" w:sz="4" w:space="0" w:color="000000"/>
              <w:bottom w:val="single" w:sz="4" w:space="0" w:color="000000"/>
              <w:right w:val="single" w:sz="4" w:space="0" w:color="000000"/>
            </w:tcBorders>
            <w:textDirection w:val="tbRl"/>
          </w:tcPr>
          <w:p>
            <w:pPr>
              <w:pStyle w:val="TableParagraph"/>
              <w:spacing w:before="51"/>
              <w:ind w:left="643"/>
              <w:rPr>
                <w:sz w:val="18"/>
              </w:rPr>
            </w:pPr>
            <w:r>
              <w:rPr>
                <w:sz w:val="18"/>
              </w:rPr>
              <w:t>设施设备与能力</w:t>
            </w:r>
          </w:p>
        </w:tc>
        <w:tc>
          <w:tcPr>
            <w:tcW w:w="3043"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spacing w:before="11"/>
              <w:rPr>
                <w:rFonts w:ascii="黑体"/>
                <w:sz w:val="23"/>
              </w:rPr>
            </w:pPr>
          </w:p>
          <w:p>
            <w:pPr>
              <w:pStyle w:val="TableParagraph"/>
              <w:spacing w:line="324" w:lineRule="auto"/>
              <w:ind w:left="117" w:right="77"/>
              <w:rPr>
                <w:sz w:val="18"/>
              </w:rPr>
            </w:pPr>
            <w:r>
              <w:rPr>
                <w:sz w:val="18"/>
              </w:rPr>
              <w:t>从设施设备基本现状来反映清洁服务机构的规模和档次</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黑体"/>
                <w:sz w:val="15"/>
              </w:rPr>
            </w:pPr>
          </w:p>
          <w:p>
            <w:pPr>
              <w:pStyle w:val="TableParagraph"/>
              <w:ind w:left="27"/>
              <w:jc w:val="center"/>
              <w:rPr>
                <w:sz w:val="18"/>
              </w:rPr>
            </w:pPr>
            <w:r>
              <w:rPr>
                <w:sz w:val="18"/>
              </w:rPr>
              <w:t>6</w:t>
            </w:r>
          </w:p>
        </w:tc>
        <w:tc>
          <w:tcPr>
            <w:tcW w:w="2705" w:type="dxa"/>
            <w:tcBorders>
              <w:top w:val="single" w:sz="4" w:space="0" w:color="000000"/>
              <w:left w:val="single" w:sz="4" w:space="0" w:color="000000"/>
              <w:bottom w:val="single" w:sz="4" w:space="0" w:color="000000"/>
              <w:right w:val="single" w:sz="4" w:space="0" w:color="000000"/>
            </w:tcBorders>
          </w:tcPr>
          <w:p>
            <w:pPr>
              <w:pStyle w:val="TableParagraph"/>
              <w:spacing w:before="47"/>
              <w:ind w:left="82" w:right="53"/>
              <w:jc w:val="center"/>
              <w:rPr>
                <w:sz w:val="18"/>
              </w:rPr>
            </w:pPr>
            <w:r>
              <w:rPr>
                <w:sz w:val="18"/>
              </w:rPr>
              <w:t>办公、物资存储场所建筑面积及</w:t>
            </w:r>
          </w:p>
          <w:p>
            <w:pPr>
              <w:pStyle w:val="TableParagraph"/>
              <w:spacing w:before="82"/>
              <w:ind w:left="79" w:right="53"/>
              <w:jc w:val="center"/>
              <w:rPr>
                <w:sz w:val="18"/>
              </w:rPr>
            </w:pPr>
            <w:r>
              <w:rPr>
                <w:sz w:val="18"/>
              </w:rPr>
              <w:t>物资配送能力</w:t>
            </w:r>
          </w:p>
        </w:tc>
        <w:tc>
          <w:tcPr>
            <w:tcW w:w="2811" w:type="dxa"/>
            <w:tcBorders>
              <w:top w:val="single" w:sz="4" w:space="0" w:color="000000"/>
              <w:left w:val="single" w:sz="4" w:space="0" w:color="000000"/>
              <w:bottom w:val="single" w:sz="4" w:space="0" w:color="000000"/>
            </w:tcBorders>
          </w:tcPr>
          <w:p>
            <w:pPr>
              <w:pStyle w:val="TableParagraph"/>
              <w:spacing w:before="47"/>
              <w:ind w:left="117"/>
              <w:rPr>
                <w:sz w:val="18"/>
              </w:rPr>
            </w:pPr>
            <w:r>
              <w:rPr>
                <w:sz w:val="18"/>
              </w:rPr>
              <w:t>评价机构的办公、物资存储场所</w:t>
            </w:r>
          </w:p>
          <w:p>
            <w:pPr>
              <w:pStyle w:val="TableParagraph"/>
              <w:spacing w:before="82"/>
              <w:ind w:left="117"/>
              <w:rPr>
                <w:sz w:val="18"/>
              </w:rPr>
            </w:pPr>
            <w:r>
              <w:rPr>
                <w:sz w:val="18"/>
              </w:rPr>
              <w:t>及物资配送能力对其规模的影响</w:t>
            </w:r>
          </w:p>
        </w:tc>
      </w:tr>
      <w:tr>
        <w:tblPrEx>
          <w:tblW w:w="0" w:type="auto"/>
          <w:jc w:val="left"/>
          <w:tblInd w:w="1191" w:type="dxa"/>
          <w:tblLayout w:type="fixed"/>
          <w:tblCellMar>
            <w:top w:w="0" w:type="dxa"/>
            <w:left w:w="0" w:type="dxa"/>
            <w:bottom w:w="0" w:type="dxa"/>
            <w:right w:w="0" w:type="dxa"/>
          </w:tblCellMar>
          <w:tblLook w:val="01E0"/>
        </w:tblPrEx>
        <w:trPr>
          <w:trHeight w:val="623"/>
          <w:jc w:val="left"/>
        </w:trPr>
        <w:tc>
          <w:tcPr>
            <w:tcW w:w="432" w:type="dxa"/>
            <w:vMerge/>
            <w:tcBorders>
              <w:top w:val="nil"/>
              <w:bottom w:val="single" w:sz="4" w:space="0" w:color="000000"/>
              <w:right w:val="single" w:sz="4" w:space="0" w:color="000000"/>
            </w:tcBorders>
            <w:textDirection w:val="tbRl"/>
          </w:tcPr>
          <w:p>
            <w:pPr>
              <w:rPr>
                <w:sz w:val="2"/>
                <w:szCs w:val="2"/>
              </w:rPr>
            </w:pPr>
          </w:p>
        </w:tc>
        <w:tc>
          <w:tcPr>
            <w:tcW w:w="3043" w:type="dxa"/>
            <w:vMerge/>
            <w:tcBorders>
              <w:top w:val="nil"/>
              <w:left w:val="single" w:sz="4" w:space="0" w:color="000000"/>
              <w:bottom w:val="single" w:sz="4" w:space="0" w:color="000000"/>
              <w:right w:val="single" w:sz="4" w:space="0" w:color="000000"/>
            </w:tcBorders>
          </w:tcPr>
          <w:p>
            <w:pPr>
              <w:rPr>
                <w:sz w:val="2"/>
                <w:szCs w:val="2"/>
              </w:rPr>
            </w:pP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黑体"/>
                <w:sz w:val="15"/>
              </w:rPr>
            </w:pPr>
          </w:p>
          <w:p>
            <w:pPr>
              <w:pStyle w:val="TableParagraph"/>
              <w:ind w:left="28"/>
              <w:jc w:val="center"/>
              <w:rPr>
                <w:sz w:val="18"/>
              </w:rPr>
            </w:pPr>
            <w:r>
              <w:rPr>
                <w:sz w:val="18"/>
              </w:rPr>
              <w:t>7</w:t>
            </w:r>
          </w:p>
        </w:tc>
        <w:tc>
          <w:tcPr>
            <w:tcW w:w="2705"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黑体"/>
                <w:sz w:val="15"/>
              </w:rPr>
            </w:pPr>
          </w:p>
          <w:p>
            <w:pPr>
              <w:pStyle w:val="TableParagraph"/>
              <w:ind w:left="79" w:right="53"/>
              <w:jc w:val="center"/>
              <w:rPr>
                <w:sz w:val="18"/>
              </w:rPr>
            </w:pPr>
            <w:r>
              <w:rPr>
                <w:sz w:val="18"/>
              </w:rPr>
              <w:t>办公设备</w:t>
            </w:r>
          </w:p>
        </w:tc>
        <w:tc>
          <w:tcPr>
            <w:tcW w:w="2811" w:type="dxa"/>
            <w:tcBorders>
              <w:top w:val="single" w:sz="4" w:space="0" w:color="000000"/>
              <w:left w:val="single" w:sz="4" w:space="0" w:color="000000"/>
              <w:bottom w:val="single" w:sz="4" w:space="0" w:color="000000"/>
            </w:tcBorders>
          </w:tcPr>
          <w:p>
            <w:pPr>
              <w:pStyle w:val="TableParagraph"/>
              <w:spacing w:before="38"/>
              <w:ind w:left="117"/>
              <w:rPr>
                <w:sz w:val="18"/>
              </w:rPr>
            </w:pPr>
            <w:r>
              <w:rPr>
                <w:sz w:val="18"/>
              </w:rPr>
              <w:t>评价机构的办公设备对其服务档</w:t>
            </w:r>
          </w:p>
          <w:p>
            <w:pPr>
              <w:pStyle w:val="TableParagraph"/>
              <w:spacing w:before="81"/>
              <w:ind w:left="117"/>
              <w:rPr>
                <w:sz w:val="18"/>
              </w:rPr>
            </w:pPr>
            <w:r>
              <w:rPr>
                <w:sz w:val="18"/>
              </w:rPr>
              <w:t>次和效率的影响</w:t>
            </w:r>
          </w:p>
        </w:tc>
      </w:tr>
      <w:tr>
        <w:tblPrEx>
          <w:tblW w:w="0" w:type="auto"/>
          <w:jc w:val="left"/>
          <w:tblInd w:w="1191" w:type="dxa"/>
          <w:tblLayout w:type="fixed"/>
          <w:tblCellMar>
            <w:top w:w="0" w:type="dxa"/>
            <w:left w:w="0" w:type="dxa"/>
            <w:bottom w:w="0" w:type="dxa"/>
            <w:right w:w="0" w:type="dxa"/>
          </w:tblCellMar>
          <w:tblLook w:val="01E0"/>
        </w:tblPrEx>
        <w:trPr>
          <w:trHeight w:val="626"/>
          <w:jc w:val="left"/>
        </w:trPr>
        <w:tc>
          <w:tcPr>
            <w:tcW w:w="432" w:type="dxa"/>
            <w:vMerge/>
            <w:tcBorders>
              <w:top w:val="nil"/>
              <w:bottom w:val="single" w:sz="4" w:space="0" w:color="000000"/>
              <w:right w:val="single" w:sz="4" w:space="0" w:color="000000"/>
            </w:tcBorders>
            <w:textDirection w:val="tbRl"/>
          </w:tcPr>
          <w:p>
            <w:pPr>
              <w:rPr>
                <w:sz w:val="2"/>
                <w:szCs w:val="2"/>
              </w:rPr>
            </w:pPr>
          </w:p>
        </w:tc>
        <w:tc>
          <w:tcPr>
            <w:tcW w:w="3043" w:type="dxa"/>
            <w:vMerge/>
            <w:tcBorders>
              <w:top w:val="nil"/>
              <w:left w:val="single" w:sz="4" w:space="0" w:color="000000"/>
              <w:bottom w:val="single" w:sz="4" w:space="0" w:color="000000"/>
              <w:right w:val="single" w:sz="4" w:space="0" w:color="000000"/>
            </w:tcBorders>
          </w:tcPr>
          <w:p>
            <w:pPr>
              <w:rPr>
                <w:sz w:val="2"/>
                <w:szCs w:val="2"/>
              </w:rPr>
            </w:pP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4"/>
              <w:rPr>
                <w:rFonts w:ascii="黑体"/>
                <w:sz w:val="15"/>
              </w:rPr>
            </w:pPr>
          </w:p>
          <w:p>
            <w:pPr>
              <w:pStyle w:val="TableParagraph"/>
              <w:ind w:left="28"/>
              <w:jc w:val="center"/>
              <w:rPr>
                <w:sz w:val="18"/>
              </w:rPr>
            </w:pPr>
            <w:r>
              <w:rPr>
                <w:sz w:val="18"/>
              </w:rPr>
              <w:t>8</w:t>
            </w:r>
          </w:p>
        </w:tc>
        <w:tc>
          <w:tcPr>
            <w:tcW w:w="2705" w:type="dxa"/>
            <w:tcBorders>
              <w:top w:val="single" w:sz="4" w:space="0" w:color="000000"/>
              <w:left w:val="single" w:sz="4" w:space="0" w:color="000000"/>
              <w:bottom w:val="single" w:sz="4" w:space="0" w:color="000000"/>
              <w:right w:val="single" w:sz="4" w:space="0" w:color="000000"/>
            </w:tcBorders>
          </w:tcPr>
          <w:p>
            <w:pPr>
              <w:pStyle w:val="TableParagraph"/>
              <w:spacing w:before="4"/>
              <w:rPr>
                <w:rFonts w:ascii="黑体"/>
                <w:sz w:val="15"/>
              </w:rPr>
            </w:pPr>
          </w:p>
          <w:p>
            <w:pPr>
              <w:pStyle w:val="TableParagraph"/>
              <w:ind w:left="79" w:right="53"/>
              <w:jc w:val="center"/>
              <w:rPr>
                <w:sz w:val="18"/>
              </w:rPr>
            </w:pPr>
            <w:r>
              <w:rPr>
                <w:sz w:val="18"/>
              </w:rPr>
              <w:t>作业设备</w:t>
            </w:r>
          </w:p>
        </w:tc>
        <w:tc>
          <w:tcPr>
            <w:tcW w:w="2811" w:type="dxa"/>
            <w:tcBorders>
              <w:top w:val="single" w:sz="4" w:space="0" w:color="000000"/>
              <w:left w:val="single" w:sz="4" w:space="0" w:color="000000"/>
              <w:bottom w:val="single" w:sz="4" w:space="0" w:color="000000"/>
            </w:tcBorders>
          </w:tcPr>
          <w:p>
            <w:pPr>
              <w:pStyle w:val="TableParagraph"/>
              <w:spacing w:before="40"/>
              <w:ind w:left="117"/>
              <w:rPr>
                <w:sz w:val="18"/>
              </w:rPr>
            </w:pPr>
            <w:r>
              <w:rPr>
                <w:sz w:val="18"/>
              </w:rPr>
              <w:t>评价机构的作业设备对其服务范</w:t>
            </w:r>
          </w:p>
          <w:p>
            <w:pPr>
              <w:pStyle w:val="TableParagraph"/>
              <w:spacing w:before="82"/>
              <w:ind w:left="117"/>
              <w:rPr>
                <w:sz w:val="18"/>
              </w:rPr>
            </w:pPr>
            <w:r>
              <w:rPr>
                <w:sz w:val="18"/>
              </w:rPr>
              <w:t>围和效率的影响</w:t>
            </w:r>
          </w:p>
        </w:tc>
      </w:tr>
      <w:tr>
        <w:tblPrEx>
          <w:tblW w:w="0" w:type="auto"/>
          <w:jc w:val="left"/>
          <w:tblInd w:w="1191" w:type="dxa"/>
          <w:tblLayout w:type="fixed"/>
          <w:tblCellMar>
            <w:top w:w="0" w:type="dxa"/>
            <w:left w:w="0" w:type="dxa"/>
            <w:bottom w:w="0" w:type="dxa"/>
            <w:right w:w="0" w:type="dxa"/>
          </w:tblCellMar>
          <w:tblLook w:val="01E0"/>
        </w:tblPrEx>
        <w:trPr>
          <w:trHeight w:val="623"/>
          <w:jc w:val="left"/>
        </w:trPr>
        <w:tc>
          <w:tcPr>
            <w:tcW w:w="432" w:type="dxa"/>
            <w:vMerge/>
            <w:tcBorders>
              <w:top w:val="nil"/>
              <w:bottom w:val="single" w:sz="4" w:space="0" w:color="000000"/>
              <w:right w:val="single" w:sz="4" w:space="0" w:color="000000"/>
            </w:tcBorders>
            <w:textDirection w:val="tbRl"/>
          </w:tcPr>
          <w:p>
            <w:pPr>
              <w:rPr>
                <w:sz w:val="2"/>
                <w:szCs w:val="2"/>
              </w:rPr>
            </w:pPr>
          </w:p>
        </w:tc>
        <w:tc>
          <w:tcPr>
            <w:tcW w:w="3043" w:type="dxa"/>
            <w:vMerge/>
            <w:tcBorders>
              <w:top w:val="nil"/>
              <w:left w:val="single" w:sz="4" w:space="0" w:color="000000"/>
              <w:bottom w:val="single" w:sz="4" w:space="0" w:color="000000"/>
              <w:right w:val="single" w:sz="4" w:space="0" w:color="000000"/>
            </w:tcBorders>
          </w:tcPr>
          <w:p>
            <w:pPr>
              <w:rPr>
                <w:sz w:val="2"/>
                <w:szCs w:val="2"/>
              </w:rPr>
            </w:pP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黑体"/>
                <w:sz w:val="15"/>
              </w:rPr>
            </w:pPr>
          </w:p>
          <w:p>
            <w:pPr>
              <w:pStyle w:val="TableParagraph"/>
              <w:ind w:left="28"/>
              <w:jc w:val="center"/>
              <w:rPr>
                <w:sz w:val="18"/>
              </w:rPr>
            </w:pPr>
            <w:r>
              <w:rPr>
                <w:sz w:val="18"/>
              </w:rPr>
              <w:t>9</w:t>
            </w:r>
          </w:p>
        </w:tc>
        <w:tc>
          <w:tcPr>
            <w:tcW w:w="2705"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黑体"/>
                <w:sz w:val="15"/>
              </w:rPr>
            </w:pPr>
          </w:p>
          <w:p>
            <w:pPr>
              <w:pStyle w:val="TableParagraph"/>
              <w:ind w:left="79" w:right="53"/>
              <w:jc w:val="center"/>
              <w:rPr>
                <w:sz w:val="18"/>
              </w:rPr>
            </w:pPr>
            <w:r>
              <w:rPr>
                <w:sz w:val="18"/>
              </w:rPr>
              <w:t>信息技术应用</w:t>
            </w:r>
          </w:p>
        </w:tc>
        <w:tc>
          <w:tcPr>
            <w:tcW w:w="2811" w:type="dxa"/>
            <w:tcBorders>
              <w:top w:val="single" w:sz="4" w:space="0" w:color="000000"/>
              <w:left w:val="single" w:sz="4" w:space="0" w:color="000000"/>
              <w:bottom w:val="single" w:sz="4" w:space="0" w:color="000000"/>
            </w:tcBorders>
          </w:tcPr>
          <w:p>
            <w:pPr>
              <w:pStyle w:val="TableParagraph"/>
              <w:spacing w:before="38"/>
              <w:ind w:left="117"/>
              <w:rPr>
                <w:sz w:val="18"/>
              </w:rPr>
            </w:pPr>
            <w:r>
              <w:rPr>
                <w:sz w:val="18"/>
              </w:rPr>
              <w:t>评价机构的信息技术应用对其服</w:t>
            </w:r>
          </w:p>
          <w:p>
            <w:pPr>
              <w:pStyle w:val="TableParagraph"/>
              <w:spacing w:before="81"/>
              <w:ind w:left="117"/>
              <w:rPr>
                <w:sz w:val="18"/>
              </w:rPr>
            </w:pPr>
            <w:r>
              <w:rPr>
                <w:sz w:val="18"/>
              </w:rPr>
              <w:t>务、管理效率的影响</w:t>
            </w:r>
          </w:p>
        </w:tc>
      </w:tr>
      <w:tr>
        <w:tblPrEx>
          <w:tblW w:w="0" w:type="auto"/>
          <w:jc w:val="left"/>
          <w:tblInd w:w="1191" w:type="dxa"/>
          <w:tblLayout w:type="fixed"/>
          <w:tblCellMar>
            <w:top w:w="0" w:type="dxa"/>
            <w:left w:w="0" w:type="dxa"/>
            <w:bottom w:w="0" w:type="dxa"/>
            <w:right w:w="0" w:type="dxa"/>
          </w:tblCellMar>
          <w:tblLook w:val="01E0"/>
        </w:tblPrEx>
        <w:trPr>
          <w:trHeight w:val="632"/>
          <w:jc w:val="left"/>
        </w:trPr>
        <w:tc>
          <w:tcPr>
            <w:tcW w:w="432" w:type="dxa"/>
            <w:vMerge w:val="restart"/>
            <w:tcBorders>
              <w:top w:val="single" w:sz="4" w:space="0" w:color="000000"/>
              <w:right w:val="single" w:sz="4" w:space="0" w:color="000000"/>
            </w:tcBorders>
            <w:textDirection w:val="tbRl"/>
          </w:tcPr>
          <w:p>
            <w:pPr>
              <w:pStyle w:val="TableParagraph"/>
              <w:spacing w:before="51"/>
              <w:ind w:left="893" w:right="894"/>
              <w:jc w:val="center"/>
              <w:rPr>
                <w:sz w:val="18"/>
              </w:rPr>
            </w:pPr>
            <w:r>
              <w:rPr>
                <w:sz w:val="18"/>
              </w:rPr>
              <w:t>服务项目</w:t>
            </w:r>
          </w:p>
        </w:tc>
        <w:tc>
          <w:tcPr>
            <w:tcW w:w="3043" w:type="dxa"/>
            <w:vMerge w:val="restart"/>
            <w:tcBorders>
              <w:top w:val="single" w:sz="4" w:space="0" w:color="000000"/>
              <w:left w:val="single" w:sz="4" w:space="0" w:color="000000"/>
              <w:right w:val="single" w:sz="4" w:space="0" w:color="000000"/>
            </w:tcBorders>
          </w:tcPr>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spacing w:before="152" w:line="324" w:lineRule="auto"/>
              <w:ind w:left="117" w:right="77"/>
              <w:jc w:val="both"/>
              <w:rPr>
                <w:sz w:val="18"/>
              </w:rPr>
            </w:pPr>
            <w:r>
              <w:rPr>
                <w:spacing w:val="7"/>
                <w:sz w:val="18"/>
              </w:rPr>
              <w:t>从服务项目历史与现状来反映清洁</w:t>
            </w:r>
            <w:r>
              <w:rPr>
                <w:spacing w:val="-5"/>
                <w:sz w:val="18"/>
              </w:rPr>
              <w:t>服务机构的发展思路、服务重点、服务水平、科技含量及市场份额</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黑体"/>
                <w:sz w:val="15"/>
              </w:rPr>
            </w:pPr>
          </w:p>
          <w:p>
            <w:pPr>
              <w:pStyle w:val="TableParagraph"/>
              <w:ind w:left="132" w:right="104"/>
              <w:jc w:val="center"/>
              <w:rPr>
                <w:sz w:val="18"/>
              </w:rPr>
            </w:pPr>
            <w:r>
              <w:rPr>
                <w:sz w:val="18"/>
              </w:rPr>
              <w:t>10</w:t>
            </w:r>
          </w:p>
        </w:tc>
        <w:tc>
          <w:tcPr>
            <w:tcW w:w="2705"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黑体"/>
                <w:sz w:val="15"/>
              </w:rPr>
            </w:pPr>
          </w:p>
          <w:p>
            <w:pPr>
              <w:pStyle w:val="TableParagraph"/>
              <w:ind w:left="79" w:right="53"/>
              <w:jc w:val="center"/>
              <w:rPr>
                <w:sz w:val="18"/>
              </w:rPr>
            </w:pPr>
            <w:r>
              <w:rPr>
                <w:sz w:val="18"/>
              </w:rPr>
              <w:t>开展服务项目数量</w:t>
            </w:r>
          </w:p>
        </w:tc>
        <w:tc>
          <w:tcPr>
            <w:tcW w:w="2811" w:type="dxa"/>
            <w:tcBorders>
              <w:top w:val="single" w:sz="4" w:space="0" w:color="000000"/>
              <w:left w:val="single" w:sz="4" w:space="0" w:color="000000"/>
              <w:bottom w:val="single" w:sz="4" w:space="0" w:color="000000"/>
            </w:tcBorders>
          </w:tcPr>
          <w:p>
            <w:pPr>
              <w:pStyle w:val="TableParagraph"/>
              <w:spacing w:before="47"/>
              <w:ind w:left="117"/>
              <w:rPr>
                <w:sz w:val="18"/>
              </w:rPr>
            </w:pPr>
            <w:r>
              <w:rPr>
                <w:sz w:val="18"/>
              </w:rPr>
              <w:t>评价机构开展服务项目的数量对</w:t>
            </w:r>
          </w:p>
          <w:p>
            <w:pPr>
              <w:pStyle w:val="TableParagraph"/>
              <w:spacing w:before="82"/>
              <w:ind w:left="117"/>
              <w:rPr>
                <w:sz w:val="18"/>
              </w:rPr>
            </w:pPr>
            <w:r>
              <w:rPr>
                <w:sz w:val="18"/>
              </w:rPr>
              <w:t>其服务对象需求的影响</w:t>
            </w:r>
          </w:p>
        </w:tc>
      </w:tr>
      <w:tr>
        <w:tblPrEx>
          <w:tblW w:w="0" w:type="auto"/>
          <w:jc w:val="left"/>
          <w:tblInd w:w="1191" w:type="dxa"/>
          <w:tblLayout w:type="fixed"/>
          <w:tblCellMar>
            <w:top w:w="0" w:type="dxa"/>
            <w:left w:w="0" w:type="dxa"/>
            <w:bottom w:w="0" w:type="dxa"/>
            <w:right w:w="0" w:type="dxa"/>
          </w:tblCellMar>
          <w:tblLook w:val="01E0"/>
        </w:tblPrEx>
        <w:trPr>
          <w:trHeight w:val="910"/>
          <w:jc w:val="left"/>
        </w:trPr>
        <w:tc>
          <w:tcPr>
            <w:tcW w:w="432" w:type="dxa"/>
            <w:vMerge/>
            <w:tcBorders>
              <w:top w:val="nil"/>
              <w:right w:val="single" w:sz="4" w:space="0" w:color="000000"/>
            </w:tcBorders>
            <w:textDirection w:val="tbRl"/>
          </w:tcPr>
          <w:p>
            <w:pPr>
              <w:rPr>
                <w:sz w:val="2"/>
                <w:szCs w:val="2"/>
              </w:rPr>
            </w:pPr>
          </w:p>
        </w:tc>
        <w:tc>
          <w:tcPr>
            <w:tcW w:w="3043" w:type="dxa"/>
            <w:vMerge/>
            <w:tcBorders>
              <w:top w:val="nil"/>
              <w:left w:val="single" w:sz="4" w:space="0" w:color="000000"/>
              <w:right w:val="single" w:sz="4" w:space="0" w:color="000000"/>
            </w:tcBorders>
          </w:tcPr>
          <w:p>
            <w:pPr>
              <w:rPr>
                <w:sz w:val="2"/>
                <w:szCs w:val="2"/>
              </w:rPr>
            </w:pP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4"/>
              <w:rPr>
                <w:rFonts w:ascii="黑体"/>
                <w:sz w:val="26"/>
              </w:rPr>
            </w:pPr>
          </w:p>
          <w:p>
            <w:pPr>
              <w:pStyle w:val="TableParagraph"/>
              <w:ind w:left="132" w:right="104"/>
              <w:jc w:val="center"/>
              <w:rPr>
                <w:sz w:val="18"/>
              </w:rPr>
            </w:pPr>
            <w:r>
              <w:rPr>
                <w:sz w:val="18"/>
              </w:rPr>
              <w:t>11</w:t>
            </w:r>
          </w:p>
        </w:tc>
        <w:tc>
          <w:tcPr>
            <w:tcW w:w="2705" w:type="dxa"/>
            <w:tcBorders>
              <w:top w:val="single" w:sz="4" w:space="0" w:color="000000"/>
              <w:left w:val="single" w:sz="4" w:space="0" w:color="000000"/>
              <w:bottom w:val="single" w:sz="4" w:space="0" w:color="000000"/>
              <w:right w:val="single" w:sz="4" w:space="0" w:color="000000"/>
            </w:tcBorders>
          </w:tcPr>
          <w:p>
            <w:pPr>
              <w:pStyle w:val="TableParagraph"/>
              <w:spacing w:before="4"/>
              <w:rPr>
                <w:rFonts w:ascii="黑体"/>
                <w:sz w:val="26"/>
              </w:rPr>
            </w:pPr>
          </w:p>
          <w:p>
            <w:pPr>
              <w:pStyle w:val="TableParagraph"/>
              <w:ind w:left="79" w:right="53"/>
              <w:jc w:val="center"/>
              <w:rPr>
                <w:sz w:val="18"/>
              </w:rPr>
            </w:pPr>
            <w:r>
              <w:rPr>
                <w:sz w:val="18"/>
              </w:rPr>
              <w:t>服务项目的广泛性</w:t>
            </w:r>
          </w:p>
        </w:tc>
        <w:tc>
          <w:tcPr>
            <w:tcW w:w="2811" w:type="dxa"/>
            <w:tcBorders>
              <w:top w:val="single" w:sz="4" w:space="0" w:color="000000"/>
              <w:left w:val="single" w:sz="4" w:space="0" w:color="000000"/>
              <w:bottom w:val="single" w:sz="4" w:space="0" w:color="000000"/>
            </w:tcBorders>
          </w:tcPr>
          <w:p>
            <w:pPr>
              <w:pStyle w:val="TableParagraph"/>
              <w:spacing w:before="2"/>
              <w:rPr>
                <w:rFonts w:ascii="黑体"/>
                <w:sz w:val="14"/>
              </w:rPr>
            </w:pPr>
          </w:p>
          <w:p>
            <w:pPr>
              <w:pStyle w:val="TableParagraph"/>
              <w:spacing w:line="324" w:lineRule="auto"/>
              <w:ind w:left="117" w:right="151"/>
              <w:rPr>
                <w:sz w:val="18"/>
              </w:rPr>
            </w:pPr>
            <w:r>
              <w:rPr>
                <w:sz w:val="18"/>
              </w:rPr>
              <w:t>评价机构服务项目的广泛性对其服务水平的影响</w:t>
            </w:r>
          </w:p>
        </w:tc>
      </w:tr>
      <w:tr>
        <w:tblPrEx>
          <w:tblW w:w="0" w:type="auto"/>
          <w:jc w:val="left"/>
          <w:tblInd w:w="1191" w:type="dxa"/>
          <w:tblLayout w:type="fixed"/>
          <w:tblCellMar>
            <w:top w:w="0" w:type="dxa"/>
            <w:left w:w="0" w:type="dxa"/>
            <w:bottom w:w="0" w:type="dxa"/>
            <w:right w:w="0" w:type="dxa"/>
          </w:tblCellMar>
          <w:tblLook w:val="01E0"/>
        </w:tblPrEx>
        <w:trPr>
          <w:trHeight w:val="946"/>
          <w:jc w:val="left"/>
        </w:trPr>
        <w:tc>
          <w:tcPr>
            <w:tcW w:w="432" w:type="dxa"/>
            <w:vMerge/>
            <w:tcBorders>
              <w:top w:val="nil"/>
              <w:right w:val="single" w:sz="4" w:space="0" w:color="000000"/>
            </w:tcBorders>
            <w:textDirection w:val="tbRl"/>
          </w:tcPr>
          <w:p>
            <w:pPr>
              <w:rPr>
                <w:sz w:val="2"/>
                <w:szCs w:val="2"/>
              </w:rPr>
            </w:pPr>
          </w:p>
        </w:tc>
        <w:tc>
          <w:tcPr>
            <w:tcW w:w="3043" w:type="dxa"/>
            <w:vMerge/>
            <w:tcBorders>
              <w:top w:val="nil"/>
              <w:left w:val="single" w:sz="4" w:space="0" w:color="000000"/>
              <w:right w:val="single" w:sz="4" w:space="0" w:color="000000"/>
            </w:tcBorders>
          </w:tcPr>
          <w:p>
            <w:pPr>
              <w:rPr>
                <w:sz w:val="2"/>
                <w:szCs w:val="2"/>
              </w:rPr>
            </w:pPr>
          </w:p>
        </w:tc>
        <w:tc>
          <w:tcPr>
            <w:tcW w:w="648" w:type="dxa"/>
            <w:tcBorders>
              <w:top w:val="single" w:sz="4" w:space="0" w:color="000000"/>
              <w:left w:val="single" w:sz="4" w:space="0" w:color="000000"/>
              <w:right w:val="single" w:sz="4" w:space="0" w:color="000000"/>
            </w:tcBorders>
          </w:tcPr>
          <w:p>
            <w:pPr>
              <w:pStyle w:val="TableParagraph"/>
              <w:rPr>
                <w:rFonts w:ascii="黑体"/>
                <w:sz w:val="18"/>
              </w:rPr>
            </w:pPr>
          </w:p>
          <w:p>
            <w:pPr>
              <w:pStyle w:val="TableParagraph"/>
              <w:spacing w:before="131"/>
              <w:ind w:left="132" w:right="104"/>
              <w:jc w:val="center"/>
              <w:rPr>
                <w:sz w:val="18"/>
              </w:rPr>
            </w:pPr>
            <w:r>
              <w:rPr>
                <w:sz w:val="18"/>
              </w:rPr>
              <w:t>12</w:t>
            </w:r>
          </w:p>
        </w:tc>
        <w:tc>
          <w:tcPr>
            <w:tcW w:w="2705" w:type="dxa"/>
            <w:tcBorders>
              <w:top w:val="single" w:sz="4" w:space="0" w:color="000000"/>
              <w:left w:val="single" w:sz="4" w:space="0" w:color="000000"/>
              <w:right w:val="single" w:sz="4" w:space="0" w:color="000000"/>
            </w:tcBorders>
          </w:tcPr>
          <w:p>
            <w:pPr>
              <w:pStyle w:val="TableParagraph"/>
              <w:rPr>
                <w:rFonts w:ascii="黑体"/>
                <w:sz w:val="16"/>
              </w:rPr>
            </w:pPr>
          </w:p>
          <w:p>
            <w:pPr>
              <w:pStyle w:val="TableParagraph"/>
              <w:spacing w:line="324" w:lineRule="auto"/>
              <w:ind w:left="1000" w:right="162" w:hanging="809"/>
              <w:rPr>
                <w:sz w:val="18"/>
              </w:rPr>
            </w:pPr>
            <w:r>
              <w:rPr>
                <w:sz w:val="18"/>
              </w:rPr>
              <w:t>专项清洁服务项目占开展服务项目比例</w:t>
            </w:r>
          </w:p>
        </w:tc>
        <w:tc>
          <w:tcPr>
            <w:tcW w:w="2811" w:type="dxa"/>
            <w:tcBorders>
              <w:top w:val="single" w:sz="4" w:space="0" w:color="000000"/>
              <w:left w:val="single" w:sz="4" w:space="0" w:color="000000"/>
            </w:tcBorders>
          </w:tcPr>
          <w:p>
            <w:pPr>
              <w:pStyle w:val="TableParagraph"/>
              <w:spacing w:before="49" w:line="324" w:lineRule="auto"/>
              <w:ind w:left="117" w:right="151"/>
              <w:rPr>
                <w:sz w:val="18"/>
              </w:rPr>
            </w:pPr>
            <w:r>
              <w:rPr>
                <w:sz w:val="18"/>
              </w:rPr>
              <w:t>评价机构专项清洁服务服务项目比例对其服务水平科技含量的影</w:t>
            </w:r>
          </w:p>
          <w:p>
            <w:pPr>
              <w:pStyle w:val="TableParagraph"/>
              <w:spacing w:before="2"/>
              <w:ind w:left="117"/>
              <w:rPr>
                <w:sz w:val="18"/>
              </w:rPr>
            </w:pPr>
            <w:r>
              <w:rPr>
                <w:sz w:val="18"/>
              </w:rPr>
              <w:t>响</w:t>
            </w:r>
          </w:p>
        </w:tc>
      </w:tr>
    </w:tbl>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7"/>
        <w:rPr>
          <w:rFonts w:ascii="黑体"/>
          <w:sz w:val="27"/>
        </w:rPr>
      </w:pPr>
      <w:r>
        <w:pict>
          <v:shape id="_x0000_s1068" type="#_x0000_t202" style="width:5.5pt;height:9pt;margin-top:19.6pt;margin-left:524.04pt;mso-position-horizontal-relative:page;mso-wrap-distance-left:0;mso-wrap-distance-right:0;position:absolute;z-index:-251639808" filled="f" stroked="f">
            <v:textbox inset="0,0,0,0">
              <w:txbxContent>
                <w:p>
                  <w:pPr>
                    <w:spacing w:before="0" w:line="180" w:lineRule="exact"/>
                    <w:ind w:left="0" w:right="0" w:firstLine="0"/>
                    <w:jc w:val="left"/>
                    <w:rPr>
                      <w:sz w:val="18"/>
                    </w:rPr>
                  </w:pPr>
                  <w:r>
                    <w:rPr>
                      <w:sz w:val="18"/>
                    </w:rPr>
                    <w:t>5</w:t>
                  </w:r>
                </w:p>
              </w:txbxContent>
            </v:textbox>
            <w10:wrap type="topAndBottom"/>
          </v:shape>
        </w:pict>
      </w:r>
    </w:p>
    <w:p>
      <w:pPr>
        <w:spacing w:after="0"/>
        <w:rPr>
          <w:rFonts w:ascii="黑体"/>
          <w:sz w:val="27"/>
        </w:rPr>
        <w:sectPr>
          <w:headerReference w:type="even" r:id="rId33"/>
          <w:headerReference w:type="default" r:id="rId34"/>
          <w:footerReference w:type="default" r:id="rId35"/>
          <w:pgSz w:w="11910" w:h="16840"/>
          <w:pgMar w:top="1340" w:right="260" w:bottom="280" w:left="240" w:header="0" w:footer="0"/>
          <w:pgNumType w:start="21"/>
          <w:cols w:space="708"/>
        </w:sectPr>
      </w:pPr>
    </w:p>
    <w:p>
      <w:pPr>
        <w:pStyle w:val="BodyText"/>
        <w:rPr>
          <w:rFonts w:ascii="黑体"/>
          <w:sz w:val="16"/>
        </w:rPr>
      </w:pPr>
      <w:r>
        <w:drawing>
          <wp:anchor distT="0" distB="0" distL="0" distR="0" simplePos="0" relativeHeight="251677696"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tbl>
      <w:tblPr>
        <w:tblStyle w:val="TableNormal1"/>
        <w:tblW w:w="0" w:type="auto"/>
        <w:jc w:val="left"/>
        <w:tblInd w:w="76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58"/>
        <w:gridCol w:w="3055"/>
        <w:gridCol w:w="655"/>
        <w:gridCol w:w="2736"/>
        <w:gridCol w:w="2734"/>
      </w:tblGrid>
      <w:tr>
        <w:tblPrEx>
          <w:tblW w:w="0" w:type="auto"/>
          <w:jc w:val="left"/>
          <w:tblInd w:w="76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310"/>
          <w:jc w:val="left"/>
        </w:trPr>
        <w:tc>
          <w:tcPr>
            <w:tcW w:w="3513" w:type="dxa"/>
            <w:gridSpan w:val="2"/>
            <w:tcBorders>
              <w:right w:val="single" w:sz="6" w:space="0" w:color="000000"/>
            </w:tcBorders>
          </w:tcPr>
          <w:p>
            <w:pPr>
              <w:pStyle w:val="TableParagraph"/>
              <w:spacing w:before="37"/>
              <w:ind w:left="1036"/>
              <w:rPr>
                <w:sz w:val="18"/>
              </w:rPr>
            </w:pPr>
            <w:r>
              <w:rPr>
                <w:sz w:val="18"/>
              </w:rPr>
              <w:t>基本要素及其含义</w:t>
            </w:r>
          </w:p>
        </w:tc>
        <w:tc>
          <w:tcPr>
            <w:tcW w:w="655" w:type="dxa"/>
            <w:tcBorders>
              <w:left w:val="single" w:sz="6" w:space="0" w:color="000000"/>
              <w:right w:val="single" w:sz="6" w:space="0" w:color="000000"/>
            </w:tcBorders>
          </w:tcPr>
          <w:p>
            <w:pPr>
              <w:pStyle w:val="TableParagraph"/>
              <w:spacing w:before="37"/>
              <w:ind w:left="133" w:right="106"/>
              <w:jc w:val="center"/>
              <w:rPr>
                <w:sz w:val="18"/>
              </w:rPr>
            </w:pPr>
            <w:r>
              <w:rPr>
                <w:sz w:val="18"/>
              </w:rPr>
              <w:t>序号</w:t>
            </w:r>
          </w:p>
        </w:tc>
        <w:tc>
          <w:tcPr>
            <w:tcW w:w="5470" w:type="dxa"/>
            <w:gridSpan w:val="2"/>
            <w:tcBorders>
              <w:left w:val="single" w:sz="6" w:space="0" w:color="000000"/>
            </w:tcBorders>
          </w:tcPr>
          <w:p>
            <w:pPr>
              <w:pStyle w:val="TableParagraph"/>
              <w:spacing w:before="37"/>
              <w:ind w:left="2000" w:right="1966"/>
              <w:jc w:val="center"/>
              <w:rPr>
                <w:sz w:val="18"/>
              </w:rPr>
            </w:pPr>
            <w:r>
              <w:rPr>
                <w:sz w:val="18"/>
              </w:rPr>
              <w:t>评价因素及其含义</w:t>
            </w:r>
          </w:p>
        </w:tc>
      </w:tr>
      <w:tr>
        <w:tblPrEx>
          <w:tblW w:w="0" w:type="auto"/>
          <w:jc w:val="left"/>
          <w:tblInd w:w="766" w:type="dxa"/>
          <w:tblLayout w:type="fixed"/>
          <w:tblCellMar>
            <w:top w:w="0" w:type="dxa"/>
            <w:left w:w="0" w:type="dxa"/>
            <w:bottom w:w="0" w:type="dxa"/>
            <w:right w:w="0" w:type="dxa"/>
          </w:tblCellMar>
          <w:tblLook w:val="01E0"/>
        </w:tblPrEx>
        <w:trPr>
          <w:trHeight w:val="625"/>
          <w:jc w:val="left"/>
        </w:trPr>
        <w:tc>
          <w:tcPr>
            <w:tcW w:w="458" w:type="dxa"/>
            <w:vMerge w:val="restart"/>
            <w:tcBorders>
              <w:bottom w:val="single" w:sz="6" w:space="0" w:color="000000"/>
              <w:right w:val="single" w:sz="6" w:space="0" w:color="000000"/>
            </w:tcBorders>
            <w:textDirection w:val="tbRl"/>
          </w:tcPr>
          <w:p>
            <w:pPr>
              <w:pStyle w:val="TableParagraph"/>
              <w:spacing w:before="60"/>
              <w:ind w:left="890" w:right="890"/>
              <w:jc w:val="center"/>
              <w:rPr>
                <w:sz w:val="18"/>
              </w:rPr>
            </w:pPr>
            <w:r>
              <w:rPr>
                <w:sz w:val="18"/>
              </w:rPr>
              <w:t>规章制度</w:t>
            </w:r>
          </w:p>
        </w:tc>
        <w:tc>
          <w:tcPr>
            <w:tcW w:w="3055" w:type="dxa"/>
            <w:vMerge w:val="restart"/>
            <w:tcBorders>
              <w:left w:val="single" w:sz="6" w:space="0" w:color="000000"/>
              <w:bottom w:val="single" w:sz="6" w:space="0" w:color="000000"/>
              <w:right w:val="single" w:sz="6" w:space="0" w:color="000000"/>
            </w:tcBorders>
          </w:tcPr>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spacing w:before="150" w:line="324" w:lineRule="auto"/>
              <w:ind w:left="117" w:right="81"/>
              <w:rPr>
                <w:sz w:val="18"/>
              </w:rPr>
            </w:pPr>
            <w:r>
              <w:rPr>
                <w:sz w:val="18"/>
              </w:rPr>
              <w:t>从规章制度的完善程度来反映清洁</w:t>
            </w:r>
            <w:r>
              <w:rPr>
                <w:spacing w:val="-6"/>
                <w:sz w:val="18"/>
              </w:rPr>
              <w:t>服务机构在自身建设、机构文化及规</w:t>
            </w:r>
            <w:r>
              <w:rPr>
                <w:sz w:val="18"/>
              </w:rPr>
              <w:t>范服务行为、守法经营的情况</w:t>
            </w:r>
          </w:p>
        </w:tc>
        <w:tc>
          <w:tcPr>
            <w:tcW w:w="655" w:type="dxa"/>
            <w:tcBorders>
              <w:left w:val="single" w:sz="6" w:space="0" w:color="000000"/>
              <w:bottom w:val="single" w:sz="6" w:space="0" w:color="000000"/>
              <w:right w:val="single" w:sz="6" w:space="0" w:color="000000"/>
            </w:tcBorders>
          </w:tcPr>
          <w:p>
            <w:pPr>
              <w:pStyle w:val="TableParagraph"/>
              <w:spacing w:before="3"/>
              <w:rPr>
                <w:rFonts w:ascii="黑体"/>
                <w:sz w:val="15"/>
              </w:rPr>
            </w:pPr>
          </w:p>
          <w:p>
            <w:pPr>
              <w:pStyle w:val="TableParagraph"/>
              <w:spacing w:before="1"/>
              <w:ind w:left="133" w:right="102"/>
              <w:jc w:val="center"/>
              <w:rPr>
                <w:sz w:val="18"/>
              </w:rPr>
            </w:pPr>
            <w:r>
              <w:rPr>
                <w:sz w:val="18"/>
              </w:rPr>
              <w:t>13</w:t>
            </w:r>
          </w:p>
        </w:tc>
        <w:tc>
          <w:tcPr>
            <w:tcW w:w="2736" w:type="dxa"/>
            <w:tcBorders>
              <w:left w:val="single" w:sz="6" w:space="0" w:color="000000"/>
              <w:bottom w:val="single" w:sz="6" w:space="0" w:color="000000"/>
              <w:right w:val="single" w:sz="6" w:space="0" w:color="000000"/>
            </w:tcBorders>
          </w:tcPr>
          <w:p>
            <w:pPr>
              <w:pStyle w:val="TableParagraph"/>
              <w:spacing w:before="3"/>
              <w:rPr>
                <w:rFonts w:ascii="黑体"/>
                <w:sz w:val="15"/>
              </w:rPr>
            </w:pPr>
          </w:p>
          <w:p>
            <w:pPr>
              <w:pStyle w:val="TableParagraph"/>
              <w:spacing w:before="1"/>
              <w:ind w:left="544" w:right="514"/>
              <w:jc w:val="center"/>
              <w:rPr>
                <w:sz w:val="18"/>
              </w:rPr>
            </w:pPr>
            <w:r>
              <w:rPr>
                <w:sz w:val="18"/>
              </w:rPr>
              <w:t>员工手册</w:t>
            </w:r>
          </w:p>
        </w:tc>
        <w:tc>
          <w:tcPr>
            <w:tcW w:w="2734" w:type="dxa"/>
            <w:tcBorders>
              <w:left w:val="single" w:sz="6" w:space="0" w:color="000000"/>
              <w:bottom w:val="single" w:sz="6" w:space="0" w:color="000000"/>
            </w:tcBorders>
          </w:tcPr>
          <w:p>
            <w:pPr>
              <w:pStyle w:val="TableParagraph"/>
              <w:spacing w:before="40"/>
              <w:ind w:left="115"/>
              <w:rPr>
                <w:sz w:val="18"/>
              </w:rPr>
            </w:pPr>
            <w:r>
              <w:rPr>
                <w:sz w:val="18"/>
              </w:rPr>
              <w:t>评价机构员工手册对其规范性</w:t>
            </w:r>
          </w:p>
          <w:p>
            <w:pPr>
              <w:pStyle w:val="TableParagraph"/>
              <w:spacing w:before="81"/>
              <w:ind w:left="115"/>
              <w:rPr>
                <w:sz w:val="18"/>
              </w:rPr>
            </w:pPr>
            <w:r>
              <w:rPr>
                <w:sz w:val="18"/>
              </w:rPr>
              <w:t>服务行为的影响</w:t>
            </w:r>
          </w:p>
        </w:tc>
      </w:tr>
      <w:tr>
        <w:tblPrEx>
          <w:tblW w:w="0" w:type="auto"/>
          <w:jc w:val="left"/>
          <w:tblInd w:w="766" w:type="dxa"/>
          <w:tblLayout w:type="fixed"/>
          <w:tblCellMar>
            <w:top w:w="0" w:type="dxa"/>
            <w:left w:w="0" w:type="dxa"/>
            <w:bottom w:w="0" w:type="dxa"/>
            <w:right w:w="0" w:type="dxa"/>
          </w:tblCellMar>
          <w:tblLook w:val="01E0"/>
        </w:tblPrEx>
        <w:trPr>
          <w:trHeight w:val="623"/>
          <w:jc w:val="left"/>
        </w:trPr>
        <w:tc>
          <w:tcPr>
            <w:tcW w:w="458" w:type="dxa"/>
            <w:vMerge/>
            <w:tcBorders>
              <w:top w:val="nil"/>
              <w:bottom w:val="single" w:sz="6" w:space="0" w:color="000000"/>
              <w:right w:val="single" w:sz="6" w:space="0" w:color="000000"/>
            </w:tcBorders>
            <w:textDirection w:val="tbRl"/>
          </w:tcPr>
          <w:p>
            <w:pPr>
              <w:rPr>
                <w:sz w:val="2"/>
                <w:szCs w:val="2"/>
              </w:rPr>
            </w:pPr>
          </w:p>
        </w:tc>
        <w:tc>
          <w:tcPr>
            <w:tcW w:w="3055" w:type="dxa"/>
            <w:vMerge/>
            <w:tcBorders>
              <w:top w:val="nil"/>
              <w:left w:val="single" w:sz="6" w:space="0" w:color="000000"/>
              <w:bottom w:val="single" w:sz="6" w:space="0" w:color="000000"/>
              <w:right w:val="single" w:sz="6" w:space="0" w:color="000000"/>
            </w:tcBorders>
          </w:tcPr>
          <w:p>
            <w:pPr>
              <w:rPr>
                <w:sz w:val="2"/>
                <w:szCs w:val="2"/>
              </w:rPr>
            </w:pPr>
          </w:p>
        </w:tc>
        <w:tc>
          <w:tcPr>
            <w:tcW w:w="655" w:type="dxa"/>
            <w:tcBorders>
              <w:top w:val="single" w:sz="6" w:space="0" w:color="000000"/>
              <w:left w:val="single" w:sz="6" w:space="0" w:color="000000"/>
              <w:bottom w:val="single" w:sz="6" w:space="0" w:color="000000"/>
              <w:right w:val="single" w:sz="6" w:space="0" w:color="000000"/>
            </w:tcBorders>
          </w:tcPr>
          <w:p>
            <w:pPr>
              <w:pStyle w:val="TableParagraph"/>
              <w:spacing w:before="1"/>
              <w:rPr>
                <w:rFonts w:ascii="黑体"/>
                <w:sz w:val="15"/>
              </w:rPr>
            </w:pPr>
          </w:p>
          <w:p>
            <w:pPr>
              <w:pStyle w:val="TableParagraph"/>
              <w:spacing w:before="1"/>
              <w:ind w:left="133" w:right="102"/>
              <w:jc w:val="center"/>
              <w:rPr>
                <w:sz w:val="18"/>
              </w:rPr>
            </w:pPr>
            <w:r>
              <w:rPr>
                <w:sz w:val="18"/>
              </w:rPr>
              <w:t>14</w:t>
            </w:r>
          </w:p>
        </w:tc>
        <w:tc>
          <w:tcPr>
            <w:tcW w:w="2736" w:type="dxa"/>
            <w:tcBorders>
              <w:top w:val="single" w:sz="6" w:space="0" w:color="000000"/>
              <w:left w:val="single" w:sz="6" w:space="0" w:color="000000"/>
              <w:bottom w:val="single" w:sz="6" w:space="0" w:color="000000"/>
              <w:right w:val="single" w:sz="6" w:space="0" w:color="000000"/>
            </w:tcBorders>
          </w:tcPr>
          <w:p>
            <w:pPr>
              <w:pStyle w:val="TableParagraph"/>
              <w:spacing w:before="1"/>
              <w:rPr>
                <w:rFonts w:ascii="黑体"/>
                <w:sz w:val="15"/>
              </w:rPr>
            </w:pPr>
          </w:p>
          <w:p>
            <w:pPr>
              <w:pStyle w:val="TableParagraph"/>
              <w:spacing w:before="1"/>
              <w:ind w:left="544" w:right="517"/>
              <w:jc w:val="center"/>
              <w:rPr>
                <w:sz w:val="18"/>
              </w:rPr>
            </w:pPr>
            <w:r>
              <w:rPr>
                <w:sz w:val="18"/>
              </w:rPr>
              <w:t>岗位说明书</w:t>
            </w:r>
          </w:p>
        </w:tc>
        <w:tc>
          <w:tcPr>
            <w:tcW w:w="2734" w:type="dxa"/>
            <w:tcBorders>
              <w:top w:val="single" w:sz="6" w:space="0" w:color="000000"/>
              <w:left w:val="single" w:sz="6" w:space="0" w:color="000000"/>
              <w:bottom w:val="single" w:sz="6" w:space="0" w:color="000000"/>
            </w:tcBorders>
          </w:tcPr>
          <w:p>
            <w:pPr>
              <w:pStyle w:val="TableParagraph"/>
              <w:spacing w:before="38"/>
              <w:ind w:left="115"/>
              <w:rPr>
                <w:sz w:val="18"/>
              </w:rPr>
            </w:pPr>
            <w:r>
              <w:rPr>
                <w:sz w:val="18"/>
              </w:rPr>
              <w:t>评价机构岗位说明书对其有效、</w:t>
            </w:r>
          </w:p>
          <w:p>
            <w:pPr>
              <w:pStyle w:val="TableParagraph"/>
              <w:spacing w:before="81"/>
              <w:ind w:left="115"/>
              <w:rPr>
                <w:sz w:val="18"/>
              </w:rPr>
            </w:pPr>
            <w:r>
              <w:rPr>
                <w:sz w:val="18"/>
              </w:rPr>
              <w:t>快捷服务的影响</w:t>
            </w:r>
          </w:p>
        </w:tc>
      </w:tr>
      <w:tr>
        <w:tblPrEx>
          <w:tblW w:w="0" w:type="auto"/>
          <w:jc w:val="left"/>
          <w:tblInd w:w="766" w:type="dxa"/>
          <w:tblLayout w:type="fixed"/>
          <w:tblCellMar>
            <w:top w:w="0" w:type="dxa"/>
            <w:left w:w="0" w:type="dxa"/>
            <w:bottom w:w="0" w:type="dxa"/>
            <w:right w:w="0" w:type="dxa"/>
          </w:tblCellMar>
          <w:tblLook w:val="01E0"/>
        </w:tblPrEx>
        <w:trPr>
          <w:trHeight w:val="623"/>
          <w:jc w:val="left"/>
        </w:trPr>
        <w:tc>
          <w:tcPr>
            <w:tcW w:w="458" w:type="dxa"/>
            <w:vMerge/>
            <w:tcBorders>
              <w:top w:val="nil"/>
              <w:bottom w:val="single" w:sz="6" w:space="0" w:color="000000"/>
              <w:right w:val="single" w:sz="6" w:space="0" w:color="000000"/>
            </w:tcBorders>
            <w:textDirection w:val="tbRl"/>
          </w:tcPr>
          <w:p>
            <w:pPr>
              <w:rPr>
                <w:sz w:val="2"/>
                <w:szCs w:val="2"/>
              </w:rPr>
            </w:pPr>
          </w:p>
        </w:tc>
        <w:tc>
          <w:tcPr>
            <w:tcW w:w="3055" w:type="dxa"/>
            <w:vMerge/>
            <w:tcBorders>
              <w:top w:val="nil"/>
              <w:left w:val="single" w:sz="6" w:space="0" w:color="000000"/>
              <w:bottom w:val="single" w:sz="6" w:space="0" w:color="000000"/>
              <w:right w:val="single" w:sz="6" w:space="0" w:color="000000"/>
            </w:tcBorders>
          </w:tcPr>
          <w:p>
            <w:pPr>
              <w:rPr>
                <w:sz w:val="2"/>
                <w:szCs w:val="2"/>
              </w:rPr>
            </w:pPr>
          </w:p>
        </w:tc>
        <w:tc>
          <w:tcPr>
            <w:tcW w:w="655" w:type="dxa"/>
            <w:tcBorders>
              <w:top w:val="single" w:sz="6" w:space="0" w:color="000000"/>
              <w:left w:val="single" w:sz="6" w:space="0" w:color="000000"/>
              <w:bottom w:val="single" w:sz="6" w:space="0" w:color="000000"/>
              <w:right w:val="single" w:sz="6" w:space="0" w:color="000000"/>
            </w:tcBorders>
          </w:tcPr>
          <w:p>
            <w:pPr>
              <w:pStyle w:val="TableParagraph"/>
              <w:spacing w:before="1"/>
              <w:rPr>
                <w:rFonts w:ascii="黑体"/>
                <w:sz w:val="15"/>
              </w:rPr>
            </w:pPr>
          </w:p>
          <w:p>
            <w:pPr>
              <w:pStyle w:val="TableParagraph"/>
              <w:spacing w:before="1"/>
              <w:ind w:left="133" w:right="102"/>
              <w:jc w:val="center"/>
              <w:rPr>
                <w:sz w:val="18"/>
              </w:rPr>
            </w:pPr>
            <w:r>
              <w:rPr>
                <w:sz w:val="18"/>
              </w:rPr>
              <w:t>15</w:t>
            </w:r>
          </w:p>
        </w:tc>
        <w:tc>
          <w:tcPr>
            <w:tcW w:w="2736" w:type="dxa"/>
            <w:tcBorders>
              <w:top w:val="single" w:sz="6" w:space="0" w:color="000000"/>
              <w:left w:val="single" w:sz="6" w:space="0" w:color="000000"/>
              <w:bottom w:val="single" w:sz="6" w:space="0" w:color="000000"/>
              <w:right w:val="single" w:sz="6" w:space="0" w:color="000000"/>
            </w:tcBorders>
          </w:tcPr>
          <w:p>
            <w:pPr>
              <w:pStyle w:val="TableParagraph"/>
              <w:spacing w:before="1"/>
              <w:rPr>
                <w:rFonts w:ascii="黑体"/>
                <w:sz w:val="15"/>
              </w:rPr>
            </w:pPr>
          </w:p>
          <w:p>
            <w:pPr>
              <w:pStyle w:val="TableParagraph"/>
              <w:spacing w:before="1"/>
              <w:ind w:left="544" w:right="514"/>
              <w:jc w:val="center"/>
              <w:rPr>
                <w:sz w:val="18"/>
              </w:rPr>
            </w:pPr>
            <w:r>
              <w:rPr>
                <w:sz w:val="18"/>
              </w:rPr>
              <w:t>各项规章制度</w:t>
            </w:r>
          </w:p>
        </w:tc>
        <w:tc>
          <w:tcPr>
            <w:tcW w:w="2734" w:type="dxa"/>
            <w:tcBorders>
              <w:top w:val="single" w:sz="6" w:space="0" w:color="000000"/>
              <w:left w:val="single" w:sz="6" w:space="0" w:color="000000"/>
              <w:bottom w:val="single" w:sz="6" w:space="0" w:color="000000"/>
            </w:tcBorders>
          </w:tcPr>
          <w:p>
            <w:pPr>
              <w:pStyle w:val="TableParagraph"/>
              <w:spacing w:before="38"/>
              <w:ind w:left="115"/>
              <w:rPr>
                <w:sz w:val="18"/>
              </w:rPr>
            </w:pPr>
            <w:r>
              <w:rPr>
                <w:sz w:val="18"/>
              </w:rPr>
              <w:t>评价机构各项规章制度对其自</w:t>
            </w:r>
          </w:p>
          <w:p>
            <w:pPr>
              <w:pStyle w:val="TableParagraph"/>
              <w:spacing w:before="81"/>
              <w:ind w:left="115"/>
              <w:rPr>
                <w:sz w:val="18"/>
              </w:rPr>
            </w:pPr>
            <w:r>
              <w:rPr>
                <w:sz w:val="18"/>
              </w:rPr>
              <w:t>我约束行为情况的程度</w:t>
            </w:r>
          </w:p>
        </w:tc>
      </w:tr>
      <w:tr>
        <w:tblPrEx>
          <w:tblW w:w="0" w:type="auto"/>
          <w:jc w:val="left"/>
          <w:tblInd w:w="766" w:type="dxa"/>
          <w:tblLayout w:type="fixed"/>
          <w:tblCellMar>
            <w:top w:w="0" w:type="dxa"/>
            <w:left w:w="0" w:type="dxa"/>
            <w:bottom w:w="0" w:type="dxa"/>
            <w:right w:w="0" w:type="dxa"/>
          </w:tblCellMar>
          <w:tblLook w:val="01E0"/>
        </w:tblPrEx>
        <w:trPr>
          <w:trHeight w:val="625"/>
          <w:jc w:val="left"/>
        </w:trPr>
        <w:tc>
          <w:tcPr>
            <w:tcW w:w="458" w:type="dxa"/>
            <w:vMerge/>
            <w:tcBorders>
              <w:top w:val="nil"/>
              <w:bottom w:val="single" w:sz="6" w:space="0" w:color="000000"/>
              <w:right w:val="single" w:sz="6" w:space="0" w:color="000000"/>
            </w:tcBorders>
            <w:textDirection w:val="tbRl"/>
          </w:tcPr>
          <w:p>
            <w:pPr>
              <w:rPr>
                <w:sz w:val="2"/>
                <w:szCs w:val="2"/>
              </w:rPr>
            </w:pPr>
          </w:p>
        </w:tc>
        <w:tc>
          <w:tcPr>
            <w:tcW w:w="3055" w:type="dxa"/>
            <w:vMerge/>
            <w:tcBorders>
              <w:top w:val="nil"/>
              <w:left w:val="single" w:sz="6" w:space="0" w:color="000000"/>
              <w:bottom w:val="single" w:sz="6" w:space="0" w:color="000000"/>
              <w:right w:val="single" w:sz="6" w:space="0" w:color="000000"/>
            </w:tcBorders>
          </w:tcPr>
          <w:p>
            <w:pPr>
              <w:rPr>
                <w:sz w:val="2"/>
                <w:szCs w:val="2"/>
              </w:rPr>
            </w:pPr>
          </w:p>
        </w:tc>
        <w:tc>
          <w:tcPr>
            <w:tcW w:w="655" w:type="dxa"/>
            <w:tcBorders>
              <w:top w:val="single" w:sz="6" w:space="0" w:color="000000"/>
              <w:left w:val="single" w:sz="6" w:space="0" w:color="000000"/>
              <w:bottom w:val="single" w:sz="6" w:space="0" w:color="000000"/>
              <w:right w:val="single" w:sz="6" w:space="0" w:color="000000"/>
            </w:tcBorders>
          </w:tcPr>
          <w:p>
            <w:pPr>
              <w:pStyle w:val="TableParagraph"/>
              <w:spacing w:before="4"/>
              <w:rPr>
                <w:rFonts w:ascii="黑体"/>
                <w:sz w:val="15"/>
              </w:rPr>
            </w:pPr>
          </w:p>
          <w:p>
            <w:pPr>
              <w:pStyle w:val="TableParagraph"/>
              <w:ind w:left="133" w:right="102"/>
              <w:jc w:val="center"/>
              <w:rPr>
                <w:sz w:val="18"/>
              </w:rPr>
            </w:pPr>
            <w:r>
              <w:rPr>
                <w:sz w:val="18"/>
              </w:rPr>
              <w:t>16</w:t>
            </w:r>
          </w:p>
        </w:tc>
        <w:tc>
          <w:tcPr>
            <w:tcW w:w="2736" w:type="dxa"/>
            <w:tcBorders>
              <w:top w:val="single" w:sz="6" w:space="0" w:color="000000"/>
              <w:left w:val="single" w:sz="6" w:space="0" w:color="000000"/>
              <w:bottom w:val="single" w:sz="6" w:space="0" w:color="000000"/>
              <w:right w:val="single" w:sz="6" w:space="0" w:color="000000"/>
            </w:tcBorders>
          </w:tcPr>
          <w:p>
            <w:pPr>
              <w:pStyle w:val="TableParagraph"/>
              <w:spacing w:before="4"/>
              <w:rPr>
                <w:rFonts w:ascii="黑体"/>
                <w:sz w:val="15"/>
              </w:rPr>
            </w:pPr>
          </w:p>
          <w:p>
            <w:pPr>
              <w:pStyle w:val="TableParagraph"/>
              <w:ind w:left="544" w:right="514"/>
              <w:jc w:val="center"/>
              <w:rPr>
                <w:sz w:val="18"/>
              </w:rPr>
            </w:pPr>
            <w:r>
              <w:rPr>
                <w:sz w:val="18"/>
              </w:rPr>
              <w:t>遵纪守法</w:t>
            </w:r>
          </w:p>
        </w:tc>
        <w:tc>
          <w:tcPr>
            <w:tcW w:w="2734" w:type="dxa"/>
            <w:tcBorders>
              <w:top w:val="single" w:sz="6" w:space="0" w:color="000000"/>
              <w:left w:val="single" w:sz="6" w:space="0" w:color="000000"/>
              <w:bottom w:val="single" w:sz="6" w:space="0" w:color="000000"/>
            </w:tcBorders>
          </w:tcPr>
          <w:p>
            <w:pPr>
              <w:pStyle w:val="TableParagraph"/>
              <w:spacing w:before="40"/>
              <w:ind w:left="115"/>
              <w:rPr>
                <w:sz w:val="18"/>
              </w:rPr>
            </w:pPr>
            <w:r>
              <w:rPr>
                <w:sz w:val="18"/>
              </w:rPr>
              <w:t>评价机构遵纪守法的情况对其</w:t>
            </w:r>
          </w:p>
          <w:p>
            <w:pPr>
              <w:pStyle w:val="TableParagraph"/>
              <w:spacing w:before="81"/>
              <w:ind w:left="115"/>
              <w:rPr>
                <w:sz w:val="18"/>
              </w:rPr>
            </w:pPr>
            <w:r>
              <w:rPr>
                <w:sz w:val="18"/>
              </w:rPr>
              <w:t>守法经营的影响</w:t>
            </w:r>
          </w:p>
        </w:tc>
      </w:tr>
      <w:tr>
        <w:tblPrEx>
          <w:tblW w:w="0" w:type="auto"/>
          <w:jc w:val="left"/>
          <w:tblInd w:w="766" w:type="dxa"/>
          <w:tblLayout w:type="fixed"/>
          <w:tblCellMar>
            <w:top w:w="0" w:type="dxa"/>
            <w:left w:w="0" w:type="dxa"/>
            <w:bottom w:w="0" w:type="dxa"/>
            <w:right w:w="0" w:type="dxa"/>
          </w:tblCellMar>
          <w:tblLook w:val="01E0"/>
        </w:tblPrEx>
        <w:trPr>
          <w:trHeight w:val="623"/>
          <w:jc w:val="left"/>
        </w:trPr>
        <w:tc>
          <w:tcPr>
            <w:tcW w:w="458" w:type="dxa"/>
            <w:vMerge w:val="restart"/>
            <w:tcBorders>
              <w:top w:val="single" w:sz="6" w:space="0" w:color="000000"/>
              <w:bottom w:val="single" w:sz="6" w:space="0" w:color="000000"/>
              <w:right w:val="single" w:sz="6" w:space="0" w:color="000000"/>
            </w:tcBorders>
            <w:textDirection w:val="tbRl"/>
          </w:tcPr>
          <w:p>
            <w:pPr>
              <w:pStyle w:val="TableParagraph"/>
              <w:spacing w:before="60"/>
              <w:ind w:left="441"/>
              <w:rPr>
                <w:sz w:val="18"/>
              </w:rPr>
            </w:pPr>
            <w:r>
              <w:rPr>
                <w:sz w:val="18"/>
              </w:rPr>
              <w:t>项目现场管理</w:t>
            </w:r>
          </w:p>
        </w:tc>
        <w:tc>
          <w:tcPr>
            <w:tcW w:w="3055" w:type="dxa"/>
            <w:vMerge w:val="restart"/>
            <w:tcBorders>
              <w:top w:val="single" w:sz="6" w:space="0" w:color="000000"/>
              <w:left w:val="single" w:sz="6" w:space="0" w:color="000000"/>
              <w:bottom w:val="single" w:sz="6" w:space="0" w:color="000000"/>
              <w:right w:val="single" w:sz="6" w:space="0" w:color="000000"/>
            </w:tcBorders>
          </w:tcPr>
          <w:p>
            <w:pPr>
              <w:pStyle w:val="TableParagraph"/>
              <w:rPr>
                <w:rFonts w:ascii="黑体"/>
                <w:sz w:val="18"/>
              </w:rPr>
            </w:pPr>
          </w:p>
          <w:p>
            <w:pPr>
              <w:pStyle w:val="TableParagraph"/>
              <w:rPr>
                <w:rFonts w:ascii="黑体"/>
                <w:sz w:val="25"/>
              </w:rPr>
            </w:pPr>
          </w:p>
          <w:p>
            <w:pPr>
              <w:pStyle w:val="TableParagraph"/>
              <w:spacing w:line="324" w:lineRule="auto"/>
              <w:ind w:left="117" w:right="83"/>
              <w:rPr>
                <w:sz w:val="18"/>
              </w:rPr>
            </w:pPr>
            <w:r>
              <w:rPr>
                <w:sz w:val="18"/>
              </w:rPr>
              <w:t>从现场管理的完善程度来反映清洁</w:t>
            </w:r>
            <w:r>
              <w:rPr>
                <w:spacing w:val="-6"/>
                <w:sz w:val="18"/>
              </w:rPr>
              <w:t>服务机构在规范服务、质量控制、客</w:t>
            </w:r>
            <w:r>
              <w:rPr>
                <w:sz w:val="18"/>
              </w:rPr>
              <w:t>户满意度反馈的情况</w:t>
            </w:r>
          </w:p>
        </w:tc>
        <w:tc>
          <w:tcPr>
            <w:tcW w:w="655" w:type="dxa"/>
            <w:tcBorders>
              <w:top w:val="single" w:sz="6" w:space="0" w:color="000000"/>
              <w:left w:val="single" w:sz="6" w:space="0" w:color="000000"/>
              <w:bottom w:val="single" w:sz="6" w:space="0" w:color="000000"/>
              <w:right w:val="single" w:sz="6" w:space="0" w:color="000000"/>
            </w:tcBorders>
          </w:tcPr>
          <w:p>
            <w:pPr>
              <w:pStyle w:val="TableParagraph"/>
              <w:spacing w:before="1"/>
              <w:rPr>
                <w:rFonts w:ascii="黑体"/>
                <w:sz w:val="15"/>
              </w:rPr>
            </w:pPr>
          </w:p>
          <w:p>
            <w:pPr>
              <w:pStyle w:val="TableParagraph"/>
              <w:spacing w:before="1"/>
              <w:ind w:left="133" w:right="102"/>
              <w:jc w:val="center"/>
              <w:rPr>
                <w:sz w:val="18"/>
              </w:rPr>
            </w:pPr>
            <w:r>
              <w:rPr>
                <w:sz w:val="18"/>
              </w:rPr>
              <w:t>17</w:t>
            </w:r>
          </w:p>
        </w:tc>
        <w:tc>
          <w:tcPr>
            <w:tcW w:w="2736" w:type="dxa"/>
            <w:tcBorders>
              <w:top w:val="single" w:sz="6" w:space="0" w:color="000000"/>
              <w:left w:val="single" w:sz="6" w:space="0" w:color="000000"/>
              <w:bottom w:val="single" w:sz="6" w:space="0" w:color="000000"/>
              <w:right w:val="single" w:sz="6" w:space="0" w:color="000000"/>
            </w:tcBorders>
          </w:tcPr>
          <w:p>
            <w:pPr>
              <w:pStyle w:val="TableParagraph"/>
              <w:spacing w:before="1"/>
              <w:rPr>
                <w:rFonts w:ascii="黑体"/>
                <w:sz w:val="15"/>
              </w:rPr>
            </w:pPr>
          </w:p>
          <w:p>
            <w:pPr>
              <w:pStyle w:val="TableParagraph"/>
              <w:spacing w:before="1"/>
              <w:ind w:left="544" w:right="514"/>
              <w:jc w:val="center"/>
              <w:rPr>
                <w:sz w:val="18"/>
              </w:rPr>
            </w:pPr>
            <w:r>
              <w:rPr>
                <w:sz w:val="18"/>
              </w:rPr>
              <w:t>执行合同</w:t>
            </w:r>
          </w:p>
        </w:tc>
        <w:tc>
          <w:tcPr>
            <w:tcW w:w="2734" w:type="dxa"/>
            <w:tcBorders>
              <w:top w:val="single" w:sz="6" w:space="0" w:color="000000"/>
              <w:left w:val="single" w:sz="6" w:space="0" w:color="000000"/>
              <w:bottom w:val="single" w:sz="6" w:space="0" w:color="000000"/>
            </w:tcBorders>
          </w:tcPr>
          <w:p>
            <w:pPr>
              <w:pStyle w:val="TableParagraph"/>
              <w:spacing w:before="38"/>
              <w:ind w:left="115"/>
              <w:rPr>
                <w:sz w:val="18"/>
              </w:rPr>
            </w:pPr>
            <w:r>
              <w:rPr>
                <w:sz w:val="18"/>
              </w:rPr>
              <w:t>评价机构合同执行的情况对其</w:t>
            </w:r>
          </w:p>
          <w:p>
            <w:pPr>
              <w:pStyle w:val="TableParagraph"/>
              <w:spacing w:before="81"/>
              <w:ind w:left="115"/>
              <w:rPr>
                <w:sz w:val="18"/>
              </w:rPr>
            </w:pPr>
            <w:r>
              <w:rPr>
                <w:sz w:val="18"/>
              </w:rPr>
              <w:t>服务对象需求的影响</w:t>
            </w:r>
          </w:p>
        </w:tc>
      </w:tr>
      <w:tr>
        <w:tblPrEx>
          <w:tblW w:w="0" w:type="auto"/>
          <w:jc w:val="left"/>
          <w:tblInd w:w="766" w:type="dxa"/>
          <w:tblLayout w:type="fixed"/>
          <w:tblCellMar>
            <w:top w:w="0" w:type="dxa"/>
            <w:left w:w="0" w:type="dxa"/>
            <w:bottom w:w="0" w:type="dxa"/>
            <w:right w:w="0" w:type="dxa"/>
          </w:tblCellMar>
          <w:tblLook w:val="01E0"/>
        </w:tblPrEx>
        <w:trPr>
          <w:trHeight w:val="685"/>
          <w:jc w:val="left"/>
        </w:trPr>
        <w:tc>
          <w:tcPr>
            <w:tcW w:w="458" w:type="dxa"/>
            <w:vMerge/>
            <w:tcBorders>
              <w:top w:val="nil"/>
              <w:bottom w:val="single" w:sz="6" w:space="0" w:color="000000"/>
              <w:right w:val="single" w:sz="6" w:space="0" w:color="000000"/>
            </w:tcBorders>
            <w:textDirection w:val="tbRl"/>
          </w:tcPr>
          <w:p>
            <w:pPr>
              <w:rPr>
                <w:sz w:val="2"/>
                <w:szCs w:val="2"/>
              </w:rPr>
            </w:pPr>
          </w:p>
        </w:tc>
        <w:tc>
          <w:tcPr>
            <w:tcW w:w="3055" w:type="dxa"/>
            <w:vMerge/>
            <w:tcBorders>
              <w:top w:val="nil"/>
              <w:left w:val="single" w:sz="6" w:space="0" w:color="000000"/>
              <w:bottom w:val="single" w:sz="6" w:space="0" w:color="000000"/>
              <w:right w:val="single" w:sz="6" w:space="0" w:color="000000"/>
            </w:tcBorders>
          </w:tcPr>
          <w:p>
            <w:pPr>
              <w:rPr>
                <w:sz w:val="2"/>
                <w:szCs w:val="2"/>
              </w:rPr>
            </w:pPr>
          </w:p>
        </w:tc>
        <w:tc>
          <w:tcPr>
            <w:tcW w:w="655" w:type="dxa"/>
            <w:tcBorders>
              <w:top w:val="single" w:sz="6" w:space="0" w:color="000000"/>
              <w:left w:val="single" w:sz="6" w:space="0" w:color="000000"/>
              <w:bottom w:val="single" w:sz="6" w:space="0" w:color="000000"/>
              <w:right w:val="single" w:sz="6" w:space="0" w:color="000000"/>
            </w:tcBorders>
          </w:tcPr>
          <w:p>
            <w:pPr>
              <w:pStyle w:val="TableParagraph"/>
              <w:spacing w:before="7"/>
              <w:rPr>
                <w:rFonts w:ascii="黑体"/>
                <w:sz w:val="17"/>
              </w:rPr>
            </w:pPr>
          </w:p>
          <w:p>
            <w:pPr>
              <w:pStyle w:val="TableParagraph"/>
              <w:ind w:left="133" w:right="101"/>
              <w:jc w:val="center"/>
              <w:rPr>
                <w:sz w:val="18"/>
              </w:rPr>
            </w:pPr>
            <w:r>
              <w:rPr>
                <w:sz w:val="18"/>
              </w:rPr>
              <w:t>18</w:t>
            </w:r>
          </w:p>
        </w:tc>
        <w:tc>
          <w:tcPr>
            <w:tcW w:w="2736" w:type="dxa"/>
            <w:tcBorders>
              <w:top w:val="single" w:sz="6" w:space="0" w:color="000000"/>
              <w:left w:val="single" w:sz="6" w:space="0" w:color="000000"/>
              <w:bottom w:val="single" w:sz="6" w:space="0" w:color="000000"/>
              <w:right w:val="single" w:sz="6" w:space="0" w:color="000000"/>
            </w:tcBorders>
          </w:tcPr>
          <w:p>
            <w:pPr>
              <w:pStyle w:val="TableParagraph"/>
              <w:spacing w:before="7"/>
              <w:rPr>
                <w:rFonts w:ascii="黑体"/>
                <w:sz w:val="17"/>
              </w:rPr>
            </w:pPr>
          </w:p>
          <w:p>
            <w:pPr>
              <w:pStyle w:val="TableParagraph"/>
              <w:ind w:left="544" w:right="514"/>
              <w:jc w:val="center"/>
              <w:rPr>
                <w:sz w:val="18"/>
              </w:rPr>
            </w:pPr>
            <w:r>
              <w:rPr>
                <w:sz w:val="18"/>
              </w:rPr>
              <w:t>规章制度落实</w:t>
            </w:r>
          </w:p>
        </w:tc>
        <w:tc>
          <w:tcPr>
            <w:tcW w:w="2734" w:type="dxa"/>
            <w:tcBorders>
              <w:top w:val="single" w:sz="6" w:space="0" w:color="000000"/>
              <w:left w:val="single" w:sz="6" w:space="0" w:color="000000"/>
              <w:bottom w:val="single" w:sz="6" w:space="0" w:color="000000"/>
            </w:tcBorders>
          </w:tcPr>
          <w:p>
            <w:pPr>
              <w:pStyle w:val="TableParagraph"/>
              <w:spacing w:before="69"/>
              <w:ind w:left="115"/>
              <w:rPr>
                <w:sz w:val="18"/>
              </w:rPr>
            </w:pPr>
            <w:r>
              <w:rPr>
                <w:sz w:val="18"/>
              </w:rPr>
              <w:t>评价机构规章制度落实的情况</w:t>
            </w:r>
          </w:p>
          <w:p>
            <w:pPr>
              <w:pStyle w:val="TableParagraph"/>
              <w:spacing w:before="81"/>
              <w:ind w:left="115"/>
              <w:rPr>
                <w:sz w:val="18"/>
              </w:rPr>
            </w:pPr>
            <w:r>
              <w:rPr>
                <w:sz w:val="18"/>
              </w:rPr>
              <w:t>对其管理效率的影响</w:t>
            </w:r>
          </w:p>
        </w:tc>
      </w:tr>
      <w:tr>
        <w:tblPrEx>
          <w:tblW w:w="0" w:type="auto"/>
          <w:jc w:val="left"/>
          <w:tblInd w:w="766" w:type="dxa"/>
          <w:tblLayout w:type="fixed"/>
          <w:tblCellMar>
            <w:top w:w="0" w:type="dxa"/>
            <w:left w:w="0" w:type="dxa"/>
            <w:bottom w:w="0" w:type="dxa"/>
            <w:right w:w="0" w:type="dxa"/>
          </w:tblCellMar>
          <w:tblLook w:val="01E0"/>
        </w:tblPrEx>
        <w:trPr>
          <w:trHeight w:val="623"/>
          <w:jc w:val="left"/>
        </w:trPr>
        <w:tc>
          <w:tcPr>
            <w:tcW w:w="458" w:type="dxa"/>
            <w:vMerge/>
            <w:tcBorders>
              <w:top w:val="nil"/>
              <w:bottom w:val="single" w:sz="6" w:space="0" w:color="000000"/>
              <w:right w:val="single" w:sz="6" w:space="0" w:color="000000"/>
            </w:tcBorders>
            <w:textDirection w:val="tbRl"/>
          </w:tcPr>
          <w:p>
            <w:pPr>
              <w:rPr>
                <w:sz w:val="2"/>
                <w:szCs w:val="2"/>
              </w:rPr>
            </w:pPr>
          </w:p>
        </w:tc>
        <w:tc>
          <w:tcPr>
            <w:tcW w:w="3055" w:type="dxa"/>
            <w:vMerge/>
            <w:tcBorders>
              <w:top w:val="nil"/>
              <w:left w:val="single" w:sz="6" w:space="0" w:color="000000"/>
              <w:bottom w:val="single" w:sz="6" w:space="0" w:color="000000"/>
              <w:right w:val="single" w:sz="6" w:space="0" w:color="000000"/>
            </w:tcBorders>
          </w:tcPr>
          <w:p>
            <w:pPr>
              <w:rPr>
                <w:sz w:val="2"/>
                <w:szCs w:val="2"/>
              </w:rPr>
            </w:pPr>
          </w:p>
        </w:tc>
        <w:tc>
          <w:tcPr>
            <w:tcW w:w="655" w:type="dxa"/>
            <w:tcBorders>
              <w:top w:val="single" w:sz="6" w:space="0" w:color="000000"/>
              <w:left w:val="single" w:sz="6" w:space="0" w:color="000000"/>
              <w:bottom w:val="single" w:sz="6" w:space="0" w:color="000000"/>
              <w:right w:val="single" w:sz="6" w:space="0" w:color="000000"/>
            </w:tcBorders>
          </w:tcPr>
          <w:p>
            <w:pPr>
              <w:pStyle w:val="TableParagraph"/>
              <w:spacing w:before="1"/>
              <w:rPr>
                <w:rFonts w:ascii="黑体"/>
                <w:sz w:val="15"/>
              </w:rPr>
            </w:pPr>
          </w:p>
          <w:p>
            <w:pPr>
              <w:pStyle w:val="TableParagraph"/>
              <w:spacing w:before="1"/>
              <w:ind w:left="133" w:right="101"/>
              <w:jc w:val="center"/>
              <w:rPr>
                <w:sz w:val="18"/>
              </w:rPr>
            </w:pPr>
            <w:r>
              <w:rPr>
                <w:sz w:val="18"/>
              </w:rPr>
              <w:t>19</w:t>
            </w:r>
          </w:p>
        </w:tc>
        <w:tc>
          <w:tcPr>
            <w:tcW w:w="2736" w:type="dxa"/>
            <w:tcBorders>
              <w:top w:val="single" w:sz="6" w:space="0" w:color="000000"/>
              <w:left w:val="single" w:sz="6" w:space="0" w:color="000000"/>
              <w:bottom w:val="single" w:sz="6" w:space="0" w:color="000000"/>
              <w:right w:val="single" w:sz="6" w:space="0" w:color="000000"/>
            </w:tcBorders>
          </w:tcPr>
          <w:p>
            <w:pPr>
              <w:pStyle w:val="TableParagraph"/>
              <w:spacing w:before="1"/>
              <w:rPr>
                <w:rFonts w:ascii="黑体"/>
                <w:sz w:val="15"/>
              </w:rPr>
            </w:pPr>
          </w:p>
          <w:p>
            <w:pPr>
              <w:pStyle w:val="TableParagraph"/>
              <w:spacing w:before="1"/>
              <w:ind w:left="544" w:right="514"/>
              <w:jc w:val="center"/>
              <w:rPr>
                <w:sz w:val="18"/>
              </w:rPr>
            </w:pPr>
            <w:r>
              <w:rPr>
                <w:sz w:val="18"/>
              </w:rPr>
              <w:t>规范服务</w:t>
            </w:r>
          </w:p>
        </w:tc>
        <w:tc>
          <w:tcPr>
            <w:tcW w:w="2734" w:type="dxa"/>
            <w:tcBorders>
              <w:top w:val="single" w:sz="6" w:space="0" w:color="000000"/>
              <w:left w:val="single" w:sz="6" w:space="0" w:color="000000"/>
              <w:bottom w:val="single" w:sz="6" w:space="0" w:color="000000"/>
            </w:tcBorders>
          </w:tcPr>
          <w:p>
            <w:pPr>
              <w:pStyle w:val="TableParagraph"/>
              <w:spacing w:before="38"/>
              <w:ind w:left="115"/>
              <w:rPr>
                <w:sz w:val="18"/>
              </w:rPr>
            </w:pPr>
            <w:r>
              <w:rPr>
                <w:sz w:val="18"/>
              </w:rPr>
              <w:t>评价机构规范服务的情况对其</w:t>
            </w:r>
          </w:p>
          <w:p>
            <w:pPr>
              <w:pStyle w:val="TableParagraph"/>
              <w:spacing w:before="81"/>
              <w:ind w:left="115"/>
              <w:rPr>
                <w:sz w:val="18"/>
              </w:rPr>
            </w:pPr>
            <w:r>
              <w:rPr>
                <w:sz w:val="18"/>
              </w:rPr>
              <w:t>服务结果的影响</w:t>
            </w:r>
          </w:p>
        </w:tc>
      </w:tr>
      <w:tr>
        <w:tblPrEx>
          <w:tblW w:w="0" w:type="auto"/>
          <w:jc w:val="left"/>
          <w:tblInd w:w="766" w:type="dxa"/>
          <w:tblLayout w:type="fixed"/>
          <w:tblCellMar>
            <w:top w:w="0" w:type="dxa"/>
            <w:left w:w="0" w:type="dxa"/>
            <w:bottom w:w="0" w:type="dxa"/>
            <w:right w:w="0" w:type="dxa"/>
          </w:tblCellMar>
          <w:tblLook w:val="01E0"/>
        </w:tblPrEx>
        <w:trPr>
          <w:trHeight w:val="625"/>
          <w:jc w:val="left"/>
        </w:trPr>
        <w:tc>
          <w:tcPr>
            <w:tcW w:w="458" w:type="dxa"/>
            <w:vMerge w:val="restart"/>
            <w:tcBorders>
              <w:top w:val="single" w:sz="6" w:space="0" w:color="000000"/>
              <w:bottom w:val="single" w:sz="6" w:space="0" w:color="000000"/>
              <w:right w:val="single" w:sz="6" w:space="0" w:color="000000"/>
            </w:tcBorders>
            <w:textDirection w:val="tbRl"/>
          </w:tcPr>
          <w:p>
            <w:pPr>
              <w:pStyle w:val="TableParagraph"/>
              <w:spacing w:before="60"/>
              <w:ind w:left="1545" w:right="1543"/>
              <w:jc w:val="center"/>
              <w:rPr>
                <w:sz w:val="18"/>
              </w:rPr>
            </w:pPr>
            <w:r>
              <w:rPr>
                <w:sz w:val="18"/>
              </w:rPr>
              <w:t>质量控制</w:t>
            </w:r>
          </w:p>
        </w:tc>
        <w:tc>
          <w:tcPr>
            <w:tcW w:w="3055" w:type="dxa"/>
            <w:vMerge w:val="restart"/>
            <w:tcBorders>
              <w:top w:val="single" w:sz="6" w:space="0" w:color="000000"/>
              <w:left w:val="single" w:sz="6" w:space="0" w:color="000000"/>
              <w:bottom w:val="single" w:sz="6" w:space="0" w:color="000000"/>
              <w:right w:val="single" w:sz="6" w:space="0" w:color="000000"/>
            </w:tcBorders>
          </w:tcPr>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21"/>
              </w:rPr>
            </w:pPr>
          </w:p>
          <w:p>
            <w:pPr>
              <w:pStyle w:val="TableParagraph"/>
              <w:spacing w:line="324" w:lineRule="auto"/>
              <w:ind w:left="117" w:right="220"/>
              <w:rPr>
                <w:sz w:val="18"/>
              </w:rPr>
            </w:pPr>
            <w:r>
              <w:rPr>
                <w:sz w:val="18"/>
              </w:rPr>
              <w:t>从质量控制的完善程度来反映清洁服务机构服务质量的情况</w:t>
            </w:r>
          </w:p>
        </w:tc>
        <w:tc>
          <w:tcPr>
            <w:tcW w:w="655" w:type="dxa"/>
            <w:tcBorders>
              <w:top w:val="single" w:sz="6" w:space="0" w:color="000000"/>
              <w:left w:val="single" w:sz="6" w:space="0" w:color="000000"/>
              <w:bottom w:val="single" w:sz="6" w:space="0" w:color="000000"/>
              <w:right w:val="single" w:sz="6" w:space="0" w:color="000000"/>
            </w:tcBorders>
          </w:tcPr>
          <w:p>
            <w:pPr>
              <w:pStyle w:val="TableParagraph"/>
              <w:spacing w:before="4"/>
              <w:rPr>
                <w:rFonts w:ascii="黑体"/>
                <w:sz w:val="15"/>
              </w:rPr>
            </w:pPr>
          </w:p>
          <w:p>
            <w:pPr>
              <w:pStyle w:val="TableParagraph"/>
              <w:ind w:left="133" w:right="102"/>
              <w:jc w:val="center"/>
              <w:rPr>
                <w:sz w:val="18"/>
              </w:rPr>
            </w:pPr>
            <w:r>
              <w:rPr>
                <w:sz w:val="18"/>
              </w:rPr>
              <w:t>20</w:t>
            </w:r>
          </w:p>
        </w:tc>
        <w:tc>
          <w:tcPr>
            <w:tcW w:w="2736" w:type="dxa"/>
            <w:tcBorders>
              <w:top w:val="single" w:sz="6" w:space="0" w:color="000000"/>
              <w:left w:val="single" w:sz="6" w:space="0" w:color="000000"/>
              <w:bottom w:val="single" w:sz="6" w:space="0" w:color="000000"/>
              <w:right w:val="single" w:sz="6" w:space="0" w:color="000000"/>
            </w:tcBorders>
          </w:tcPr>
          <w:p>
            <w:pPr>
              <w:pStyle w:val="TableParagraph"/>
              <w:spacing w:before="4"/>
              <w:rPr>
                <w:rFonts w:ascii="黑体"/>
                <w:sz w:val="15"/>
              </w:rPr>
            </w:pPr>
          </w:p>
          <w:p>
            <w:pPr>
              <w:pStyle w:val="TableParagraph"/>
              <w:ind w:left="544" w:right="517"/>
              <w:jc w:val="center"/>
              <w:rPr>
                <w:sz w:val="18"/>
              </w:rPr>
            </w:pPr>
            <w:r>
              <w:rPr>
                <w:sz w:val="18"/>
              </w:rPr>
              <w:t>部门与人员</w:t>
            </w:r>
          </w:p>
        </w:tc>
        <w:tc>
          <w:tcPr>
            <w:tcW w:w="2734" w:type="dxa"/>
            <w:tcBorders>
              <w:top w:val="single" w:sz="6" w:space="0" w:color="000000"/>
              <w:left w:val="single" w:sz="6" w:space="0" w:color="000000"/>
              <w:bottom w:val="single" w:sz="6" w:space="0" w:color="000000"/>
            </w:tcBorders>
          </w:tcPr>
          <w:p>
            <w:pPr>
              <w:pStyle w:val="TableParagraph"/>
              <w:spacing w:before="40"/>
              <w:ind w:left="115"/>
              <w:rPr>
                <w:sz w:val="18"/>
              </w:rPr>
            </w:pPr>
            <w:r>
              <w:rPr>
                <w:sz w:val="18"/>
              </w:rPr>
              <w:t>评价机构部门与人员的情况对</w:t>
            </w:r>
          </w:p>
          <w:p>
            <w:pPr>
              <w:pStyle w:val="TableParagraph"/>
              <w:spacing w:before="81"/>
              <w:ind w:left="115"/>
              <w:rPr>
                <w:sz w:val="18"/>
              </w:rPr>
            </w:pPr>
            <w:r>
              <w:rPr>
                <w:sz w:val="18"/>
              </w:rPr>
              <w:t>其质量控制执行力的影响</w:t>
            </w:r>
          </w:p>
        </w:tc>
      </w:tr>
      <w:tr>
        <w:tblPrEx>
          <w:tblW w:w="0" w:type="auto"/>
          <w:jc w:val="left"/>
          <w:tblInd w:w="766" w:type="dxa"/>
          <w:tblLayout w:type="fixed"/>
          <w:tblCellMar>
            <w:top w:w="0" w:type="dxa"/>
            <w:left w:w="0" w:type="dxa"/>
            <w:bottom w:w="0" w:type="dxa"/>
            <w:right w:w="0" w:type="dxa"/>
          </w:tblCellMar>
          <w:tblLook w:val="01E0"/>
        </w:tblPrEx>
        <w:trPr>
          <w:trHeight w:val="654"/>
          <w:jc w:val="left"/>
        </w:trPr>
        <w:tc>
          <w:tcPr>
            <w:tcW w:w="458" w:type="dxa"/>
            <w:vMerge/>
            <w:tcBorders>
              <w:top w:val="nil"/>
              <w:bottom w:val="single" w:sz="6" w:space="0" w:color="000000"/>
              <w:right w:val="single" w:sz="6" w:space="0" w:color="000000"/>
            </w:tcBorders>
            <w:textDirection w:val="tbRl"/>
          </w:tcPr>
          <w:p>
            <w:pPr>
              <w:rPr>
                <w:sz w:val="2"/>
                <w:szCs w:val="2"/>
              </w:rPr>
            </w:pPr>
          </w:p>
        </w:tc>
        <w:tc>
          <w:tcPr>
            <w:tcW w:w="3055" w:type="dxa"/>
            <w:vMerge/>
            <w:tcBorders>
              <w:top w:val="nil"/>
              <w:left w:val="single" w:sz="6" w:space="0" w:color="000000"/>
              <w:bottom w:val="single" w:sz="6" w:space="0" w:color="000000"/>
              <w:right w:val="single" w:sz="6" w:space="0" w:color="000000"/>
            </w:tcBorders>
          </w:tcPr>
          <w:p>
            <w:pPr>
              <w:rPr>
                <w:sz w:val="2"/>
                <w:szCs w:val="2"/>
              </w:rPr>
            </w:pPr>
          </w:p>
        </w:tc>
        <w:tc>
          <w:tcPr>
            <w:tcW w:w="655" w:type="dxa"/>
            <w:tcBorders>
              <w:top w:val="single" w:sz="6" w:space="0" w:color="000000"/>
              <w:left w:val="single" w:sz="6" w:space="0" w:color="000000"/>
              <w:bottom w:val="single" w:sz="6" w:space="0" w:color="000000"/>
              <w:right w:val="single" w:sz="6" w:space="0" w:color="000000"/>
            </w:tcBorders>
          </w:tcPr>
          <w:p>
            <w:pPr>
              <w:pStyle w:val="TableParagraph"/>
              <w:spacing w:before="3"/>
              <w:rPr>
                <w:rFonts w:ascii="黑体"/>
                <w:sz w:val="16"/>
              </w:rPr>
            </w:pPr>
          </w:p>
          <w:p>
            <w:pPr>
              <w:pStyle w:val="TableParagraph"/>
              <w:ind w:left="133" w:right="102"/>
              <w:jc w:val="center"/>
              <w:rPr>
                <w:sz w:val="18"/>
              </w:rPr>
            </w:pPr>
            <w:r>
              <w:rPr>
                <w:sz w:val="18"/>
              </w:rPr>
              <w:t>21</w:t>
            </w:r>
          </w:p>
        </w:tc>
        <w:tc>
          <w:tcPr>
            <w:tcW w:w="2736" w:type="dxa"/>
            <w:tcBorders>
              <w:top w:val="single" w:sz="6" w:space="0" w:color="000000"/>
              <w:left w:val="single" w:sz="6" w:space="0" w:color="000000"/>
              <w:bottom w:val="single" w:sz="6" w:space="0" w:color="000000"/>
              <w:right w:val="single" w:sz="6" w:space="0" w:color="000000"/>
            </w:tcBorders>
          </w:tcPr>
          <w:p>
            <w:pPr>
              <w:pStyle w:val="TableParagraph"/>
              <w:spacing w:before="3"/>
              <w:rPr>
                <w:rFonts w:ascii="黑体"/>
                <w:sz w:val="16"/>
              </w:rPr>
            </w:pPr>
          </w:p>
          <w:p>
            <w:pPr>
              <w:pStyle w:val="TableParagraph"/>
              <w:ind w:left="544" w:right="517"/>
              <w:jc w:val="center"/>
              <w:rPr>
                <w:sz w:val="18"/>
              </w:rPr>
            </w:pPr>
            <w:r>
              <w:rPr>
                <w:sz w:val="18"/>
              </w:rPr>
              <w:t>监督与检查</w:t>
            </w:r>
          </w:p>
        </w:tc>
        <w:tc>
          <w:tcPr>
            <w:tcW w:w="2734" w:type="dxa"/>
            <w:tcBorders>
              <w:top w:val="single" w:sz="6" w:space="0" w:color="000000"/>
              <w:left w:val="single" w:sz="6" w:space="0" w:color="000000"/>
              <w:bottom w:val="single" w:sz="6" w:space="0" w:color="000000"/>
            </w:tcBorders>
          </w:tcPr>
          <w:p>
            <w:pPr>
              <w:pStyle w:val="TableParagraph"/>
              <w:spacing w:before="52"/>
              <w:ind w:left="115"/>
              <w:rPr>
                <w:sz w:val="18"/>
              </w:rPr>
            </w:pPr>
            <w:r>
              <w:rPr>
                <w:sz w:val="18"/>
              </w:rPr>
              <w:t>评价机构监督与检查的情况对</w:t>
            </w:r>
          </w:p>
          <w:p>
            <w:pPr>
              <w:pStyle w:val="TableParagraph"/>
              <w:spacing w:before="81"/>
              <w:ind w:left="115"/>
              <w:rPr>
                <w:sz w:val="18"/>
              </w:rPr>
            </w:pPr>
            <w:r>
              <w:rPr>
                <w:sz w:val="18"/>
              </w:rPr>
              <w:t>其质量控制的自我约束的影响</w:t>
            </w:r>
          </w:p>
        </w:tc>
      </w:tr>
      <w:tr>
        <w:tblPrEx>
          <w:tblW w:w="0" w:type="auto"/>
          <w:jc w:val="left"/>
          <w:tblInd w:w="766" w:type="dxa"/>
          <w:tblLayout w:type="fixed"/>
          <w:tblCellMar>
            <w:top w:w="0" w:type="dxa"/>
            <w:left w:w="0" w:type="dxa"/>
            <w:bottom w:w="0" w:type="dxa"/>
            <w:right w:w="0" w:type="dxa"/>
          </w:tblCellMar>
          <w:tblLook w:val="01E0"/>
        </w:tblPrEx>
        <w:trPr>
          <w:trHeight w:val="623"/>
          <w:jc w:val="left"/>
        </w:trPr>
        <w:tc>
          <w:tcPr>
            <w:tcW w:w="458" w:type="dxa"/>
            <w:vMerge/>
            <w:tcBorders>
              <w:top w:val="nil"/>
              <w:bottom w:val="single" w:sz="6" w:space="0" w:color="000000"/>
              <w:right w:val="single" w:sz="6" w:space="0" w:color="000000"/>
            </w:tcBorders>
            <w:textDirection w:val="tbRl"/>
          </w:tcPr>
          <w:p>
            <w:pPr>
              <w:rPr>
                <w:sz w:val="2"/>
                <w:szCs w:val="2"/>
              </w:rPr>
            </w:pPr>
          </w:p>
        </w:tc>
        <w:tc>
          <w:tcPr>
            <w:tcW w:w="3055" w:type="dxa"/>
            <w:vMerge/>
            <w:tcBorders>
              <w:top w:val="nil"/>
              <w:left w:val="single" w:sz="6" w:space="0" w:color="000000"/>
              <w:bottom w:val="single" w:sz="6" w:space="0" w:color="000000"/>
              <w:right w:val="single" w:sz="6" w:space="0" w:color="000000"/>
            </w:tcBorders>
          </w:tcPr>
          <w:p>
            <w:pPr>
              <w:rPr>
                <w:sz w:val="2"/>
                <w:szCs w:val="2"/>
              </w:rPr>
            </w:pPr>
          </w:p>
        </w:tc>
        <w:tc>
          <w:tcPr>
            <w:tcW w:w="655" w:type="dxa"/>
            <w:tcBorders>
              <w:top w:val="single" w:sz="6" w:space="0" w:color="000000"/>
              <w:left w:val="single" w:sz="6" w:space="0" w:color="000000"/>
              <w:bottom w:val="single" w:sz="6" w:space="0" w:color="000000"/>
              <w:right w:val="single" w:sz="6" w:space="0" w:color="000000"/>
            </w:tcBorders>
          </w:tcPr>
          <w:p>
            <w:pPr>
              <w:pStyle w:val="TableParagraph"/>
              <w:spacing w:before="1"/>
              <w:rPr>
                <w:rFonts w:ascii="黑体"/>
                <w:sz w:val="15"/>
              </w:rPr>
            </w:pPr>
          </w:p>
          <w:p>
            <w:pPr>
              <w:pStyle w:val="TableParagraph"/>
              <w:spacing w:before="1"/>
              <w:ind w:left="133" w:right="102"/>
              <w:jc w:val="center"/>
              <w:rPr>
                <w:sz w:val="18"/>
              </w:rPr>
            </w:pPr>
            <w:r>
              <w:rPr>
                <w:sz w:val="18"/>
              </w:rPr>
              <w:t>22</w:t>
            </w:r>
          </w:p>
        </w:tc>
        <w:tc>
          <w:tcPr>
            <w:tcW w:w="2736" w:type="dxa"/>
            <w:tcBorders>
              <w:top w:val="single" w:sz="6" w:space="0" w:color="000000"/>
              <w:left w:val="single" w:sz="6" w:space="0" w:color="000000"/>
              <w:bottom w:val="single" w:sz="6" w:space="0" w:color="000000"/>
              <w:right w:val="single" w:sz="6" w:space="0" w:color="000000"/>
            </w:tcBorders>
          </w:tcPr>
          <w:p>
            <w:pPr>
              <w:pStyle w:val="TableParagraph"/>
              <w:spacing w:before="1"/>
              <w:rPr>
                <w:rFonts w:ascii="黑体"/>
                <w:sz w:val="15"/>
              </w:rPr>
            </w:pPr>
          </w:p>
          <w:p>
            <w:pPr>
              <w:pStyle w:val="TableParagraph"/>
              <w:spacing w:before="1"/>
              <w:ind w:left="544" w:right="517"/>
              <w:jc w:val="center"/>
              <w:rPr>
                <w:sz w:val="18"/>
              </w:rPr>
            </w:pPr>
            <w:r>
              <w:rPr>
                <w:sz w:val="18"/>
              </w:rPr>
              <w:t>作业指导书</w:t>
            </w:r>
          </w:p>
        </w:tc>
        <w:tc>
          <w:tcPr>
            <w:tcW w:w="2734" w:type="dxa"/>
            <w:tcBorders>
              <w:top w:val="single" w:sz="6" w:space="0" w:color="000000"/>
              <w:left w:val="single" w:sz="6" w:space="0" w:color="000000"/>
              <w:bottom w:val="single" w:sz="6" w:space="0" w:color="000000"/>
            </w:tcBorders>
          </w:tcPr>
          <w:p>
            <w:pPr>
              <w:pStyle w:val="TableParagraph"/>
              <w:spacing w:before="38"/>
              <w:ind w:left="115"/>
              <w:rPr>
                <w:sz w:val="18"/>
              </w:rPr>
            </w:pPr>
            <w:r>
              <w:rPr>
                <w:sz w:val="18"/>
              </w:rPr>
              <w:t>评价机构作业指导书对其服务</w:t>
            </w:r>
          </w:p>
          <w:p>
            <w:pPr>
              <w:pStyle w:val="TableParagraph"/>
              <w:spacing w:before="81"/>
              <w:ind w:left="115"/>
              <w:rPr>
                <w:sz w:val="18"/>
              </w:rPr>
            </w:pPr>
            <w:r>
              <w:rPr>
                <w:sz w:val="18"/>
              </w:rPr>
              <w:t>质量的影响</w:t>
            </w:r>
          </w:p>
        </w:tc>
      </w:tr>
      <w:tr>
        <w:tblPrEx>
          <w:tblW w:w="0" w:type="auto"/>
          <w:jc w:val="left"/>
          <w:tblInd w:w="766" w:type="dxa"/>
          <w:tblLayout w:type="fixed"/>
          <w:tblCellMar>
            <w:top w:w="0" w:type="dxa"/>
            <w:left w:w="0" w:type="dxa"/>
            <w:bottom w:w="0" w:type="dxa"/>
            <w:right w:w="0" w:type="dxa"/>
          </w:tblCellMar>
          <w:tblLook w:val="01E0"/>
        </w:tblPrEx>
        <w:trPr>
          <w:trHeight w:val="623"/>
          <w:jc w:val="left"/>
        </w:trPr>
        <w:tc>
          <w:tcPr>
            <w:tcW w:w="458" w:type="dxa"/>
            <w:vMerge/>
            <w:tcBorders>
              <w:top w:val="nil"/>
              <w:bottom w:val="single" w:sz="6" w:space="0" w:color="000000"/>
              <w:right w:val="single" w:sz="6" w:space="0" w:color="000000"/>
            </w:tcBorders>
            <w:textDirection w:val="tbRl"/>
          </w:tcPr>
          <w:p>
            <w:pPr>
              <w:rPr>
                <w:sz w:val="2"/>
                <w:szCs w:val="2"/>
              </w:rPr>
            </w:pPr>
          </w:p>
        </w:tc>
        <w:tc>
          <w:tcPr>
            <w:tcW w:w="3055" w:type="dxa"/>
            <w:vMerge/>
            <w:tcBorders>
              <w:top w:val="nil"/>
              <w:left w:val="single" w:sz="6" w:space="0" w:color="000000"/>
              <w:bottom w:val="single" w:sz="6" w:space="0" w:color="000000"/>
              <w:right w:val="single" w:sz="6" w:space="0" w:color="000000"/>
            </w:tcBorders>
          </w:tcPr>
          <w:p>
            <w:pPr>
              <w:rPr>
                <w:sz w:val="2"/>
                <w:szCs w:val="2"/>
              </w:rPr>
            </w:pPr>
          </w:p>
        </w:tc>
        <w:tc>
          <w:tcPr>
            <w:tcW w:w="655" w:type="dxa"/>
            <w:tcBorders>
              <w:top w:val="single" w:sz="6" w:space="0" w:color="000000"/>
              <w:left w:val="single" w:sz="6" w:space="0" w:color="000000"/>
              <w:bottom w:val="single" w:sz="6" w:space="0" w:color="000000"/>
              <w:right w:val="single" w:sz="6" w:space="0" w:color="000000"/>
            </w:tcBorders>
          </w:tcPr>
          <w:p>
            <w:pPr>
              <w:pStyle w:val="TableParagraph"/>
              <w:spacing w:before="1"/>
              <w:rPr>
                <w:rFonts w:ascii="黑体"/>
                <w:sz w:val="15"/>
              </w:rPr>
            </w:pPr>
          </w:p>
          <w:p>
            <w:pPr>
              <w:pStyle w:val="TableParagraph"/>
              <w:spacing w:before="1"/>
              <w:ind w:left="133" w:right="102"/>
              <w:jc w:val="center"/>
              <w:rPr>
                <w:sz w:val="18"/>
              </w:rPr>
            </w:pPr>
            <w:r>
              <w:rPr>
                <w:sz w:val="18"/>
              </w:rPr>
              <w:t>23</w:t>
            </w:r>
          </w:p>
        </w:tc>
        <w:tc>
          <w:tcPr>
            <w:tcW w:w="2736" w:type="dxa"/>
            <w:tcBorders>
              <w:top w:val="single" w:sz="6" w:space="0" w:color="000000"/>
              <w:left w:val="single" w:sz="6" w:space="0" w:color="000000"/>
              <w:bottom w:val="single" w:sz="6" w:space="0" w:color="000000"/>
              <w:right w:val="single" w:sz="6" w:space="0" w:color="000000"/>
            </w:tcBorders>
          </w:tcPr>
          <w:p>
            <w:pPr>
              <w:pStyle w:val="TableParagraph"/>
              <w:spacing w:before="1"/>
              <w:rPr>
                <w:rFonts w:ascii="黑体"/>
                <w:sz w:val="15"/>
              </w:rPr>
            </w:pPr>
          </w:p>
          <w:p>
            <w:pPr>
              <w:pStyle w:val="TableParagraph"/>
              <w:spacing w:before="1"/>
              <w:ind w:left="544" w:right="517"/>
              <w:jc w:val="center"/>
              <w:rPr>
                <w:sz w:val="18"/>
              </w:rPr>
            </w:pPr>
            <w:r>
              <w:rPr>
                <w:sz w:val="18"/>
              </w:rPr>
              <w:t>客户满意度</w:t>
            </w:r>
          </w:p>
        </w:tc>
        <w:tc>
          <w:tcPr>
            <w:tcW w:w="2734" w:type="dxa"/>
            <w:tcBorders>
              <w:top w:val="single" w:sz="6" w:space="0" w:color="000000"/>
              <w:left w:val="single" w:sz="6" w:space="0" w:color="000000"/>
              <w:bottom w:val="single" w:sz="6" w:space="0" w:color="000000"/>
            </w:tcBorders>
          </w:tcPr>
          <w:p>
            <w:pPr>
              <w:pStyle w:val="TableParagraph"/>
              <w:spacing w:before="38"/>
              <w:ind w:left="115"/>
              <w:rPr>
                <w:sz w:val="18"/>
              </w:rPr>
            </w:pPr>
            <w:r>
              <w:rPr>
                <w:sz w:val="18"/>
              </w:rPr>
              <w:t>评价机构客户满意度反馈的情</w:t>
            </w:r>
          </w:p>
          <w:p>
            <w:pPr>
              <w:pStyle w:val="TableParagraph"/>
              <w:spacing w:before="81"/>
              <w:ind w:left="115"/>
              <w:rPr>
                <w:sz w:val="18"/>
              </w:rPr>
            </w:pPr>
            <w:r>
              <w:rPr>
                <w:sz w:val="18"/>
              </w:rPr>
              <w:t>况对其服务质量的影响</w:t>
            </w:r>
          </w:p>
        </w:tc>
      </w:tr>
      <w:tr>
        <w:tblPrEx>
          <w:tblW w:w="0" w:type="auto"/>
          <w:jc w:val="left"/>
          <w:tblInd w:w="766" w:type="dxa"/>
          <w:tblLayout w:type="fixed"/>
          <w:tblCellMar>
            <w:top w:w="0" w:type="dxa"/>
            <w:left w:w="0" w:type="dxa"/>
            <w:bottom w:w="0" w:type="dxa"/>
            <w:right w:w="0" w:type="dxa"/>
          </w:tblCellMar>
          <w:tblLook w:val="01E0"/>
        </w:tblPrEx>
        <w:trPr>
          <w:trHeight w:val="623"/>
          <w:jc w:val="left"/>
        </w:trPr>
        <w:tc>
          <w:tcPr>
            <w:tcW w:w="458" w:type="dxa"/>
            <w:vMerge/>
            <w:tcBorders>
              <w:top w:val="nil"/>
              <w:bottom w:val="single" w:sz="6" w:space="0" w:color="000000"/>
              <w:right w:val="single" w:sz="6" w:space="0" w:color="000000"/>
            </w:tcBorders>
            <w:textDirection w:val="tbRl"/>
          </w:tcPr>
          <w:p>
            <w:pPr>
              <w:rPr>
                <w:sz w:val="2"/>
                <w:szCs w:val="2"/>
              </w:rPr>
            </w:pPr>
          </w:p>
        </w:tc>
        <w:tc>
          <w:tcPr>
            <w:tcW w:w="3055" w:type="dxa"/>
            <w:vMerge/>
            <w:tcBorders>
              <w:top w:val="nil"/>
              <w:left w:val="single" w:sz="6" w:space="0" w:color="000000"/>
              <w:bottom w:val="single" w:sz="6" w:space="0" w:color="000000"/>
              <w:right w:val="single" w:sz="6" w:space="0" w:color="000000"/>
            </w:tcBorders>
          </w:tcPr>
          <w:p>
            <w:pPr>
              <w:rPr>
                <w:sz w:val="2"/>
                <w:szCs w:val="2"/>
              </w:rPr>
            </w:pPr>
          </w:p>
        </w:tc>
        <w:tc>
          <w:tcPr>
            <w:tcW w:w="655" w:type="dxa"/>
            <w:tcBorders>
              <w:top w:val="single" w:sz="6" w:space="0" w:color="000000"/>
              <w:left w:val="single" w:sz="6" w:space="0" w:color="000000"/>
              <w:bottom w:val="single" w:sz="6" w:space="0" w:color="000000"/>
              <w:right w:val="single" w:sz="6" w:space="0" w:color="000000"/>
            </w:tcBorders>
          </w:tcPr>
          <w:p>
            <w:pPr>
              <w:pStyle w:val="TableParagraph"/>
              <w:spacing w:before="1"/>
              <w:rPr>
                <w:rFonts w:ascii="黑体"/>
                <w:sz w:val="15"/>
              </w:rPr>
            </w:pPr>
          </w:p>
          <w:p>
            <w:pPr>
              <w:pStyle w:val="TableParagraph"/>
              <w:spacing w:before="1"/>
              <w:ind w:left="133" w:right="102"/>
              <w:jc w:val="center"/>
              <w:rPr>
                <w:sz w:val="18"/>
              </w:rPr>
            </w:pPr>
            <w:r>
              <w:rPr>
                <w:sz w:val="18"/>
              </w:rPr>
              <w:t>24</w:t>
            </w:r>
          </w:p>
        </w:tc>
        <w:tc>
          <w:tcPr>
            <w:tcW w:w="2736" w:type="dxa"/>
            <w:tcBorders>
              <w:top w:val="single" w:sz="6" w:space="0" w:color="000000"/>
              <w:left w:val="single" w:sz="6" w:space="0" w:color="000000"/>
              <w:bottom w:val="single" w:sz="6" w:space="0" w:color="000000"/>
              <w:right w:val="single" w:sz="6" w:space="0" w:color="000000"/>
            </w:tcBorders>
          </w:tcPr>
          <w:p>
            <w:pPr>
              <w:pStyle w:val="TableParagraph"/>
              <w:spacing w:before="1"/>
              <w:rPr>
                <w:rFonts w:ascii="黑体"/>
                <w:sz w:val="15"/>
              </w:rPr>
            </w:pPr>
          </w:p>
          <w:p>
            <w:pPr>
              <w:pStyle w:val="TableParagraph"/>
              <w:spacing w:before="1"/>
              <w:ind w:left="544" w:right="517"/>
              <w:jc w:val="center"/>
              <w:rPr>
                <w:sz w:val="18"/>
              </w:rPr>
            </w:pPr>
            <w:r>
              <w:rPr>
                <w:sz w:val="18"/>
              </w:rPr>
              <w:t>采购与使用</w:t>
            </w:r>
          </w:p>
        </w:tc>
        <w:tc>
          <w:tcPr>
            <w:tcW w:w="2734" w:type="dxa"/>
            <w:tcBorders>
              <w:top w:val="single" w:sz="6" w:space="0" w:color="000000"/>
              <w:left w:val="single" w:sz="6" w:space="0" w:color="000000"/>
              <w:bottom w:val="single" w:sz="6" w:space="0" w:color="000000"/>
            </w:tcBorders>
          </w:tcPr>
          <w:p>
            <w:pPr>
              <w:pStyle w:val="TableParagraph"/>
              <w:spacing w:before="38"/>
              <w:ind w:left="115"/>
              <w:rPr>
                <w:sz w:val="18"/>
              </w:rPr>
            </w:pPr>
            <w:r>
              <w:rPr>
                <w:sz w:val="18"/>
              </w:rPr>
              <w:t>评价机构作业消耗品采购供应</w:t>
            </w:r>
          </w:p>
          <w:p>
            <w:pPr>
              <w:pStyle w:val="TableParagraph"/>
              <w:spacing w:before="81"/>
              <w:ind w:left="115"/>
              <w:rPr>
                <w:sz w:val="18"/>
              </w:rPr>
            </w:pPr>
            <w:r>
              <w:rPr>
                <w:sz w:val="18"/>
              </w:rPr>
              <w:t>的情况对其服务质量的影响</w:t>
            </w:r>
          </w:p>
        </w:tc>
      </w:tr>
      <w:tr>
        <w:tblPrEx>
          <w:tblW w:w="0" w:type="auto"/>
          <w:jc w:val="left"/>
          <w:tblInd w:w="766" w:type="dxa"/>
          <w:tblLayout w:type="fixed"/>
          <w:tblCellMar>
            <w:top w:w="0" w:type="dxa"/>
            <w:left w:w="0" w:type="dxa"/>
            <w:bottom w:w="0" w:type="dxa"/>
            <w:right w:w="0" w:type="dxa"/>
          </w:tblCellMar>
          <w:tblLook w:val="01E0"/>
        </w:tblPrEx>
        <w:trPr>
          <w:trHeight w:val="625"/>
          <w:jc w:val="left"/>
        </w:trPr>
        <w:tc>
          <w:tcPr>
            <w:tcW w:w="458" w:type="dxa"/>
            <w:vMerge/>
            <w:tcBorders>
              <w:top w:val="nil"/>
              <w:bottom w:val="single" w:sz="6" w:space="0" w:color="000000"/>
              <w:right w:val="single" w:sz="6" w:space="0" w:color="000000"/>
            </w:tcBorders>
            <w:textDirection w:val="tbRl"/>
          </w:tcPr>
          <w:p>
            <w:pPr>
              <w:rPr>
                <w:sz w:val="2"/>
                <w:szCs w:val="2"/>
              </w:rPr>
            </w:pPr>
          </w:p>
        </w:tc>
        <w:tc>
          <w:tcPr>
            <w:tcW w:w="3055" w:type="dxa"/>
            <w:vMerge/>
            <w:tcBorders>
              <w:top w:val="nil"/>
              <w:left w:val="single" w:sz="6" w:space="0" w:color="000000"/>
              <w:bottom w:val="single" w:sz="6" w:space="0" w:color="000000"/>
              <w:right w:val="single" w:sz="6" w:space="0" w:color="000000"/>
            </w:tcBorders>
          </w:tcPr>
          <w:p>
            <w:pPr>
              <w:rPr>
                <w:sz w:val="2"/>
                <w:szCs w:val="2"/>
              </w:rPr>
            </w:pPr>
          </w:p>
        </w:tc>
        <w:tc>
          <w:tcPr>
            <w:tcW w:w="655" w:type="dxa"/>
            <w:tcBorders>
              <w:top w:val="single" w:sz="6" w:space="0" w:color="000000"/>
              <w:left w:val="single" w:sz="6" w:space="0" w:color="000000"/>
              <w:bottom w:val="single" w:sz="6" w:space="0" w:color="000000"/>
              <w:right w:val="single" w:sz="6" w:space="0" w:color="000000"/>
            </w:tcBorders>
          </w:tcPr>
          <w:p>
            <w:pPr>
              <w:pStyle w:val="TableParagraph"/>
              <w:spacing w:before="4"/>
              <w:rPr>
                <w:rFonts w:ascii="黑体"/>
                <w:sz w:val="15"/>
              </w:rPr>
            </w:pPr>
          </w:p>
          <w:p>
            <w:pPr>
              <w:pStyle w:val="TableParagraph"/>
              <w:ind w:left="133" w:right="102"/>
              <w:jc w:val="center"/>
              <w:rPr>
                <w:sz w:val="18"/>
              </w:rPr>
            </w:pPr>
            <w:r>
              <w:rPr>
                <w:sz w:val="18"/>
              </w:rPr>
              <w:t>25</w:t>
            </w:r>
          </w:p>
        </w:tc>
        <w:tc>
          <w:tcPr>
            <w:tcW w:w="2736" w:type="dxa"/>
            <w:tcBorders>
              <w:top w:val="single" w:sz="6" w:space="0" w:color="000000"/>
              <w:left w:val="single" w:sz="6" w:space="0" w:color="000000"/>
              <w:bottom w:val="single" w:sz="6" w:space="0" w:color="000000"/>
              <w:right w:val="single" w:sz="6" w:space="0" w:color="000000"/>
            </w:tcBorders>
          </w:tcPr>
          <w:p>
            <w:pPr>
              <w:pStyle w:val="TableParagraph"/>
              <w:spacing w:before="4"/>
              <w:rPr>
                <w:rFonts w:ascii="黑体"/>
                <w:sz w:val="15"/>
              </w:rPr>
            </w:pPr>
          </w:p>
          <w:p>
            <w:pPr>
              <w:pStyle w:val="TableParagraph"/>
              <w:ind w:left="544" w:right="514"/>
              <w:jc w:val="center"/>
              <w:rPr>
                <w:sz w:val="18"/>
              </w:rPr>
            </w:pPr>
            <w:r>
              <w:rPr>
                <w:sz w:val="18"/>
              </w:rPr>
              <w:t>现场质量得分分值</w:t>
            </w:r>
          </w:p>
        </w:tc>
        <w:tc>
          <w:tcPr>
            <w:tcW w:w="2734" w:type="dxa"/>
            <w:tcBorders>
              <w:top w:val="single" w:sz="6" w:space="0" w:color="000000"/>
              <w:left w:val="single" w:sz="6" w:space="0" w:color="000000"/>
              <w:bottom w:val="single" w:sz="6" w:space="0" w:color="000000"/>
            </w:tcBorders>
          </w:tcPr>
          <w:p>
            <w:pPr>
              <w:pStyle w:val="TableParagraph"/>
              <w:spacing w:before="40"/>
              <w:ind w:left="115"/>
              <w:rPr>
                <w:sz w:val="18"/>
              </w:rPr>
            </w:pPr>
            <w:r>
              <w:rPr>
                <w:sz w:val="18"/>
              </w:rPr>
              <w:t>评价机构项目现场的情况对其</w:t>
            </w:r>
          </w:p>
          <w:p>
            <w:pPr>
              <w:pStyle w:val="TableParagraph"/>
              <w:spacing w:before="81"/>
              <w:ind w:left="115"/>
              <w:rPr>
                <w:sz w:val="18"/>
              </w:rPr>
            </w:pPr>
            <w:r>
              <w:rPr>
                <w:sz w:val="18"/>
              </w:rPr>
              <w:t>服务质量的影响</w:t>
            </w:r>
          </w:p>
        </w:tc>
      </w:tr>
      <w:tr>
        <w:tblPrEx>
          <w:tblW w:w="0" w:type="auto"/>
          <w:jc w:val="left"/>
          <w:tblInd w:w="766" w:type="dxa"/>
          <w:tblLayout w:type="fixed"/>
          <w:tblCellMar>
            <w:top w:w="0" w:type="dxa"/>
            <w:left w:w="0" w:type="dxa"/>
            <w:bottom w:w="0" w:type="dxa"/>
            <w:right w:w="0" w:type="dxa"/>
          </w:tblCellMar>
          <w:tblLook w:val="01E0"/>
        </w:tblPrEx>
        <w:trPr>
          <w:trHeight w:val="927"/>
          <w:jc w:val="left"/>
        </w:trPr>
        <w:tc>
          <w:tcPr>
            <w:tcW w:w="458" w:type="dxa"/>
            <w:vMerge w:val="restart"/>
            <w:tcBorders>
              <w:top w:val="single" w:sz="6" w:space="0" w:color="000000"/>
              <w:right w:val="single" w:sz="6" w:space="0" w:color="000000"/>
            </w:tcBorders>
            <w:textDirection w:val="tbRl"/>
          </w:tcPr>
          <w:p>
            <w:pPr>
              <w:pStyle w:val="TableParagraph"/>
              <w:spacing w:before="60"/>
              <w:ind w:left="1274" w:right="1274"/>
              <w:jc w:val="center"/>
              <w:rPr>
                <w:sz w:val="18"/>
              </w:rPr>
            </w:pPr>
            <w:r>
              <w:rPr>
                <w:sz w:val="18"/>
              </w:rPr>
              <w:t>品牌与信誉</w:t>
            </w:r>
          </w:p>
        </w:tc>
        <w:tc>
          <w:tcPr>
            <w:tcW w:w="3055" w:type="dxa"/>
            <w:vMerge w:val="restart"/>
            <w:tcBorders>
              <w:top w:val="single" w:sz="6" w:space="0" w:color="000000"/>
              <w:left w:val="single" w:sz="6" w:space="0" w:color="000000"/>
              <w:right w:val="single" w:sz="6" w:space="0" w:color="000000"/>
            </w:tcBorders>
          </w:tcPr>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spacing w:before="10"/>
              <w:rPr>
                <w:rFonts w:ascii="黑体"/>
                <w:sz w:val="24"/>
              </w:rPr>
            </w:pPr>
          </w:p>
          <w:p>
            <w:pPr>
              <w:pStyle w:val="TableParagraph"/>
              <w:spacing w:line="324" w:lineRule="auto"/>
              <w:ind w:left="117" w:right="220"/>
              <w:rPr>
                <w:sz w:val="18"/>
              </w:rPr>
            </w:pPr>
            <w:r>
              <w:rPr>
                <w:sz w:val="18"/>
              </w:rPr>
              <w:t>从品牌与信誉的情况来反映清洁服务机构社会影响力的情况</w:t>
            </w:r>
          </w:p>
        </w:tc>
        <w:tc>
          <w:tcPr>
            <w:tcW w:w="655" w:type="dxa"/>
            <w:tcBorders>
              <w:top w:val="single" w:sz="6" w:space="0" w:color="000000"/>
              <w:left w:val="single" w:sz="6" w:space="0" w:color="000000"/>
              <w:bottom w:val="single" w:sz="6" w:space="0" w:color="000000"/>
              <w:right w:val="single" w:sz="6" w:space="0" w:color="000000"/>
            </w:tcBorders>
          </w:tcPr>
          <w:p>
            <w:pPr>
              <w:pStyle w:val="TableParagraph"/>
              <w:rPr>
                <w:rFonts w:ascii="黑体"/>
                <w:sz w:val="18"/>
              </w:rPr>
            </w:pPr>
          </w:p>
          <w:p>
            <w:pPr>
              <w:pStyle w:val="TableParagraph"/>
              <w:spacing w:before="119"/>
              <w:ind w:left="133" w:right="102"/>
              <w:jc w:val="center"/>
              <w:rPr>
                <w:sz w:val="18"/>
              </w:rPr>
            </w:pPr>
            <w:r>
              <w:rPr>
                <w:sz w:val="18"/>
              </w:rPr>
              <w:t>26</w:t>
            </w:r>
          </w:p>
        </w:tc>
        <w:tc>
          <w:tcPr>
            <w:tcW w:w="2736" w:type="dxa"/>
            <w:tcBorders>
              <w:top w:val="single" w:sz="6" w:space="0" w:color="000000"/>
              <w:left w:val="single" w:sz="6" w:space="0" w:color="000000"/>
              <w:bottom w:val="single" w:sz="6" w:space="0" w:color="000000"/>
              <w:right w:val="single" w:sz="6" w:space="0" w:color="000000"/>
            </w:tcBorders>
          </w:tcPr>
          <w:p>
            <w:pPr>
              <w:pStyle w:val="TableParagraph"/>
              <w:rPr>
                <w:rFonts w:ascii="黑体"/>
                <w:sz w:val="18"/>
              </w:rPr>
            </w:pPr>
          </w:p>
          <w:p>
            <w:pPr>
              <w:pStyle w:val="TableParagraph"/>
              <w:spacing w:before="119"/>
              <w:ind w:left="544" w:right="514"/>
              <w:jc w:val="center"/>
              <w:rPr>
                <w:sz w:val="18"/>
              </w:rPr>
            </w:pPr>
            <w:r>
              <w:rPr>
                <w:sz w:val="18"/>
              </w:rPr>
              <w:t>获得证书数量</w:t>
            </w:r>
          </w:p>
        </w:tc>
        <w:tc>
          <w:tcPr>
            <w:tcW w:w="2734" w:type="dxa"/>
            <w:tcBorders>
              <w:top w:val="single" w:sz="6" w:space="0" w:color="000000"/>
              <w:left w:val="single" w:sz="6" w:space="0" w:color="000000"/>
              <w:bottom w:val="single" w:sz="6" w:space="0" w:color="000000"/>
            </w:tcBorders>
          </w:tcPr>
          <w:p>
            <w:pPr>
              <w:pStyle w:val="TableParagraph"/>
              <w:spacing w:before="38"/>
              <w:ind w:left="115"/>
              <w:rPr>
                <w:sz w:val="18"/>
              </w:rPr>
            </w:pPr>
            <w:r>
              <w:rPr>
                <w:sz w:val="18"/>
              </w:rPr>
              <w:t>评价机构获得认证、执业资质、</w:t>
            </w:r>
          </w:p>
          <w:p>
            <w:pPr>
              <w:pStyle w:val="TableParagraph"/>
              <w:spacing w:before="2" w:line="310" w:lineRule="atLeast"/>
              <w:ind w:left="115" w:right="73"/>
              <w:rPr>
                <w:sz w:val="18"/>
              </w:rPr>
            </w:pPr>
            <w:r>
              <w:rPr>
                <w:sz w:val="18"/>
              </w:rPr>
              <w:t>行业荣誉、诚信等证书的情况对其品牌的影响</w:t>
            </w:r>
          </w:p>
        </w:tc>
      </w:tr>
      <w:tr>
        <w:tblPrEx>
          <w:tblW w:w="0" w:type="auto"/>
          <w:jc w:val="left"/>
          <w:tblInd w:w="766" w:type="dxa"/>
          <w:tblLayout w:type="fixed"/>
          <w:tblCellMar>
            <w:top w:w="0" w:type="dxa"/>
            <w:left w:w="0" w:type="dxa"/>
            <w:bottom w:w="0" w:type="dxa"/>
            <w:right w:w="0" w:type="dxa"/>
          </w:tblCellMar>
          <w:tblLook w:val="01E0"/>
        </w:tblPrEx>
        <w:trPr>
          <w:trHeight w:val="608"/>
          <w:jc w:val="left"/>
        </w:trPr>
        <w:tc>
          <w:tcPr>
            <w:tcW w:w="458" w:type="dxa"/>
            <w:vMerge/>
            <w:tcBorders>
              <w:top w:val="nil"/>
              <w:right w:val="single" w:sz="6" w:space="0" w:color="000000"/>
            </w:tcBorders>
            <w:textDirection w:val="tbRl"/>
          </w:tcPr>
          <w:p>
            <w:pPr>
              <w:rPr>
                <w:sz w:val="2"/>
                <w:szCs w:val="2"/>
              </w:rPr>
            </w:pPr>
          </w:p>
        </w:tc>
        <w:tc>
          <w:tcPr>
            <w:tcW w:w="3055" w:type="dxa"/>
            <w:vMerge/>
            <w:tcBorders>
              <w:top w:val="nil"/>
              <w:left w:val="single" w:sz="6" w:space="0" w:color="000000"/>
              <w:right w:val="single" w:sz="6" w:space="0" w:color="000000"/>
            </w:tcBorders>
          </w:tcPr>
          <w:p>
            <w:pPr>
              <w:rPr>
                <w:sz w:val="2"/>
                <w:szCs w:val="2"/>
              </w:rPr>
            </w:pPr>
          </w:p>
        </w:tc>
        <w:tc>
          <w:tcPr>
            <w:tcW w:w="655" w:type="dxa"/>
            <w:tcBorders>
              <w:top w:val="single" w:sz="6" w:space="0" w:color="000000"/>
              <w:left w:val="single" w:sz="6" w:space="0" w:color="000000"/>
              <w:bottom w:val="single" w:sz="6" w:space="0" w:color="000000"/>
              <w:right w:val="single" w:sz="6" w:space="0" w:color="000000"/>
            </w:tcBorders>
          </w:tcPr>
          <w:p>
            <w:pPr>
              <w:pStyle w:val="TableParagraph"/>
              <w:spacing w:before="7"/>
              <w:rPr>
                <w:rFonts w:ascii="黑体"/>
                <w:sz w:val="14"/>
              </w:rPr>
            </w:pPr>
          </w:p>
          <w:p>
            <w:pPr>
              <w:pStyle w:val="TableParagraph"/>
              <w:ind w:left="133" w:right="101"/>
              <w:jc w:val="center"/>
              <w:rPr>
                <w:sz w:val="18"/>
              </w:rPr>
            </w:pPr>
            <w:r>
              <w:rPr>
                <w:sz w:val="18"/>
              </w:rPr>
              <w:t>27</w:t>
            </w:r>
          </w:p>
        </w:tc>
        <w:tc>
          <w:tcPr>
            <w:tcW w:w="2736" w:type="dxa"/>
            <w:tcBorders>
              <w:top w:val="single" w:sz="6" w:space="0" w:color="000000"/>
              <w:left w:val="single" w:sz="6" w:space="0" w:color="000000"/>
              <w:bottom w:val="single" w:sz="6" w:space="0" w:color="000000"/>
              <w:right w:val="single" w:sz="6" w:space="0" w:color="000000"/>
            </w:tcBorders>
          </w:tcPr>
          <w:p>
            <w:pPr>
              <w:pStyle w:val="TableParagraph"/>
              <w:spacing w:before="7"/>
              <w:rPr>
                <w:rFonts w:ascii="黑体"/>
                <w:sz w:val="14"/>
              </w:rPr>
            </w:pPr>
          </w:p>
          <w:p>
            <w:pPr>
              <w:pStyle w:val="TableParagraph"/>
              <w:ind w:left="544" w:right="517"/>
              <w:jc w:val="center"/>
              <w:rPr>
                <w:sz w:val="18"/>
              </w:rPr>
            </w:pPr>
            <w:r>
              <w:rPr>
                <w:sz w:val="18"/>
              </w:rPr>
              <w:t>客户投诉及处理</w:t>
            </w:r>
          </w:p>
        </w:tc>
        <w:tc>
          <w:tcPr>
            <w:tcW w:w="2734" w:type="dxa"/>
            <w:tcBorders>
              <w:top w:val="single" w:sz="6" w:space="0" w:color="000000"/>
              <w:left w:val="single" w:sz="6" w:space="0" w:color="000000"/>
              <w:bottom w:val="single" w:sz="6" w:space="0" w:color="000000"/>
            </w:tcBorders>
          </w:tcPr>
          <w:p>
            <w:pPr>
              <w:pStyle w:val="TableParagraph"/>
              <w:spacing w:before="30"/>
              <w:ind w:left="115"/>
              <w:rPr>
                <w:sz w:val="18"/>
              </w:rPr>
            </w:pPr>
            <w:r>
              <w:rPr>
                <w:sz w:val="18"/>
              </w:rPr>
              <w:t>评价机构客户投诉预处理的情</w:t>
            </w:r>
          </w:p>
          <w:p>
            <w:pPr>
              <w:pStyle w:val="TableParagraph"/>
              <w:spacing w:before="82"/>
              <w:ind w:left="115"/>
              <w:rPr>
                <w:sz w:val="18"/>
              </w:rPr>
            </w:pPr>
            <w:r>
              <w:rPr>
                <w:sz w:val="18"/>
              </w:rPr>
              <w:t>况对其品牌与信誉的影响</w:t>
            </w:r>
          </w:p>
        </w:tc>
      </w:tr>
      <w:tr>
        <w:tblPrEx>
          <w:tblW w:w="0" w:type="auto"/>
          <w:jc w:val="left"/>
          <w:tblInd w:w="766" w:type="dxa"/>
          <w:tblLayout w:type="fixed"/>
          <w:tblCellMar>
            <w:top w:w="0" w:type="dxa"/>
            <w:left w:w="0" w:type="dxa"/>
            <w:bottom w:w="0" w:type="dxa"/>
            <w:right w:w="0" w:type="dxa"/>
          </w:tblCellMar>
          <w:tblLook w:val="01E0"/>
        </w:tblPrEx>
        <w:trPr>
          <w:trHeight w:val="608"/>
          <w:jc w:val="left"/>
        </w:trPr>
        <w:tc>
          <w:tcPr>
            <w:tcW w:w="458" w:type="dxa"/>
            <w:vMerge/>
            <w:tcBorders>
              <w:top w:val="nil"/>
              <w:right w:val="single" w:sz="6" w:space="0" w:color="000000"/>
            </w:tcBorders>
            <w:textDirection w:val="tbRl"/>
          </w:tcPr>
          <w:p>
            <w:pPr>
              <w:rPr>
                <w:sz w:val="2"/>
                <w:szCs w:val="2"/>
              </w:rPr>
            </w:pPr>
          </w:p>
        </w:tc>
        <w:tc>
          <w:tcPr>
            <w:tcW w:w="3055" w:type="dxa"/>
            <w:vMerge/>
            <w:tcBorders>
              <w:top w:val="nil"/>
              <w:left w:val="single" w:sz="6" w:space="0" w:color="000000"/>
              <w:right w:val="single" w:sz="6" w:space="0" w:color="000000"/>
            </w:tcBorders>
          </w:tcPr>
          <w:p>
            <w:pPr>
              <w:rPr>
                <w:sz w:val="2"/>
                <w:szCs w:val="2"/>
              </w:rPr>
            </w:pPr>
          </w:p>
        </w:tc>
        <w:tc>
          <w:tcPr>
            <w:tcW w:w="655" w:type="dxa"/>
            <w:tcBorders>
              <w:top w:val="single" w:sz="6" w:space="0" w:color="000000"/>
              <w:left w:val="single" w:sz="6" w:space="0" w:color="000000"/>
              <w:bottom w:val="single" w:sz="6" w:space="0" w:color="000000"/>
              <w:right w:val="single" w:sz="6" w:space="0" w:color="000000"/>
            </w:tcBorders>
          </w:tcPr>
          <w:p>
            <w:pPr>
              <w:pStyle w:val="TableParagraph"/>
              <w:spacing w:before="7"/>
              <w:rPr>
                <w:rFonts w:ascii="黑体"/>
                <w:sz w:val="14"/>
              </w:rPr>
            </w:pPr>
          </w:p>
          <w:p>
            <w:pPr>
              <w:pStyle w:val="TableParagraph"/>
              <w:ind w:left="133" w:right="101"/>
              <w:jc w:val="center"/>
              <w:rPr>
                <w:sz w:val="18"/>
              </w:rPr>
            </w:pPr>
            <w:r>
              <w:rPr>
                <w:sz w:val="18"/>
              </w:rPr>
              <w:t>28</w:t>
            </w:r>
          </w:p>
        </w:tc>
        <w:tc>
          <w:tcPr>
            <w:tcW w:w="2736" w:type="dxa"/>
            <w:tcBorders>
              <w:top w:val="single" w:sz="6" w:space="0" w:color="000000"/>
              <w:left w:val="single" w:sz="6" w:space="0" w:color="000000"/>
              <w:bottom w:val="single" w:sz="6" w:space="0" w:color="000000"/>
              <w:right w:val="single" w:sz="6" w:space="0" w:color="000000"/>
            </w:tcBorders>
          </w:tcPr>
          <w:p>
            <w:pPr>
              <w:pStyle w:val="TableParagraph"/>
              <w:spacing w:before="7"/>
              <w:rPr>
                <w:rFonts w:ascii="黑体"/>
                <w:sz w:val="14"/>
              </w:rPr>
            </w:pPr>
          </w:p>
          <w:p>
            <w:pPr>
              <w:pStyle w:val="TableParagraph"/>
              <w:ind w:left="544" w:right="517"/>
              <w:jc w:val="center"/>
              <w:rPr>
                <w:sz w:val="18"/>
              </w:rPr>
            </w:pPr>
            <w:r>
              <w:rPr>
                <w:sz w:val="18"/>
              </w:rPr>
              <w:t>公示电话与客户来访</w:t>
            </w:r>
          </w:p>
        </w:tc>
        <w:tc>
          <w:tcPr>
            <w:tcW w:w="2734" w:type="dxa"/>
            <w:tcBorders>
              <w:top w:val="single" w:sz="6" w:space="0" w:color="000000"/>
              <w:left w:val="single" w:sz="6" w:space="0" w:color="000000"/>
              <w:bottom w:val="single" w:sz="6" w:space="0" w:color="000000"/>
            </w:tcBorders>
          </w:tcPr>
          <w:p>
            <w:pPr>
              <w:pStyle w:val="TableParagraph"/>
              <w:spacing w:before="30"/>
              <w:ind w:left="115"/>
              <w:rPr>
                <w:sz w:val="18"/>
              </w:rPr>
            </w:pPr>
            <w:r>
              <w:rPr>
                <w:sz w:val="18"/>
              </w:rPr>
              <w:t>评价机构服务接待的情况对其</w:t>
            </w:r>
          </w:p>
          <w:p>
            <w:pPr>
              <w:pStyle w:val="TableParagraph"/>
              <w:spacing w:before="82"/>
              <w:ind w:left="115"/>
              <w:rPr>
                <w:sz w:val="18"/>
              </w:rPr>
            </w:pPr>
            <w:r>
              <w:rPr>
                <w:sz w:val="18"/>
              </w:rPr>
              <w:t>品牌与信誉的影响</w:t>
            </w:r>
          </w:p>
        </w:tc>
      </w:tr>
      <w:tr>
        <w:tblPrEx>
          <w:tblW w:w="0" w:type="auto"/>
          <w:jc w:val="left"/>
          <w:tblInd w:w="766" w:type="dxa"/>
          <w:tblLayout w:type="fixed"/>
          <w:tblCellMar>
            <w:top w:w="0" w:type="dxa"/>
            <w:left w:w="0" w:type="dxa"/>
            <w:bottom w:w="0" w:type="dxa"/>
            <w:right w:w="0" w:type="dxa"/>
          </w:tblCellMar>
          <w:tblLook w:val="01E0"/>
        </w:tblPrEx>
        <w:trPr>
          <w:trHeight w:val="610"/>
          <w:jc w:val="left"/>
        </w:trPr>
        <w:tc>
          <w:tcPr>
            <w:tcW w:w="458" w:type="dxa"/>
            <w:vMerge/>
            <w:tcBorders>
              <w:top w:val="nil"/>
              <w:right w:val="single" w:sz="6" w:space="0" w:color="000000"/>
            </w:tcBorders>
            <w:textDirection w:val="tbRl"/>
          </w:tcPr>
          <w:p>
            <w:pPr>
              <w:rPr>
                <w:sz w:val="2"/>
                <w:szCs w:val="2"/>
              </w:rPr>
            </w:pPr>
          </w:p>
        </w:tc>
        <w:tc>
          <w:tcPr>
            <w:tcW w:w="3055" w:type="dxa"/>
            <w:vMerge/>
            <w:tcBorders>
              <w:top w:val="nil"/>
              <w:left w:val="single" w:sz="6" w:space="0" w:color="000000"/>
              <w:right w:val="single" w:sz="6" w:space="0" w:color="000000"/>
            </w:tcBorders>
          </w:tcPr>
          <w:p>
            <w:pPr>
              <w:rPr>
                <w:sz w:val="2"/>
                <w:szCs w:val="2"/>
              </w:rPr>
            </w:pPr>
          </w:p>
        </w:tc>
        <w:tc>
          <w:tcPr>
            <w:tcW w:w="655" w:type="dxa"/>
            <w:tcBorders>
              <w:top w:val="single" w:sz="6" w:space="0" w:color="000000"/>
              <w:left w:val="single" w:sz="6" w:space="0" w:color="000000"/>
              <w:bottom w:val="single" w:sz="6" w:space="0" w:color="000000"/>
              <w:right w:val="single" w:sz="6" w:space="0" w:color="000000"/>
            </w:tcBorders>
          </w:tcPr>
          <w:p>
            <w:pPr>
              <w:pStyle w:val="TableParagraph"/>
              <w:spacing w:before="9"/>
              <w:rPr>
                <w:rFonts w:ascii="黑体"/>
                <w:sz w:val="14"/>
              </w:rPr>
            </w:pPr>
          </w:p>
          <w:p>
            <w:pPr>
              <w:pStyle w:val="TableParagraph"/>
              <w:ind w:left="133" w:right="101"/>
              <w:jc w:val="center"/>
              <w:rPr>
                <w:sz w:val="18"/>
              </w:rPr>
            </w:pPr>
            <w:r>
              <w:rPr>
                <w:sz w:val="18"/>
              </w:rPr>
              <w:t>29</w:t>
            </w:r>
          </w:p>
        </w:tc>
        <w:tc>
          <w:tcPr>
            <w:tcW w:w="2736" w:type="dxa"/>
            <w:tcBorders>
              <w:top w:val="single" w:sz="6" w:space="0" w:color="000000"/>
              <w:left w:val="single" w:sz="6" w:space="0" w:color="000000"/>
              <w:bottom w:val="single" w:sz="6" w:space="0" w:color="000000"/>
              <w:right w:val="single" w:sz="6" w:space="0" w:color="000000"/>
            </w:tcBorders>
          </w:tcPr>
          <w:p>
            <w:pPr>
              <w:pStyle w:val="TableParagraph"/>
              <w:spacing w:before="9"/>
              <w:rPr>
                <w:rFonts w:ascii="黑体"/>
                <w:sz w:val="14"/>
              </w:rPr>
            </w:pPr>
          </w:p>
          <w:p>
            <w:pPr>
              <w:pStyle w:val="TableParagraph"/>
              <w:ind w:left="544" w:right="514"/>
              <w:jc w:val="center"/>
              <w:rPr>
                <w:sz w:val="18"/>
              </w:rPr>
            </w:pPr>
            <w:r>
              <w:rPr>
                <w:sz w:val="18"/>
              </w:rPr>
              <w:t>安全生产</w:t>
            </w:r>
          </w:p>
        </w:tc>
        <w:tc>
          <w:tcPr>
            <w:tcW w:w="2734" w:type="dxa"/>
            <w:tcBorders>
              <w:top w:val="single" w:sz="6" w:space="0" w:color="000000"/>
              <w:left w:val="single" w:sz="6" w:space="0" w:color="000000"/>
              <w:bottom w:val="single" w:sz="6" w:space="0" w:color="000000"/>
            </w:tcBorders>
          </w:tcPr>
          <w:p>
            <w:pPr>
              <w:pStyle w:val="TableParagraph"/>
              <w:spacing w:before="33"/>
              <w:ind w:left="115"/>
              <w:rPr>
                <w:sz w:val="18"/>
              </w:rPr>
            </w:pPr>
            <w:r>
              <w:rPr>
                <w:sz w:val="18"/>
              </w:rPr>
              <w:t>评价机构安全生产的情况对其</w:t>
            </w:r>
          </w:p>
          <w:p>
            <w:pPr>
              <w:pStyle w:val="TableParagraph"/>
              <w:spacing w:before="81"/>
              <w:ind w:left="115"/>
              <w:rPr>
                <w:sz w:val="18"/>
              </w:rPr>
            </w:pPr>
            <w:r>
              <w:rPr>
                <w:sz w:val="18"/>
              </w:rPr>
              <w:t>品牌与信誉的影响</w:t>
            </w:r>
          </w:p>
        </w:tc>
      </w:tr>
      <w:tr>
        <w:tblPrEx>
          <w:tblW w:w="0" w:type="auto"/>
          <w:jc w:val="left"/>
          <w:tblInd w:w="766" w:type="dxa"/>
          <w:tblLayout w:type="fixed"/>
          <w:tblCellMar>
            <w:top w:w="0" w:type="dxa"/>
            <w:left w:w="0" w:type="dxa"/>
            <w:bottom w:w="0" w:type="dxa"/>
            <w:right w:w="0" w:type="dxa"/>
          </w:tblCellMar>
          <w:tblLook w:val="01E0"/>
        </w:tblPrEx>
        <w:trPr>
          <w:trHeight w:val="615"/>
          <w:jc w:val="left"/>
        </w:trPr>
        <w:tc>
          <w:tcPr>
            <w:tcW w:w="458" w:type="dxa"/>
            <w:vMerge/>
            <w:tcBorders>
              <w:top w:val="nil"/>
              <w:right w:val="single" w:sz="6" w:space="0" w:color="000000"/>
            </w:tcBorders>
            <w:textDirection w:val="tbRl"/>
          </w:tcPr>
          <w:p>
            <w:pPr>
              <w:rPr>
                <w:sz w:val="2"/>
                <w:szCs w:val="2"/>
              </w:rPr>
            </w:pPr>
          </w:p>
        </w:tc>
        <w:tc>
          <w:tcPr>
            <w:tcW w:w="3055" w:type="dxa"/>
            <w:vMerge/>
            <w:tcBorders>
              <w:top w:val="nil"/>
              <w:left w:val="single" w:sz="6" w:space="0" w:color="000000"/>
              <w:right w:val="single" w:sz="6" w:space="0" w:color="000000"/>
            </w:tcBorders>
          </w:tcPr>
          <w:p>
            <w:pPr>
              <w:rPr>
                <w:sz w:val="2"/>
                <w:szCs w:val="2"/>
              </w:rPr>
            </w:pPr>
          </w:p>
        </w:tc>
        <w:tc>
          <w:tcPr>
            <w:tcW w:w="655" w:type="dxa"/>
            <w:tcBorders>
              <w:top w:val="single" w:sz="6" w:space="0" w:color="000000"/>
              <w:left w:val="single" w:sz="6" w:space="0" w:color="000000"/>
              <w:right w:val="single" w:sz="6" w:space="0" w:color="000000"/>
            </w:tcBorders>
          </w:tcPr>
          <w:p>
            <w:pPr>
              <w:pStyle w:val="TableParagraph"/>
              <w:spacing w:before="7"/>
              <w:rPr>
                <w:rFonts w:ascii="黑体"/>
                <w:sz w:val="14"/>
              </w:rPr>
            </w:pPr>
          </w:p>
          <w:p>
            <w:pPr>
              <w:pStyle w:val="TableParagraph"/>
              <w:ind w:left="133" w:right="101"/>
              <w:jc w:val="center"/>
              <w:rPr>
                <w:sz w:val="18"/>
              </w:rPr>
            </w:pPr>
            <w:r>
              <w:rPr>
                <w:sz w:val="18"/>
              </w:rPr>
              <w:t>30</w:t>
            </w:r>
          </w:p>
        </w:tc>
        <w:tc>
          <w:tcPr>
            <w:tcW w:w="2736" w:type="dxa"/>
            <w:tcBorders>
              <w:top w:val="single" w:sz="6" w:space="0" w:color="000000"/>
              <w:left w:val="single" w:sz="6" w:space="0" w:color="000000"/>
              <w:right w:val="single" w:sz="6" w:space="0" w:color="000000"/>
            </w:tcBorders>
          </w:tcPr>
          <w:p>
            <w:pPr>
              <w:pStyle w:val="TableParagraph"/>
              <w:spacing w:before="7"/>
              <w:rPr>
                <w:rFonts w:ascii="黑体"/>
                <w:sz w:val="14"/>
              </w:rPr>
            </w:pPr>
          </w:p>
          <w:p>
            <w:pPr>
              <w:pStyle w:val="TableParagraph"/>
              <w:ind w:left="544" w:right="514"/>
              <w:jc w:val="center"/>
              <w:rPr>
                <w:sz w:val="18"/>
              </w:rPr>
            </w:pPr>
            <w:r>
              <w:rPr>
                <w:sz w:val="18"/>
              </w:rPr>
              <w:t>创新成果</w:t>
            </w:r>
          </w:p>
        </w:tc>
        <w:tc>
          <w:tcPr>
            <w:tcW w:w="2734" w:type="dxa"/>
            <w:tcBorders>
              <w:top w:val="single" w:sz="6" w:space="0" w:color="000000"/>
              <w:left w:val="single" w:sz="6" w:space="0" w:color="000000"/>
            </w:tcBorders>
          </w:tcPr>
          <w:p>
            <w:pPr>
              <w:pStyle w:val="TableParagraph"/>
              <w:spacing w:before="30"/>
              <w:ind w:left="115"/>
              <w:rPr>
                <w:sz w:val="18"/>
              </w:rPr>
            </w:pPr>
            <w:r>
              <w:rPr>
                <w:sz w:val="18"/>
              </w:rPr>
              <w:t>评价机构创新成果的情况对其</w:t>
            </w:r>
          </w:p>
          <w:p>
            <w:pPr>
              <w:pStyle w:val="TableParagraph"/>
              <w:spacing w:before="82"/>
              <w:ind w:left="115"/>
              <w:rPr>
                <w:sz w:val="18"/>
              </w:rPr>
            </w:pPr>
            <w:r>
              <w:rPr>
                <w:sz w:val="18"/>
              </w:rPr>
              <w:t>品牌与信誉的影响</w:t>
            </w:r>
          </w:p>
        </w:tc>
      </w:tr>
    </w:tbl>
    <w:p>
      <w:pPr>
        <w:pStyle w:val="BodyText"/>
        <w:rPr>
          <w:rFonts w:ascii="黑体"/>
          <w:sz w:val="20"/>
        </w:rPr>
      </w:pPr>
    </w:p>
    <w:p>
      <w:pPr>
        <w:pStyle w:val="BodyText"/>
        <w:rPr>
          <w:rFonts w:ascii="黑体"/>
          <w:sz w:val="20"/>
        </w:rPr>
      </w:pPr>
    </w:p>
    <w:p>
      <w:pPr>
        <w:pStyle w:val="BodyText"/>
        <w:spacing w:before="3"/>
        <w:rPr>
          <w:rFonts w:ascii="黑体"/>
        </w:rPr>
      </w:pPr>
      <w:r>
        <w:pict>
          <v:shape id="_x0000_s1069" type="#_x0000_t202" style="width:5.5pt;height:9pt;margin-top:15.6pt;margin-left:67.68pt;mso-position-horizontal-relative:page;mso-wrap-distance-left:0;mso-wrap-distance-right:0;position:absolute;z-index:-251637760" filled="f" stroked="f">
            <v:textbox inset="0,0,0,0">
              <w:txbxContent>
                <w:p>
                  <w:pPr>
                    <w:spacing w:before="0" w:line="180" w:lineRule="exact"/>
                    <w:ind w:left="0" w:right="0" w:firstLine="0"/>
                    <w:jc w:val="left"/>
                    <w:rPr>
                      <w:sz w:val="18"/>
                    </w:rPr>
                  </w:pPr>
                  <w:r>
                    <w:rPr>
                      <w:sz w:val="18"/>
                    </w:rPr>
                    <w:t>6</w:t>
                  </w:r>
                </w:p>
              </w:txbxContent>
            </v:textbox>
            <w10:wrap type="topAndBottom"/>
          </v:shape>
        </w:pict>
      </w:r>
    </w:p>
    <w:p>
      <w:pPr>
        <w:spacing w:after="0"/>
        <w:rPr>
          <w:rFonts w:ascii="黑体"/>
        </w:rPr>
      </w:pPr>
      <w:r>
        <w:rPr>
          <w:rFonts w:ascii="黑体"/>
        </w:rPr>
        <w:br/>
      </w:r>
      <w:r>
        <w:rPr>
          <w:rFonts w:ascii="黑体"/>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6" w:history="1">
        <w:r>
          <w:rPr>
            <w:rFonts w:ascii="SimSun" w:eastAsia="SimSun" w:hAnsi="SimSun" w:cs="SimSun"/>
            <w:b/>
            <w:bCs/>
            <w:color w:val="0000EE"/>
            <w:sz w:val="30"/>
            <w:szCs w:val="30"/>
            <w:u w:val="single" w:color="0000EE"/>
          </w:rPr>
          <w:t>https://d.book118.com/328065141027006031</w:t>
        </w:r>
      </w:hyperlink>
    </w:p>
    <w:p>
      <w:pPr>
        <w:spacing w:after="0"/>
        <w:rPr>
          <w:rFonts w:ascii="黑体"/>
        </w:rPr>
      </w:pPr>
    </w:p>
    <w:sectPr>
      <w:headerReference w:type="even" r:id="rId37"/>
      <w:headerReference w:type="default" r:id="rId38"/>
      <w:footerReference w:type="default" r:id="rId39"/>
      <w:pgSz w:w="11910" w:h="16840"/>
      <w:pgMar w:top="2160" w:right="260" w:bottom="280" w:left="240" w:header="1448" w:footer="0"/>
      <w:pgNumType w:start="2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Cambria Math">
    <w:altName w:val="Cambria Math"/>
    <w:charset w:val="00"/>
    <w:family w:val="roman"/>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91.4pt;height:12.6pt;margin-top:71.4pt;margin-left:55.64pt;mso-position-horizontal-relative:page;mso-position-vertical-relative:page;position:absolute;z-index:-251657216" filled="f" stroked="f">
          <v:textbox inset="0,0,0,0">
            <w:txbxContent>
              <w:p>
                <w:pPr>
                  <w:pStyle w:val="BodyText"/>
                  <w:spacing w:line="251" w:lineRule="exact"/>
                  <w:ind w:left="20"/>
                  <w:rPr>
                    <w:rFonts w:ascii="黑体"/>
                  </w:rPr>
                </w:pPr>
                <w:r>
                  <w:rPr>
                    <w:rFonts w:ascii="黑体"/>
                  </w:rPr>
                  <w:t>DB4201/T 532-2017</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96.7pt;height:13.7pt;margin-top:71.07pt;margin-left:443pt;mso-position-horizontal-relative:page;mso-position-vertical-relative:page;position:absolute;z-index:-251658240" filled="f" stroked="f">
          <v:textbox inset="0,0,0,0">
            <w:txbxContent>
              <w:p>
                <w:pPr>
                  <w:pStyle w:val="BodyText"/>
                  <w:spacing w:line="267" w:lineRule="exact"/>
                  <w:ind w:left="20"/>
                  <w:rPr>
                    <w:rFonts w:ascii="黑体" w:hAnsi="黑体"/>
                  </w:rPr>
                </w:pPr>
                <w:r>
                  <w:rPr>
                    <w:rFonts w:ascii="黑体" w:hAnsi="黑体"/>
                  </w:rPr>
                  <w:t>DB4201/T 532</w:t>
                </w:r>
                <w:r>
                  <w:rPr>
                    <w:rFonts w:ascii="Times New Roman" w:hAnsi="Times New Roman"/>
                  </w:rPr>
                  <w:t>—</w:t>
                </w:r>
                <w:r>
                  <w:rPr>
                    <w:rFonts w:ascii="黑体" w:hAnsi="黑体"/>
                  </w:rPr>
                  <w:t>2017</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91.4pt;height:12.6pt;margin-top:71.4pt;margin-left:55.64pt;mso-position-horizontal-relative:page;mso-position-vertical-relative:page;position:absolute;z-index:-251655168" filled="f" stroked="f">
          <v:textbox inset="0,0,0,0">
            <w:txbxContent>
              <w:p>
                <w:pPr>
                  <w:pStyle w:val="BodyText"/>
                  <w:spacing w:line="251" w:lineRule="exact"/>
                  <w:ind w:left="20"/>
                  <w:rPr>
                    <w:rFonts w:ascii="黑体"/>
                  </w:rPr>
                </w:pPr>
                <w:r>
                  <w:rPr>
                    <w:rFonts w:ascii="黑体"/>
                  </w:rPr>
                  <w:t>DB4201/T 532-2017</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96.7pt;height:13.7pt;margin-top:71.07pt;margin-left:443pt;mso-position-horizontal-relative:page;mso-position-vertical-relative:page;position:absolute;z-index:-251656192" filled="f" stroked="f">
          <v:textbox inset="0,0,0,0">
            <w:txbxContent>
              <w:p>
                <w:pPr>
                  <w:pStyle w:val="BodyText"/>
                  <w:spacing w:line="267" w:lineRule="exact"/>
                  <w:ind w:left="20"/>
                  <w:rPr>
                    <w:rFonts w:ascii="黑体" w:hAnsi="黑体"/>
                  </w:rPr>
                </w:pPr>
                <w:r>
                  <w:rPr>
                    <w:rFonts w:ascii="黑体" w:hAnsi="黑体"/>
                  </w:rPr>
                  <w:t>DB4201/T 532</w:t>
                </w:r>
                <w:r>
                  <w:rPr>
                    <w:rFonts w:ascii="Times New Roman" w:hAnsi="Times New Roman"/>
                  </w:rPr>
                  <w:t>—</w:t>
                </w:r>
                <w:r>
                  <w:rPr>
                    <w:rFonts w:ascii="黑体" w:hAnsi="黑体"/>
                  </w:rPr>
                  <w:t>2017</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91.4pt;height:12.6pt;margin-top:71.4pt;margin-left:55.64pt;mso-position-horizontal-relative:page;mso-position-vertical-relative:page;position:absolute;z-index:-251653120" filled="f" stroked="f">
          <v:textbox inset="0,0,0,0">
            <w:txbxContent>
              <w:p>
                <w:pPr>
                  <w:pStyle w:val="BodyText"/>
                  <w:spacing w:line="251" w:lineRule="exact"/>
                  <w:ind w:left="20"/>
                  <w:rPr>
                    <w:rFonts w:ascii="黑体"/>
                  </w:rPr>
                </w:pPr>
                <w:r>
                  <w:rPr>
                    <w:rFonts w:ascii="黑体"/>
                  </w:rPr>
                  <w:t>DB4201/T 532-2017</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96.7pt;height:13.7pt;margin-top:71.07pt;margin-left:443pt;mso-position-horizontal-relative:page;mso-position-vertical-relative:page;position:absolute;z-index:-251654144" filled="f" stroked="f">
          <v:textbox inset="0,0,0,0">
            <w:txbxContent>
              <w:p>
                <w:pPr>
                  <w:pStyle w:val="BodyText"/>
                  <w:spacing w:line="267" w:lineRule="exact"/>
                  <w:ind w:left="20"/>
                  <w:rPr>
                    <w:rFonts w:ascii="黑体" w:hAnsi="黑体"/>
                  </w:rPr>
                </w:pPr>
                <w:r>
                  <w:rPr>
                    <w:rFonts w:ascii="黑体" w:hAnsi="黑体"/>
                  </w:rPr>
                  <w:t>DB4201/T 532</w:t>
                </w:r>
                <w:r>
                  <w:rPr>
                    <w:rFonts w:ascii="Times New Roman" w:hAnsi="Times New Roman"/>
                  </w:rPr>
                  <w:t>—</w:t>
                </w:r>
                <w:r>
                  <w:rPr>
                    <w:rFonts w:ascii="黑体" w:hAnsi="黑体"/>
                  </w:rPr>
                  <w:t>2017</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96.7pt;height:13.7pt;margin-top:71.07pt;margin-left:443pt;mso-position-horizontal-relative:page;mso-position-vertical-relative:page;position:absolute;z-index:-251652096" filled="f" stroked="f">
          <v:textbox inset="0,0,0,0">
            <w:txbxContent>
              <w:p>
                <w:pPr>
                  <w:pStyle w:val="BodyText"/>
                  <w:spacing w:line="267" w:lineRule="exact"/>
                  <w:ind w:left="20"/>
                  <w:rPr>
                    <w:rFonts w:ascii="黑体" w:hAnsi="黑体"/>
                  </w:rPr>
                </w:pPr>
                <w:r>
                  <w:rPr>
                    <w:rFonts w:ascii="黑体" w:hAnsi="黑体"/>
                  </w:rPr>
                  <w:t>DB4201/T 532</w:t>
                </w:r>
                <w:r>
                  <w:rPr>
                    <w:rFonts w:ascii="Times New Roman" w:hAnsi="Times New Roman"/>
                  </w:rPr>
                  <w:t>—</w:t>
                </w:r>
                <w:r>
                  <w:rPr>
                    <w:rFonts w:ascii="黑体" w:hAnsi="黑体"/>
                  </w:rPr>
                  <w:t>2017</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91.4pt;height:12.6pt;margin-top:71.4pt;margin-left:55.64pt;mso-position-horizontal-relative:page;mso-position-vertical-relative:page;position:absolute;z-index:-251651072" filled="f" stroked="f">
          <v:textbox inset="0,0,0,0">
            <w:txbxContent>
              <w:p>
                <w:pPr>
                  <w:pStyle w:val="BodyText"/>
                  <w:spacing w:line="251" w:lineRule="exact"/>
                  <w:ind w:left="20"/>
                  <w:rPr>
                    <w:rFonts w:ascii="黑体"/>
                  </w:rPr>
                </w:pPr>
                <w:r>
                  <w:rPr>
                    <w:rFonts w:ascii="黑体"/>
                  </w:rPr>
                  <w:t>DB4201/T 532-2017</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91.4pt;height:12.6pt;margin-top:71.4pt;margin-left:55.64pt;mso-position-horizontal-relative:page;mso-position-vertical-relative:page;position:absolute;z-index:-251650048" filled="f" stroked="f">
          <v:textbox inset="0,0,0,0">
            <w:txbxContent>
              <w:p>
                <w:pPr>
                  <w:pStyle w:val="BodyText"/>
                  <w:spacing w:line="251" w:lineRule="exact"/>
                  <w:ind w:left="20"/>
                  <w:rPr>
                    <w:rFonts w:ascii="黑体"/>
                  </w:rPr>
                </w:pPr>
                <w:r>
                  <w:rPr>
                    <w:rFonts w:ascii="黑体"/>
                  </w:rPr>
                  <w:t>DB4201/T 532-2017</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91.4pt;height:12.6pt;margin-top:71.4pt;margin-left:55.64pt;mso-position-horizontal-relative:page;mso-position-vertical-relative:page;position:absolute;z-index:-251649024" filled="f" stroked="f">
          <v:textbox inset="0,0,0,0">
            <w:txbxContent>
              <w:p>
                <w:pPr>
                  <w:pStyle w:val="BodyText"/>
                  <w:spacing w:line="251" w:lineRule="exact"/>
                  <w:ind w:left="20"/>
                  <w:rPr>
                    <w:rFonts w:ascii="黑体"/>
                  </w:rPr>
                </w:pPr>
                <w:r>
                  <w:rPr>
                    <w:rFonts w:ascii="黑体"/>
                  </w:rPr>
                  <w:t>DB4201/T 532-2017</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91.4pt;height:12.6pt;margin-top:71.4pt;margin-left:55.64pt;mso-position-horizontal-relative:page;mso-position-vertical-relative:page;position:absolute;z-index:-251648000" filled="f" stroked="f">
          <v:textbox inset="0,0,0,0">
            <w:txbxContent>
              <w:p>
                <w:pPr>
                  <w:pStyle w:val="BodyText"/>
                  <w:spacing w:line="251" w:lineRule="exact"/>
                  <w:ind w:left="20"/>
                  <w:rPr>
                    <w:rFonts w:ascii="黑体"/>
                  </w:rPr>
                </w:pPr>
                <w:r>
                  <w:rPr>
                    <w:rFonts w:ascii="黑体"/>
                  </w:rPr>
                  <w:t>DB4201/T 532-2017</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91.4pt;height:12.6pt;margin-top:71.4pt;margin-left:55.64pt;mso-position-horizontal-relative:page;mso-position-vertical-relative:page;position:absolute;z-index:-251646976" filled="f" stroked="f">
          <v:textbox inset="0,0,0,0">
            <w:txbxContent>
              <w:p>
                <w:pPr>
                  <w:pStyle w:val="BodyText"/>
                  <w:spacing w:line="251" w:lineRule="exact"/>
                  <w:ind w:left="20"/>
                  <w:rPr>
                    <w:rFonts w:ascii="黑体"/>
                  </w:rPr>
                </w:pPr>
                <w:r>
                  <w:rPr>
                    <w:rFonts w:ascii="黑体"/>
                  </w:rPr>
                  <w:t>DB4201/T 532-2017</w:t>
                </w:r>
              </w:p>
            </w:txbxContent>
          </v:textbox>
        </v:shape>
      </w:pict>
    </w:r>
    <w:r>
      <w:pict>
        <v:shape id="_x0000_s2061" type="#_x0000_t202" style="width:62.4pt;height:12.6pt;margin-top:97.08pt;margin-left:259.28pt;mso-position-horizontal-relative:page;mso-position-vertical-relative:page;position:absolute;z-index:-251645952" filled="f" stroked="f">
          <v:textbox inset="0,0,0,0">
            <w:txbxContent>
              <w:p>
                <w:pPr>
                  <w:pStyle w:val="BodyText"/>
                  <w:spacing w:line="251" w:lineRule="exact"/>
                  <w:ind w:left="20"/>
                </w:pPr>
                <w:r>
                  <w:rPr>
                    <w:rFonts w:ascii="黑体" w:eastAsia="黑体" w:hint="eastAsia"/>
                    <w:spacing w:val="-26"/>
                  </w:rPr>
                  <w:t xml:space="preserve">表 </w:t>
                </w:r>
                <w:r>
                  <w:rPr>
                    <w:rFonts w:ascii="黑体" w:eastAsia="黑体" w:hint="eastAsia"/>
                  </w:rPr>
                  <w:t>A.1</w:t>
                </w:r>
                <w:r>
                  <w:t>（</w:t>
                </w:r>
                <w:r>
                  <w:rPr>
                    <w:spacing w:val="-3"/>
                  </w:rPr>
                  <w:t>续）</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FE287"/>
    <w:multiLevelType w:val="hybridMultilevel"/>
    <w:tmpl w:val="00000000"/>
    <w:lvl w:ilvl="0">
      <w:start w:val="3"/>
      <w:numFmt w:val="decimal"/>
      <w:lvlText w:val="%1"/>
      <w:lvlJc w:val="left"/>
      <w:pPr>
        <w:ind w:left="525" w:hanging="526"/>
        <w:jc w:val="left"/>
      </w:pPr>
      <w:rPr>
        <w:rFonts w:hint="default"/>
        <w:lang w:val="en-US" w:eastAsia="en-US" w:bidi="ar-SA"/>
      </w:rPr>
    </w:lvl>
    <w:lvl w:ilvl="1">
      <w:start w:val="1"/>
      <w:numFmt w:val="decimal"/>
      <w:lvlText w:val="%1.%2"/>
      <w:lvlJc w:val="left"/>
      <w:pPr>
        <w:ind w:left="525" w:hanging="526"/>
        <w:jc w:val="left"/>
      </w:pPr>
      <w:rPr>
        <w:rFonts w:ascii="黑体" w:eastAsia="黑体" w:hAnsi="黑体" w:cs="黑体" w:hint="default"/>
        <w:w w:val="100"/>
        <w:sz w:val="21"/>
        <w:szCs w:val="21"/>
        <w:lang w:val="en-US" w:eastAsia="en-US" w:bidi="ar-SA"/>
      </w:rPr>
    </w:lvl>
    <w:lvl w:ilvl="2">
      <w:start w:val="0"/>
      <w:numFmt w:val="bullet"/>
      <w:lvlText w:val="•"/>
      <w:lvlJc w:val="left"/>
      <w:pPr>
        <w:ind w:left="2290" w:hanging="526"/>
      </w:pPr>
      <w:rPr>
        <w:rFonts w:hint="default"/>
        <w:lang w:val="en-US" w:eastAsia="en-US" w:bidi="ar-SA"/>
      </w:rPr>
    </w:lvl>
    <w:lvl w:ilvl="3">
      <w:start w:val="0"/>
      <w:numFmt w:val="bullet"/>
      <w:lvlText w:val="•"/>
      <w:lvlJc w:val="left"/>
      <w:pPr>
        <w:ind w:left="3175" w:hanging="526"/>
      </w:pPr>
      <w:rPr>
        <w:rFonts w:hint="default"/>
        <w:lang w:val="en-US" w:eastAsia="en-US" w:bidi="ar-SA"/>
      </w:rPr>
    </w:lvl>
    <w:lvl w:ilvl="4">
      <w:start w:val="0"/>
      <w:numFmt w:val="bullet"/>
      <w:lvlText w:val="•"/>
      <w:lvlJc w:val="left"/>
      <w:pPr>
        <w:ind w:left="4060" w:hanging="526"/>
      </w:pPr>
      <w:rPr>
        <w:rFonts w:hint="default"/>
        <w:lang w:val="en-US" w:eastAsia="en-US" w:bidi="ar-SA"/>
      </w:rPr>
    </w:lvl>
    <w:lvl w:ilvl="5">
      <w:start w:val="0"/>
      <w:numFmt w:val="bullet"/>
      <w:lvlText w:val="•"/>
      <w:lvlJc w:val="left"/>
      <w:pPr>
        <w:ind w:left="4945" w:hanging="526"/>
      </w:pPr>
      <w:rPr>
        <w:rFonts w:hint="default"/>
        <w:lang w:val="en-US" w:eastAsia="en-US" w:bidi="ar-SA"/>
      </w:rPr>
    </w:lvl>
    <w:lvl w:ilvl="6">
      <w:start w:val="0"/>
      <w:numFmt w:val="bullet"/>
      <w:lvlText w:val="•"/>
      <w:lvlJc w:val="left"/>
      <w:pPr>
        <w:ind w:left="5830" w:hanging="526"/>
      </w:pPr>
      <w:rPr>
        <w:rFonts w:hint="default"/>
        <w:lang w:val="en-US" w:eastAsia="en-US" w:bidi="ar-SA"/>
      </w:rPr>
    </w:lvl>
    <w:lvl w:ilvl="7">
      <w:start w:val="0"/>
      <w:numFmt w:val="bullet"/>
      <w:lvlText w:val="•"/>
      <w:lvlJc w:val="left"/>
      <w:pPr>
        <w:ind w:left="6715" w:hanging="526"/>
      </w:pPr>
      <w:rPr>
        <w:rFonts w:hint="default"/>
        <w:lang w:val="en-US" w:eastAsia="en-US" w:bidi="ar-SA"/>
      </w:rPr>
    </w:lvl>
    <w:lvl w:ilvl="8">
      <w:start w:val="0"/>
      <w:numFmt w:val="bullet"/>
      <w:lvlText w:val="•"/>
      <w:lvlJc w:val="left"/>
      <w:pPr>
        <w:ind w:left="7601" w:hanging="526"/>
      </w:pPr>
      <w:rPr>
        <w:rFonts w:hint="default"/>
        <w:lang w:val="en-US" w:eastAsia="en-US" w:bidi="ar-SA"/>
      </w:rPr>
    </w:lvl>
  </w:abstractNum>
  <w:abstractNum w:abstractNumId="1">
    <w:nsid w:val="03AE23C5"/>
    <w:multiLevelType w:val="hybridMultilevel"/>
    <w:tmpl w:val="00000000"/>
    <w:lvl w:ilvl="0">
      <w:start w:val="4"/>
      <w:numFmt w:val="decimal"/>
      <w:lvlText w:val="%1"/>
      <w:lvlJc w:val="left"/>
      <w:pPr>
        <w:ind w:left="525" w:hanging="526"/>
        <w:jc w:val="left"/>
      </w:pPr>
      <w:rPr>
        <w:rFonts w:hint="default"/>
        <w:lang w:val="en-US" w:eastAsia="en-US" w:bidi="ar-SA"/>
      </w:rPr>
    </w:lvl>
    <w:lvl w:ilvl="1">
      <w:start w:val="1"/>
      <w:numFmt w:val="decimal"/>
      <w:lvlText w:val="%1.%2"/>
      <w:lvlJc w:val="left"/>
      <w:pPr>
        <w:ind w:left="525"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734" w:hanging="735"/>
        <w:jc w:val="left"/>
      </w:pPr>
      <w:rPr>
        <w:rFonts w:ascii="黑体" w:eastAsia="黑体" w:hAnsi="黑体" w:cs="黑体" w:hint="default"/>
        <w:w w:val="100"/>
        <w:sz w:val="21"/>
        <w:szCs w:val="21"/>
        <w:lang w:val="en-US" w:eastAsia="en-US" w:bidi="ar-SA"/>
      </w:rPr>
    </w:lvl>
    <w:lvl w:ilvl="3">
      <w:start w:val="0"/>
      <w:numFmt w:val="bullet"/>
      <w:lvlText w:val="•"/>
      <w:lvlJc w:val="left"/>
      <w:pPr>
        <w:ind w:left="2051" w:hanging="735"/>
      </w:pPr>
      <w:rPr>
        <w:rFonts w:hint="default"/>
        <w:lang w:val="en-US" w:eastAsia="en-US" w:bidi="ar-SA"/>
      </w:rPr>
    </w:lvl>
    <w:lvl w:ilvl="4">
      <w:start w:val="0"/>
      <w:numFmt w:val="bullet"/>
      <w:lvlText w:val="•"/>
      <w:lvlJc w:val="left"/>
      <w:pPr>
        <w:ind w:left="2706" w:hanging="735"/>
      </w:pPr>
      <w:rPr>
        <w:rFonts w:hint="default"/>
        <w:lang w:val="en-US" w:eastAsia="en-US" w:bidi="ar-SA"/>
      </w:rPr>
    </w:lvl>
    <w:lvl w:ilvl="5">
      <w:start w:val="0"/>
      <w:numFmt w:val="bullet"/>
      <w:lvlText w:val="•"/>
      <w:lvlJc w:val="left"/>
      <w:pPr>
        <w:ind w:left="3362" w:hanging="735"/>
      </w:pPr>
      <w:rPr>
        <w:rFonts w:hint="default"/>
        <w:lang w:val="en-US" w:eastAsia="en-US" w:bidi="ar-SA"/>
      </w:rPr>
    </w:lvl>
    <w:lvl w:ilvl="6">
      <w:start w:val="0"/>
      <w:numFmt w:val="bullet"/>
      <w:lvlText w:val="•"/>
      <w:lvlJc w:val="left"/>
      <w:pPr>
        <w:ind w:left="4017" w:hanging="735"/>
      </w:pPr>
      <w:rPr>
        <w:rFonts w:hint="default"/>
        <w:lang w:val="en-US" w:eastAsia="en-US" w:bidi="ar-SA"/>
      </w:rPr>
    </w:lvl>
    <w:lvl w:ilvl="7">
      <w:start w:val="0"/>
      <w:numFmt w:val="bullet"/>
      <w:lvlText w:val="•"/>
      <w:lvlJc w:val="left"/>
      <w:pPr>
        <w:ind w:left="4673" w:hanging="735"/>
      </w:pPr>
      <w:rPr>
        <w:rFonts w:hint="default"/>
        <w:lang w:val="en-US" w:eastAsia="en-US" w:bidi="ar-SA"/>
      </w:rPr>
    </w:lvl>
    <w:lvl w:ilvl="8">
      <w:start w:val="0"/>
      <w:numFmt w:val="bullet"/>
      <w:lvlText w:val="•"/>
      <w:lvlJc w:val="left"/>
      <w:pPr>
        <w:ind w:left="5328" w:hanging="735"/>
      </w:pPr>
      <w:rPr>
        <w:rFonts w:hint="default"/>
        <w:lang w:val="en-US" w:eastAsia="en-US" w:bidi="ar-SA"/>
      </w:rPr>
    </w:lvl>
  </w:abstractNum>
  <w:abstractNum w:abstractNumId="2">
    <w:nsid w:val="04D01A0D"/>
    <w:multiLevelType w:val="hybridMultilevel"/>
    <w:tmpl w:val="00000000"/>
    <w:lvl w:ilvl="0">
      <w:start w:val="1"/>
      <w:numFmt w:val="upperLetter"/>
      <w:lvlText w:val="%1"/>
      <w:lvlJc w:val="left"/>
      <w:pPr>
        <w:ind w:left="1701" w:hanging="526"/>
        <w:jc w:val="left"/>
      </w:pPr>
      <w:rPr>
        <w:rFonts w:hint="default"/>
        <w:lang w:val="en-US" w:eastAsia="en-US" w:bidi="ar-SA"/>
      </w:rPr>
    </w:lvl>
    <w:lvl w:ilvl="1">
      <w:start w:val="1"/>
      <w:numFmt w:val="decimal"/>
      <w:lvlText w:val="%1.%2"/>
      <w:lvlJc w:val="left"/>
      <w:pPr>
        <w:ind w:left="1701"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1910" w:hanging="735"/>
        <w:jc w:val="right"/>
      </w:pPr>
      <w:rPr>
        <w:rFonts w:ascii="黑体" w:eastAsia="黑体" w:hAnsi="黑体" w:cs="黑体" w:hint="default"/>
        <w:w w:val="100"/>
        <w:sz w:val="21"/>
        <w:szCs w:val="21"/>
        <w:lang w:val="en-US" w:eastAsia="en-US" w:bidi="ar-SA"/>
      </w:rPr>
    </w:lvl>
    <w:lvl w:ilvl="3">
      <w:start w:val="0"/>
      <w:numFmt w:val="bullet"/>
      <w:lvlText w:val="•"/>
      <w:lvlJc w:val="left"/>
      <w:pPr>
        <w:ind w:left="4028" w:hanging="735"/>
      </w:pPr>
      <w:rPr>
        <w:rFonts w:hint="default"/>
        <w:lang w:val="en-US" w:eastAsia="en-US" w:bidi="ar-SA"/>
      </w:rPr>
    </w:lvl>
    <w:lvl w:ilvl="4">
      <w:start w:val="0"/>
      <w:numFmt w:val="bullet"/>
      <w:lvlText w:val="•"/>
      <w:lvlJc w:val="left"/>
      <w:pPr>
        <w:ind w:left="5082" w:hanging="735"/>
      </w:pPr>
      <w:rPr>
        <w:rFonts w:hint="default"/>
        <w:lang w:val="en-US" w:eastAsia="en-US" w:bidi="ar-SA"/>
      </w:rPr>
    </w:lvl>
    <w:lvl w:ilvl="5">
      <w:start w:val="0"/>
      <w:numFmt w:val="bullet"/>
      <w:lvlText w:val="•"/>
      <w:lvlJc w:val="left"/>
      <w:pPr>
        <w:ind w:left="6136" w:hanging="735"/>
      </w:pPr>
      <w:rPr>
        <w:rFonts w:hint="default"/>
        <w:lang w:val="en-US" w:eastAsia="en-US" w:bidi="ar-SA"/>
      </w:rPr>
    </w:lvl>
    <w:lvl w:ilvl="6">
      <w:start w:val="0"/>
      <w:numFmt w:val="bullet"/>
      <w:lvlText w:val="•"/>
      <w:lvlJc w:val="left"/>
      <w:pPr>
        <w:ind w:left="7190" w:hanging="735"/>
      </w:pPr>
      <w:rPr>
        <w:rFonts w:hint="default"/>
        <w:lang w:val="en-US" w:eastAsia="en-US" w:bidi="ar-SA"/>
      </w:rPr>
    </w:lvl>
    <w:lvl w:ilvl="7">
      <w:start w:val="0"/>
      <w:numFmt w:val="bullet"/>
      <w:lvlText w:val="•"/>
      <w:lvlJc w:val="left"/>
      <w:pPr>
        <w:ind w:left="8244" w:hanging="735"/>
      </w:pPr>
      <w:rPr>
        <w:rFonts w:hint="default"/>
        <w:lang w:val="en-US" w:eastAsia="en-US" w:bidi="ar-SA"/>
      </w:rPr>
    </w:lvl>
    <w:lvl w:ilvl="8">
      <w:start w:val="0"/>
      <w:numFmt w:val="bullet"/>
      <w:lvlText w:val="•"/>
      <w:lvlJc w:val="left"/>
      <w:pPr>
        <w:ind w:left="9298" w:hanging="735"/>
      </w:pPr>
      <w:rPr>
        <w:rFonts w:hint="default"/>
        <w:lang w:val="en-US" w:eastAsia="en-US" w:bidi="ar-SA"/>
      </w:rPr>
    </w:lvl>
  </w:abstractNum>
  <w:abstractNum w:abstractNumId="3">
    <w:nsid w:val="18A6329A"/>
    <w:multiLevelType w:val="hybridMultilevel"/>
    <w:tmpl w:val="00000000"/>
    <w:lvl w:ilvl="0">
      <w:start w:val="1"/>
      <w:numFmt w:val="decimal"/>
      <w:lvlText w:val="%1"/>
      <w:lvlJc w:val="left"/>
      <w:pPr>
        <w:ind w:left="1490" w:hanging="315"/>
        <w:jc w:val="left"/>
      </w:pPr>
      <w:rPr>
        <w:rFonts w:ascii="黑体" w:eastAsia="黑体" w:hAnsi="黑体" w:cs="黑体" w:hint="default"/>
        <w:w w:val="100"/>
        <w:sz w:val="21"/>
        <w:szCs w:val="21"/>
        <w:lang w:val="en-US" w:eastAsia="en-US" w:bidi="ar-SA"/>
      </w:rPr>
    </w:lvl>
    <w:lvl w:ilvl="1">
      <w:start w:val="0"/>
      <w:numFmt w:val="bullet"/>
      <w:lvlText w:val="•"/>
      <w:lvlJc w:val="left"/>
      <w:pPr>
        <w:ind w:left="2490" w:hanging="315"/>
      </w:pPr>
      <w:rPr>
        <w:rFonts w:hint="default"/>
        <w:lang w:val="en-US" w:eastAsia="en-US" w:bidi="ar-SA"/>
      </w:rPr>
    </w:lvl>
    <w:lvl w:ilvl="2">
      <w:start w:val="0"/>
      <w:numFmt w:val="bullet"/>
      <w:lvlText w:val="•"/>
      <w:lvlJc w:val="left"/>
      <w:pPr>
        <w:ind w:left="3481" w:hanging="315"/>
      </w:pPr>
      <w:rPr>
        <w:rFonts w:hint="default"/>
        <w:lang w:val="en-US" w:eastAsia="en-US" w:bidi="ar-SA"/>
      </w:rPr>
    </w:lvl>
    <w:lvl w:ilvl="3">
      <w:start w:val="0"/>
      <w:numFmt w:val="bullet"/>
      <w:lvlText w:val="•"/>
      <w:lvlJc w:val="left"/>
      <w:pPr>
        <w:ind w:left="4471" w:hanging="315"/>
      </w:pPr>
      <w:rPr>
        <w:rFonts w:hint="default"/>
        <w:lang w:val="en-US" w:eastAsia="en-US" w:bidi="ar-SA"/>
      </w:rPr>
    </w:lvl>
    <w:lvl w:ilvl="4">
      <w:start w:val="0"/>
      <w:numFmt w:val="bullet"/>
      <w:lvlText w:val="•"/>
      <w:lvlJc w:val="left"/>
      <w:pPr>
        <w:ind w:left="5462" w:hanging="315"/>
      </w:pPr>
      <w:rPr>
        <w:rFonts w:hint="default"/>
        <w:lang w:val="en-US" w:eastAsia="en-US" w:bidi="ar-SA"/>
      </w:rPr>
    </w:lvl>
    <w:lvl w:ilvl="5">
      <w:start w:val="0"/>
      <w:numFmt w:val="bullet"/>
      <w:lvlText w:val="•"/>
      <w:lvlJc w:val="left"/>
      <w:pPr>
        <w:ind w:left="6453" w:hanging="315"/>
      </w:pPr>
      <w:rPr>
        <w:rFonts w:hint="default"/>
        <w:lang w:val="en-US" w:eastAsia="en-US" w:bidi="ar-SA"/>
      </w:rPr>
    </w:lvl>
    <w:lvl w:ilvl="6">
      <w:start w:val="0"/>
      <w:numFmt w:val="bullet"/>
      <w:lvlText w:val="•"/>
      <w:lvlJc w:val="left"/>
      <w:pPr>
        <w:ind w:left="7443" w:hanging="315"/>
      </w:pPr>
      <w:rPr>
        <w:rFonts w:hint="default"/>
        <w:lang w:val="en-US" w:eastAsia="en-US" w:bidi="ar-SA"/>
      </w:rPr>
    </w:lvl>
    <w:lvl w:ilvl="7">
      <w:start w:val="0"/>
      <w:numFmt w:val="bullet"/>
      <w:lvlText w:val="•"/>
      <w:lvlJc w:val="left"/>
      <w:pPr>
        <w:ind w:left="8434" w:hanging="315"/>
      </w:pPr>
      <w:rPr>
        <w:rFonts w:hint="default"/>
        <w:lang w:val="en-US" w:eastAsia="en-US" w:bidi="ar-SA"/>
      </w:rPr>
    </w:lvl>
    <w:lvl w:ilvl="8">
      <w:start w:val="0"/>
      <w:numFmt w:val="bullet"/>
      <w:lvlText w:val="•"/>
      <w:lvlJc w:val="left"/>
      <w:pPr>
        <w:ind w:left="9425" w:hanging="315"/>
      </w:pPr>
      <w:rPr>
        <w:rFonts w:hint="default"/>
        <w:lang w:val="en-US" w:eastAsia="en-US" w:bidi="ar-SA"/>
      </w:rPr>
    </w:lvl>
  </w:abstractNum>
  <w:abstractNum w:abstractNumId="4">
    <w:nsid w:val="1E82BB29"/>
    <w:multiLevelType w:val="hybridMultilevel"/>
    <w:tmpl w:val="00000000"/>
    <w:lvl w:ilvl="0">
      <w:start w:val="5"/>
      <w:numFmt w:val="decimal"/>
      <w:lvlText w:val="%1"/>
      <w:lvlJc w:val="left"/>
      <w:pPr>
        <w:ind w:left="734" w:hanging="735"/>
        <w:jc w:val="left"/>
      </w:pPr>
      <w:rPr>
        <w:rFonts w:hint="default"/>
        <w:lang w:val="en-US" w:eastAsia="en-US" w:bidi="ar-SA"/>
      </w:rPr>
    </w:lvl>
    <w:lvl w:ilvl="1">
      <w:start w:val="2"/>
      <w:numFmt w:val="decimal"/>
      <w:lvlText w:val="%1.%2"/>
      <w:lvlJc w:val="left"/>
      <w:pPr>
        <w:ind w:left="734" w:hanging="735"/>
        <w:jc w:val="left"/>
      </w:pPr>
      <w:rPr>
        <w:rFonts w:hint="default"/>
        <w:lang w:val="en-US" w:eastAsia="en-US" w:bidi="ar-SA"/>
      </w:rPr>
    </w:lvl>
    <w:lvl w:ilvl="2">
      <w:start w:val="3"/>
      <w:numFmt w:val="decimal"/>
      <w:lvlText w:val="%1.%2.%3"/>
      <w:lvlJc w:val="left"/>
      <w:pPr>
        <w:ind w:left="734" w:hanging="735"/>
        <w:jc w:val="left"/>
      </w:pPr>
      <w:rPr>
        <w:rFonts w:ascii="黑体" w:eastAsia="黑体" w:hAnsi="黑体" w:cs="黑体" w:hint="default"/>
        <w:w w:val="100"/>
        <w:sz w:val="21"/>
        <w:szCs w:val="21"/>
        <w:lang w:val="en-US" w:eastAsia="en-US" w:bidi="ar-SA"/>
      </w:rPr>
    </w:lvl>
    <w:lvl w:ilvl="3">
      <w:start w:val="1"/>
      <w:numFmt w:val="decimal"/>
      <w:lvlText w:val="%1.%2.%3.%4"/>
      <w:lvlJc w:val="left"/>
      <w:pPr>
        <w:ind w:left="945" w:hanging="946"/>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3821" w:hanging="946"/>
      </w:pPr>
      <w:rPr>
        <w:rFonts w:hint="default"/>
        <w:lang w:val="en-US" w:eastAsia="en-US" w:bidi="ar-SA"/>
      </w:rPr>
    </w:lvl>
    <w:lvl w:ilvl="5">
      <w:start w:val="0"/>
      <w:numFmt w:val="bullet"/>
      <w:lvlText w:val="•"/>
      <w:lvlJc w:val="left"/>
      <w:pPr>
        <w:ind w:left="4781" w:hanging="946"/>
      </w:pPr>
      <w:rPr>
        <w:rFonts w:hint="default"/>
        <w:lang w:val="en-US" w:eastAsia="en-US" w:bidi="ar-SA"/>
      </w:rPr>
    </w:lvl>
    <w:lvl w:ilvl="6">
      <w:start w:val="0"/>
      <w:numFmt w:val="bullet"/>
      <w:lvlText w:val="•"/>
      <w:lvlJc w:val="left"/>
      <w:pPr>
        <w:ind w:left="5742" w:hanging="946"/>
      </w:pPr>
      <w:rPr>
        <w:rFonts w:hint="default"/>
        <w:lang w:val="en-US" w:eastAsia="en-US" w:bidi="ar-SA"/>
      </w:rPr>
    </w:lvl>
    <w:lvl w:ilvl="7">
      <w:start w:val="0"/>
      <w:numFmt w:val="bullet"/>
      <w:lvlText w:val="•"/>
      <w:lvlJc w:val="left"/>
      <w:pPr>
        <w:ind w:left="6702" w:hanging="946"/>
      </w:pPr>
      <w:rPr>
        <w:rFonts w:hint="default"/>
        <w:lang w:val="en-US" w:eastAsia="en-US" w:bidi="ar-SA"/>
      </w:rPr>
    </w:lvl>
    <w:lvl w:ilvl="8">
      <w:start w:val="0"/>
      <w:numFmt w:val="bullet"/>
      <w:lvlText w:val="•"/>
      <w:lvlJc w:val="left"/>
      <w:pPr>
        <w:ind w:left="7663" w:hanging="946"/>
      </w:pPr>
      <w:rPr>
        <w:rFonts w:hint="default"/>
        <w:lang w:val="en-US" w:eastAsia="en-US" w:bidi="ar-SA"/>
      </w:rPr>
    </w:lvl>
  </w:abstractNum>
  <w:abstractNum w:abstractNumId="5">
    <w:nsid w:val="239735D0"/>
    <w:multiLevelType w:val="hybridMultilevel"/>
    <w:tmpl w:val="00000000"/>
    <w:lvl w:ilvl="0">
      <w:start w:val="4"/>
      <w:numFmt w:val="decimal"/>
      <w:lvlText w:val="%1"/>
      <w:lvlJc w:val="left"/>
      <w:pPr>
        <w:ind w:left="1627" w:hanging="735"/>
        <w:jc w:val="left"/>
      </w:pPr>
      <w:rPr>
        <w:rFonts w:hint="default"/>
        <w:lang w:val="en-US" w:eastAsia="en-US" w:bidi="ar-SA"/>
      </w:rPr>
    </w:lvl>
    <w:lvl w:ilvl="1">
      <w:start w:val="1"/>
      <w:numFmt w:val="decimal"/>
      <w:lvlText w:val="%1.%2"/>
      <w:lvlJc w:val="left"/>
      <w:pPr>
        <w:ind w:left="1627" w:hanging="735"/>
        <w:jc w:val="left"/>
      </w:pPr>
      <w:rPr>
        <w:rFonts w:hint="default"/>
        <w:lang w:val="en-US" w:eastAsia="en-US" w:bidi="ar-SA"/>
      </w:rPr>
    </w:lvl>
    <w:lvl w:ilvl="2">
      <w:start w:val="3"/>
      <w:numFmt w:val="decimal"/>
      <w:lvlText w:val="%1.%2.%3"/>
      <w:lvlJc w:val="left"/>
      <w:pPr>
        <w:ind w:left="1627" w:hanging="735"/>
        <w:jc w:val="left"/>
      </w:pPr>
      <w:rPr>
        <w:rFonts w:ascii="黑体" w:eastAsia="黑体" w:hAnsi="黑体" w:cs="黑体" w:hint="default"/>
        <w:w w:val="100"/>
        <w:sz w:val="21"/>
        <w:szCs w:val="21"/>
        <w:lang w:val="en-US" w:eastAsia="en-US" w:bidi="ar-SA"/>
      </w:rPr>
    </w:lvl>
    <w:lvl w:ilvl="3">
      <w:start w:val="0"/>
      <w:numFmt w:val="bullet"/>
      <w:lvlText w:val="•"/>
      <w:lvlJc w:val="left"/>
      <w:pPr>
        <w:ind w:left="4555" w:hanging="735"/>
      </w:pPr>
      <w:rPr>
        <w:rFonts w:hint="default"/>
        <w:lang w:val="en-US" w:eastAsia="en-US" w:bidi="ar-SA"/>
      </w:rPr>
    </w:lvl>
    <w:lvl w:ilvl="4">
      <w:start w:val="0"/>
      <w:numFmt w:val="bullet"/>
      <w:lvlText w:val="•"/>
      <w:lvlJc w:val="left"/>
      <w:pPr>
        <w:ind w:left="5534" w:hanging="735"/>
      </w:pPr>
      <w:rPr>
        <w:rFonts w:hint="default"/>
        <w:lang w:val="en-US" w:eastAsia="en-US" w:bidi="ar-SA"/>
      </w:rPr>
    </w:lvl>
    <w:lvl w:ilvl="5">
      <w:start w:val="0"/>
      <w:numFmt w:val="bullet"/>
      <w:lvlText w:val="•"/>
      <w:lvlJc w:val="left"/>
      <w:pPr>
        <w:ind w:left="6513" w:hanging="735"/>
      </w:pPr>
      <w:rPr>
        <w:rFonts w:hint="default"/>
        <w:lang w:val="en-US" w:eastAsia="en-US" w:bidi="ar-SA"/>
      </w:rPr>
    </w:lvl>
    <w:lvl w:ilvl="6">
      <w:start w:val="0"/>
      <w:numFmt w:val="bullet"/>
      <w:lvlText w:val="•"/>
      <w:lvlJc w:val="left"/>
      <w:pPr>
        <w:ind w:left="7491" w:hanging="735"/>
      </w:pPr>
      <w:rPr>
        <w:rFonts w:hint="default"/>
        <w:lang w:val="en-US" w:eastAsia="en-US" w:bidi="ar-SA"/>
      </w:rPr>
    </w:lvl>
    <w:lvl w:ilvl="7">
      <w:start w:val="0"/>
      <w:numFmt w:val="bullet"/>
      <w:lvlText w:val="•"/>
      <w:lvlJc w:val="left"/>
      <w:pPr>
        <w:ind w:left="8470" w:hanging="735"/>
      </w:pPr>
      <w:rPr>
        <w:rFonts w:hint="default"/>
        <w:lang w:val="en-US" w:eastAsia="en-US" w:bidi="ar-SA"/>
      </w:rPr>
    </w:lvl>
    <w:lvl w:ilvl="8">
      <w:start w:val="0"/>
      <w:numFmt w:val="bullet"/>
      <w:lvlText w:val="•"/>
      <w:lvlJc w:val="left"/>
      <w:pPr>
        <w:ind w:left="9449" w:hanging="735"/>
      </w:pPr>
      <w:rPr>
        <w:rFonts w:hint="default"/>
        <w:lang w:val="en-US" w:eastAsia="en-US" w:bidi="ar-SA"/>
      </w:rPr>
    </w:lvl>
  </w:abstractNum>
  <w:abstractNum w:abstractNumId="6">
    <w:nsid w:val="2708B7D0"/>
    <w:multiLevelType w:val="hybridMultilevel"/>
    <w:tmpl w:val="00000000"/>
    <w:lvl w:ilvl="0">
      <w:start w:val="5"/>
      <w:numFmt w:val="decimal"/>
      <w:lvlText w:val="%1"/>
      <w:lvlJc w:val="left"/>
      <w:pPr>
        <w:ind w:left="1208" w:hanging="315"/>
        <w:jc w:val="left"/>
      </w:pPr>
      <w:rPr>
        <w:rFonts w:ascii="黑体" w:eastAsia="黑体" w:hAnsi="黑体" w:cs="黑体" w:hint="default"/>
        <w:w w:val="100"/>
        <w:sz w:val="21"/>
        <w:szCs w:val="21"/>
        <w:lang w:val="en-US" w:eastAsia="en-US" w:bidi="ar-SA"/>
      </w:rPr>
    </w:lvl>
    <w:lvl w:ilvl="1">
      <w:start w:val="1"/>
      <w:numFmt w:val="decimal"/>
      <w:lvlText w:val="%1.%2"/>
      <w:lvlJc w:val="left"/>
      <w:pPr>
        <w:ind w:left="1419" w:hanging="526"/>
        <w:jc w:val="right"/>
      </w:pPr>
      <w:rPr>
        <w:rFonts w:ascii="黑体" w:eastAsia="黑体" w:hAnsi="黑体" w:cs="黑体" w:hint="default"/>
        <w:w w:val="100"/>
        <w:sz w:val="21"/>
        <w:szCs w:val="21"/>
        <w:lang w:val="en-US" w:eastAsia="en-US" w:bidi="ar-SA"/>
      </w:rPr>
    </w:lvl>
    <w:lvl w:ilvl="2">
      <w:start w:val="1"/>
      <w:numFmt w:val="decimal"/>
      <w:lvlText w:val="%1.%2.%3"/>
      <w:lvlJc w:val="left"/>
      <w:pPr>
        <w:ind w:left="1910" w:hanging="735"/>
        <w:jc w:val="left"/>
      </w:pPr>
      <w:rPr>
        <w:rFonts w:ascii="黑体" w:eastAsia="黑体" w:hAnsi="黑体" w:cs="黑体" w:hint="default"/>
        <w:w w:val="100"/>
        <w:sz w:val="21"/>
        <w:szCs w:val="21"/>
        <w:lang w:val="en-US" w:eastAsia="en-US" w:bidi="ar-SA"/>
      </w:rPr>
    </w:lvl>
    <w:lvl w:ilvl="3">
      <w:start w:val="1"/>
      <w:numFmt w:val="decimal"/>
      <w:lvlText w:val="%1.%2.%3.%4"/>
      <w:lvlJc w:val="left"/>
      <w:pPr>
        <w:ind w:left="2123" w:hanging="946"/>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3446" w:hanging="946"/>
      </w:pPr>
      <w:rPr>
        <w:rFonts w:hint="default"/>
        <w:lang w:val="en-US" w:eastAsia="en-US" w:bidi="ar-SA"/>
      </w:rPr>
    </w:lvl>
    <w:lvl w:ilvl="5">
      <w:start w:val="0"/>
      <w:numFmt w:val="bullet"/>
      <w:lvlText w:val="•"/>
      <w:lvlJc w:val="left"/>
      <w:pPr>
        <w:ind w:left="4773" w:hanging="946"/>
      </w:pPr>
      <w:rPr>
        <w:rFonts w:hint="default"/>
        <w:lang w:val="en-US" w:eastAsia="en-US" w:bidi="ar-SA"/>
      </w:rPr>
    </w:lvl>
    <w:lvl w:ilvl="6">
      <w:start w:val="0"/>
      <w:numFmt w:val="bullet"/>
      <w:lvlText w:val="•"/>
      <w:lvlJc w:val="left"/>
      <w:pPr>
        <w:ind w:left="6099" w:hanging="946"/>
      </w:pPr>
      <w:rPr>
        <w:rFonts w:hint="default"/>
        <w:lang w:val="en-US" w:eastAsia="en-US" w:bidi="ar-SA"/>
      </w:rPr>
    </w:lvl>
    <w:lvl w:ilvl="7">
      <w:start w:val="0"/>
      <w:numFmt w:val="bullet"/>
      <w:lvlText w:val="•"/>
      <w:lvlJc w:val="left"/>
      <w:pPr>
        <w:ind w:left="7426" w:hanging="946"/>
      </w:pPr>
      <w:rPr>
        <w:rFonts w:hint="default"/>
        <w:lang w:val="en-US" w:eastAsia="en-US" w:bidi="ar-SA"/>
      </w:rPr>
    </w:lvl>
    <w:lvl w:ilvl="8">
      <w:start w:val="0"/>
      <w:numFmt w:val="bullet"/>
      <w:lvlText w:val="•"/>
      <w:lvlJc w:val="left"/>
      <w:pPr>
        <w:ind w:left="8753" w:hanging="946"/>
      </w:pPr>
      <w:rPr>
        <w:rFonts w:hint="default"/>
        <w:lang w:val="en-US" w:eastAsia="en-US" w:bidi="ar-SA"/>
      </w:rPr>
    </w:lvl>
  </w:abstractNum>
  <w:abstractNum w:abstractNumId="7">
    <w:nsid w:val="2BCA2DE2"/>
    <w:multiLevelType w:val="hybridMultilevel"/>
    <w:tmpl w:val="00000000"/>
    <w:lvl w:ilvl="0">
      <w:start w:val="5"/>
      <w:numFmt w:val="decimal"/>
      <w:lvlText w:val="%1"/>
      <w:lvlJc w:val="left"/>
      <w:pPr>
        <w:ind w:left="1627" w:hanging="735"/>
        <w:jc w:val="left"/>
      </w:pPr>
      <w:rPr>
        <w:rFonts w:hint="default"/>
        <w:lang w:val="en-US" w:eastAsia="en-US" w:bidi="ar-SA"/>
      </w:rPr>
    </w:lvl>
    <w:lvl w:ilvl="1">
      <w:start w:val="2"/>
      <w:numFmt w:val="decimal"/>
      <w:lvlText w:val="%1.%2"/>
      <w:lvlJc w:val="left"/>
      <w:pPr>
        <w:ind w:left="1627" w:hanging="735"/>
        <w:jc w:val="left"/>
      </w:pPr>
      <w:rPr>
        <w:rFonts w:hint="default"/>
        <w:lang w:val="en-US" w:eastAsia="en-US" w:bidi="ar-SA"/>
      </w:rPr>
    </w:lvl>
    <w:lvl w:ilvl="2">
      <w:start w:val="6"/>
      <w:numFmt w:val="decimal"/>
      <w:lvlText w:val="%1.%2.%3"/>
      <w:lvlJc w:val="left"/>
      <w:pPr>
        <w:ind w:left="1627" w:hanging="735"/>
        <w:jc w:val="left"/>
      </w:pPr>
      <w:rPr>
        <w:rFonts w:ascii="黑体" w:eastAsia="黑体" w:hAnsi="黑体" w:cs="黑体" w:hint="default"/>
        <w:w w:val="100"/>
        <w:sz w:val="21"/>
        <w:szCs w:val="21"/>
        <w:lang w:val="en-US" w:eastAsia="en-US" w:bidi="ar-SA"/>
      </w:rPr>
    </w:lvl>
    <w:lvl w:ilvl="3">
      <w:start w:val="1"/>
      <w:numFmt w:val="decimal"/>
      <w:lvlText w:val="%1.%2.%3.%4"/>
      <w:lvlJc w:val="left"/>
      <w:pPr>
        <w:ind w:left="893" w:hanging="946"/>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4231" w:hanging="946"/>
      </w:pPr>
      <w:rPr>
        <w:rFonts w:hint="default"/>
        <w:lang w:val="en-US" w:eastAsia="en-US" w:bidi="ar-SA"/>
      </w:rPr>
    </w:lvl>
    <w:lvl w:ilvl="5">
      <w:start w:val="0"/>
      <w:numFmt w:val="bullet"/>
      <w:lvlText w:val="•"/>
      <w:lvlJc w:val="left"/>
      <w:pPr>
        <w:ind w:left="5427" w:hanging="946"/>
      </w:pPr>
      <w:rPr>
        <w:rFonts w:hint="default"/>
        <w:lang w:val="en-US" w:eastAsia="en-US" w:bidi="ar-SA"/>
      </w:rPr>
    </w:lvl>
    <w:lvl w:ilvl="6">
      <w:start w:val="0"/>
      <w:numFmt w:val="bullet"/>
      <w:lvlText w:val="•"/>
      <w:lvlJc w:val="left"/>
      <w:pPr>
        <w:ind w:left="6623" w:hanging="946"/>
      </w:pPr>
      <w:rPr>
        <w:rFonts w:hint="default"/>
        <w:lang w:val="en-US" w:eastAsia="en-US" w:bidi="ar-SA"/>
      </w:rPr>
    </w:lvl>
    <w:lvl w:ilvl="7">
      <w:start w:val="0"/>
      <w:numFmt w:val="bullet"/>
      <w:lvlText w:val="•"/>
      <w:lvlJc w:val="left"/>
      <w:pPr>
        <w:ind w:left="7819" w:hanging="946"/>
      </w:pPr>
      <w:rPr>
        <w:rFonts w:hint="default"/>
        <w:lang w:val="en-US" w:eastAsia="en-US" w:bidi="ar-SA"/>
      </w:rPr>
    </w:lvl>
    <w:lvl w:ilvl="8">
      <w:start w:val="0"/>
      <w:numFmt w:val="bullet"/>
      <w:lvlText w:val="•"/>
      <w:lvlJc w:val="left"/>
      <w:pPr>
        <w:ind w:left="9014" w:hanging="946"/>
      </w:pPr>
      <w:rPr>
        <w:rFonts w:hint="default"/>
        <w:lang w:val="en-US" w:eastAsia="en-US" w:bidi="ar-SA"/>
      </w:rPr>
    </w:lvl>
  </w:abstractNum>
  <w:abstractNum w:abstractNumId="8">
    <w:nsid w:val="39856062"/>
    <w:multiLevelType w:val="hybridMultilevel"/>
    <w:tmpl w:val="00000000"/>
    <w:lvl w:ilvl="0">
      <w:start w:val="1"/>
      <w:numFmt w:val="upperLetter"/>
      <w:lvlText w:val="%1"/>
      <w:lvlJc w:val="left"/>
      <w:pPr>
        <w:ind w:left="1701" w:hanging="526"/>
        <w:jc w:val="left"/>
      </w:pPr>
      <w:rPr>
        <w:rFonts w:hint="default"/>
        <w:lang w:val="en-US" w:eastAsia="en-US" w:bidi="ar-SA"/>
      </w:rPr>
    </w:lvl>
    <w:lvl w:ilvl="1">
      <w:start w:val="1"/>
      <w:numFmt w:val="decimal"/>
      <w:lvlText w:val="%1.%2"/>
      <w:lvlJc w:val="left"/>
      <w:pPr>
        <w:ind w:left="1701"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1910" w:hanging="735"/>
        <w:jc w:val="right"/>
      </w:pPr>
      <w:rPr>
        <w:rFonts w:ascii="黑体" w:eastAsia="黑体" w:hAnsi="黑体" w:cs="黑体" w:hint="default"/>
        <w:w w:val="100"/>
        <w:sz w:val="21"/>
        <w:szCs w:val="21"/>
        <w:lang w:val="en-US" w:eastAsia="en-US" w:bidi="ar-SA"/>
      </w:rPr>
    </w:lvl>
    <w:lvl w:ilvl="3">
      <w:start w:val="0"/>
      <w:numFmt w:val="bullet"/>
      <w:lvlText w:val="•"/>
      <w:lvlJc w:val="left"/>
      <w:pPr>
        <w:ind w:left="4028" w:hanging="735"/>
      </w:pPr>
      <w:rPr>
        <w:rFonts w:hint="default"/>
        <w:lang w:val="en-US" w:eastAsia="en-US" w:bidi="ar-SA"/>
      </w:rPr>
    </w:lvl>
    <w:lvl w:ilvl="4">
      <w:start w:val="0"/>
      <w:numFmt w:val="bullet"/>
      <w:lvlText w:val="•"/>
      <w:lvlJc w:val="left"/>
      <w:pPr>
        <w:ind w:left="5082" w:hanging="735"/>
      </w:pPr>
      <w:rPr>
        <w:rFonts w:hint="default"/>
        <w:lang w:val="en-US" w:eastAsia="en-US" w:bidi="ar-SA"/>
      </w:rPr>
    </w:lvl>
    <w:lvl w:ilvl="5">
      <w:start w:val="0"/>
      <w:numFmt w:val="bullet"/>
      <w:lvlText w:val="•"/>
      <w:lvlJc w:val="left"/>
      <w:pPr>
        <w:ind w:left="6136" w:hanging="735"/>
      </w:pPr>
      <w:rPr>
        <w:rFonts w:hint="default"/>
        <w:lang w:val="en-US" w:eastAsia="en-US" w:bidi="ar-SA"/>
      </w:rPr>
    </w:lvl>
    <w:lvl w:ilvl="6">
      <w:start w:val="0"/>
      <w:numFmt w:val="bullet"/>
      <w:lvlText w:val="•"/>
      <w:lvlJc w:val="left"/>
      <w:pPr>
        <w:ind w:left="7190" w:hanging="735"/>
      </w:pPr>
      <w:rPr>
        <w:rFonts w:hint="default"/>
        <w:lang w:val="en-US" w:eastAsia="en-US" w:bidi="ar-SA"/>
      </w:rPr>
    </w:lvl>
    <w:lvl w:ilvl="7">
      <w:start w:val="0"/>
      <w:numFmt w:val="bullet"/>
      <w:lvlText w:val="•"/>
      <w:lvlJc w:val="left"/>
      <w:pPr>
        <w:ind w:left="8244" w:hanging="735"/>
      </w:pPr>
      <w:rPr>
        <w:rFonts w:hint="default"/>
        <w:lang w:val="en-US" w:eastAsia="en-US" w:bidi="ar-SA"/>
      </w:rPr>
    </w:lvl>
    <w:lvl w:ilvl="8">
      <w:start w:val="0"/>
      <w:numFmt w:val="bullet"/>
      <w:lvlText w:val="•"/>
      <w:lvlJc w:val="left"/>
      <w:pPr>
        <w:ind w:left="9298" w:hanging="735"/>
      </w:pPr>
      <w:rPr>
        <w:rFonts w:hint="default"/>
        <w:lang w:val="en-US" w:eastAsia="en-US" w:bidi="ar-SA"/>
      </w:rPr>
    </w:lvl>
  </w:abstractNum>
  <w:abstractNum w:abstractNumId="9">
    <w:nsid w:val="427F7DF3"/>
    <w:multiLevelType w:val="hybridMultilevel"/>
    <w:tmpl w:val="00000000"/>
    <w:lvl w:ilvl="0">
      <w:start w:val="5"/>
      <w:numFmt w:val="decimal"/>
      <w:lvlText w:val="%1"/>
      <w:lvlJc w:val="left"/>
      <w:pPr>
        <w:ind w:left="525" w:hanging="526"/>
        <w:jc w:val="left"/>
      </w:pPr>
      <w:rPr>
        <w:rFonts w:hint="default"/>
        <w:lang w:val="en-US" w:eastAsia="en-US" w:bidi="ar-SA"/>
      </w:rPr>
    </w:lvl>
    <w:lvl w:ilvl="1">
      <w:start w:val="3"/>
      <w:numFmt w:val="decimal"/>
      <w:lvlText w:val="%1.%2"/>
      <w:lvlJc w:val="left"/>
      <w:pPr>
        <w:ind w:left="525"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734" w:hanging="735"/>
        <w:jc w:val="left"/>
      </w:pPr>
      <w:rPr>
        <w:rFonts w:ascii="黑体" w:eastAsia="黑体" w:hAnsi="黑体" w:cs="黑体" w:hint="default"/>
        <w:w w:val="100"/>
        <w:sz w:val="21"/>
        <w:szCs w:val="21"/>
        <w:lang w:val="en-US" w:eastAsia="en-US" w:bidi="ar-SA"/>
      </w:rPr>
    </w:lvl>
    <w:lvl w:ilvl="3">
      <w:start w:val="0"/>
      <w:numFmt w:val="bullet"/>
      <w:lvlText w:val="•"/>
      <w:lvlJc w:val="left"/>
      <w:pPr>
        <w:ind w:left="2657" w:hanging="735"/>
      </w:pPr>
      <w:rPr>
        <w:rFonts w:hint="default"/>
        <w:lang w:val="en-US" w:eastAsia="en-US" w:bidi="ar-SA"/>
      </w:rPr>
    </w:lvl>
    <w:lvl w:ilvl="4">
      <w:start w:val="0"/>
      <w:numFmt w:val="bullet"/>
      <w:lvlText w:val="•"/>
      <w:lvlJc w:val="left"/>
      <w:pPr>
        <w:ind w:left="3616" w:hanging="735"/>
      </w:pPr>
      <w:rPr>
        <w:rFonts w:hint="default"/>
        <w:lang w:val="en-US" w:eastAsia="en-US" w:bidi="ar-SA"/>
      </w:rPr>
    </w:lvl>
    <w:lvl w:ilvl="5">
      <w:start w:val="0"/>
      <w:numFmt w:val="bullet"/>
      <w:lvlText w:val="•"/>
      <w:lvlJc w:val="left"/>
      <w:pPr>
        <w:ind w:left="4574" w:hanging="735"/>
      </w:pPr>
      <w:rPr>
        <w:rFonts w:hint="default"/>
        <w:lang w:val="en-US" w:eastAsia="en-US" w:bidi="ar-SA"/>
      </w:rPr>
    </w:lvl>
    <w:lvl w:ilvl="6">
      <w:start w:val="0"/>
      <w:numFmt w:val="bullet"/>
      <w:lvlText w:val="•"/>
      <w:lvlJc w:val="left"/>
      <w:pPr>
        <w:ind w:left="5533" w:hanging="735"/>
      </w:pPr>
      <w:rPr>
        <w:rFonts w:hint="default"/>
        <w:lang w:val="en-US" w:eastAsia="en-US" w:bidi="ar-SA"/>
      </w:rPr>
    </w:lvl>
    <w:lvl w:ilvl="7">
      <w:start w:val="0"/>
      <w:numFmt w:val="bullet"/>
      <w:lvlText w:val="•"/>
      <w:lvlJc w:val="left"/>
      <w:pPr>
        <w:ind w:left="6492" w:hanging="735"/>
      </w:pPr>
      <w:rPr>
        <w:rFonts w:hint="default"/>
        <w:lang w:val="en-US" w:eastAsia="en-US" w:bidi="ar-SA"/>
      </w:rPr>
    </w:lvl>
    <w:lvl w:ilvl="8">
      <w:start w:val="0"/>
      <w:numFmt w:val="bullet"/>
      <w:lvlText w:val="•"/>
      <w:lvlJc w:val="left"/>
      <w:pPr>
        <w:ind w:left="7450" w:hanging="735"/>
      </w:pPr>
      <w:rPr>
        <w:rFonts w:hint="default"/>
        <w:lang w:val="en-US" w:eastAsia="en-US" w:bidi="ar-SA"/>
      </w:rPr>
    </w:lvl>
  </w:abstractNum>
  <w:abstractNum w:abstractNumId="10">
    <w:nsid w:val="472B67BE"/>
    <w:multiLevelType w:val="hybridMultilevel"/>
    <w:tmpl w:val="00000000"/>
    <w:lvl w:ilvl="0">
      <w:start w:val="4"/>
      <w:numFmt w:val="decimal"/>
      <w:lvlText w:val="%1"/>
      <w:lvlJc w:val="left"/>
      <w:pPr>
        <w:ind w:left="1421" w:hanging="526"/>
        <w:jc w:val="left"/>
      </w:pPr>
      <w:rPr>
        <w:rFonts w:hint="default"/>
        <w:lang w:val="en-US" w:eastAsia="en-US" w:bidi="ar-SA"/>
      </w:rPr>
    </w:lvl>
    <w:lvl w:ilvl="1">
      <w:start w:val="2"/>
      <w:numFmt w:val="decimal"/>
      <w:lvlText w:val="%1.%2"/>
      <w:lvlJc w:val="left"/>
      <w:pPr>
        <w:ind w:left="1421"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1630" w:hanging="735"/>
        <w:jc w:val="left"/>
      </w:pPr>
      <w:rPr>
        <w:rFonts w:ascii="黑体" w:eastAsia="黑体" w:hAnsi="黑体" w:cs="黑体" w:hint="default"/>
        <w:w w:val="100"/>
        <w:sz w:val="21"/>
        <w:szCs w:val="21"/>
        <w:lang w:val="en-US" w:eastAsia="en-US" w:bidi="ar-SA"/>
      </w:rPr>
    </w:lvl>
    <w:lvl w:ilvl="3">
      <w:start w:val="0"/>
      <w:numFmt w:val="bullet"/>
      <w:lvlText w:val="•"/>
      <w:lvlJc w:val="left"/>
      <w:pPr>
        <w:ind w:left="2860" w:hanging="735"/>
      </w:pPr>
      <w:rPr>
        <w:rFonts w:hint="default"/>
        <w:lang w:val="en-US" w:eastAsia="en-US" w:bidi="ar-SA"/>
      </w:rPr>
    </w:lvl>
    <w:lvl w:ilvl="4">
      <w:start w:val="0"/>
      <w:numFmt w:val="bullet"/>
      <w:lvlText w:val="•"/>
      <w:lvlJc w:val="left"/>
      <w:pPr>
        <w:ind w:left="4081" w:hanging="735"/>
      </w:pPr>
      <w:rPr>
        <w:rFonts w:hint="default"/>
        <w:lang w:val="en-US" w:eastAsia="en-US" w:bidi="ar-SA"/>
      </w:rPr>
    </w:lvl>
    <w:lvl w:ilvl="5">
      <w:start w:val="0"/>
      <w:numFmt w:val="bullet"/>
      <w:lvlText w:val="•"/>
      <w:lvlJc w:val="left"/>
      <w:pPr>
        <w:ind w:left="5302" w:hanging="735"/>
      </w:pPr>
      <w:rPr>
        <w:rFonts w:hint="default"/>
        <w:lang w:val="en-US" w:eastAsia="en-US" w:bidi="ar-SA"/>
      </w:rPr>
    </w:lvl>
    <w:lvl w:ilvl="6">
      <w:start w:val="0"/>
      <w:numFmt w:val="bullet"/>
      <w:lvlText w:val="•"/>
      <w:lvlJc w:val="left"/>
      <w:pPr>
        <w:ind w:left="6523" w:hanging="735"/>
      </w:pPr>
      <w:rPr>
        <w:rFonts w:hint="default"/>
        <w:lang w:val="en-US" w:eastAsia="en-US" w:bidi="ar-SA"/>
      </w:rPr>
    </w:lvl>
    <w:lvl w:ilvl="7">
      <w:start w:val="0"/>
      <w:numFmt w:val="bullet"/>
      <w:lvlText w:val="•"/>
      <w:lvlJc w:val="left"/>
      <w:pPr>
        <w:ind w:left="7744" w:hanging="735"/>
      </w:pPr>
      <w:rPr>
        <w:rFonts w:hint="default"/>
        <w:lang w:val="en-US" w:eastAsia="en-US" w:bidi="ar-SA"/>
      </w:rPr>
    </w:lvl>
    <w:lvl w:ilvl="8">
      <w:start w:val="0"/>
      <w:numFmt w:val="bullet"/>
      <w:lvlText w:val="•"/>
      <w:lvlJc w:val="left"/>
      <w:pPr>
        <w:ind w:left="8964" w:hanging="735"/>
      </w:pPr>
      <w:rPr>
        <w:rFonts w:hint="default"/>
        <w:lang w:val="en-US" w:eastAsia="en-US" w:bidi="ar-SA"/>
      </w:rPr>
    </w:lvl>
  </w:abstractNum>
  <w:abstractNum w:abstractNumId="11">
    <w:nsid w:val="5D9DC298"/>
    <w:multiLevelType w:val="hybridMultilevel"/>
    <w:tmpl w:val="00000000"/>
    <w:lvl w:ilvl="0">
      <w:start w:val="1"/>
      <w:numFmt w:val="decimal"/>
      <w:lvlText w:val="%1"/>
      <w:lvlJc w:val="left"/>
      <w:pPr>
        <w:ind w:left="1490" w:hanging="315"/>
        <w:jc w:val="left"/>
      </w:pPr>
      <w:rPr>
        <w:rFonts w:ascii="黑体" w:eastAsia="黑体" w:hAnsi="黑体" w:cs="黑体" w:hint="default"/>
        <w:w w:val="100"/>
        <w:sz w:val="21"/>
        <w:szCs w:val="21"/>
        <w:lang w:val="en-US" w:eastAsia="en-US" w:bidi="ar-SA"/>
      </w:rPr>
    </w:lvl>
    <w:lvl w:ilvl="1">
      <w:start w:val="0"/>
      <w:numFmt w:val="bullet"/>
      <w:lvlText w:val="•"/>
      <w:lvlJc w:val="left"/>
      <w:pPr>
        <w:ind w:left="2490" w:hanging="315"/>
      </w:pPr>
      <w:rPr>
        <w:rFonts w:hint="default"/>
        <w:lang w:val="en-US" w:eastAsia="en-US" w:bidi="ar-SA"/>
      </w:rPr>
    </w:lvl>
    <w:lvl w:ilvl="2">
      <w:start w:val="0"/>
      <w:numFmt w:val="bullet"/>
      <w:lvlText w:val="•"/>
      <w:lvlJc w:val="left"/>
      <w:pPr>
        <w:ind w:left="3481" w:hanging="315"/>
      </w:pPr>
      <w:rPr>
        <w:rFonts w:hint="default"/>
        <w:lang w:val="en-US" w:eastAsia="en-US" w:bidi="ar-SA"/>
      </w:rPr>
    </w:lvl>
    <w:lvl w:ilvl="3">
      <w:start w:val="0"/>
      <w:numFmt w:val="bullet"/>
      <w:lvlText w:val="•"/>
      <w:lvlJc w:val="left"/>
      <w:pPr>
        <w:ind w:left="4471" w:hanging="315"/>
      </w:pPr>
      <w:rPr>
        <w:rFonts w:hint="default"/>
        <w:lang w:val="en-US" w:eastAsia="en-US" w:bidi="ar-SA"/>
      </w:rPr>
    </w:lvl>
    <w:lvl w:ilvl="4">
      <w:start w:val="0"/>
      <w:numFmt w:val="bullet"/>
      <w:lvlText w:val="•"/>
      <w:lvlJc w:val="left"/>
      <w:pPr>
        <w:ind w:left="5462" w:hanging="315"/>
      </w:pPr>
      <w:rPr>
        <w:rFonts w:hint="default"/>
        <w:lang w:val="en-US" w:eastAsia="en-US" w:bidi="ar-SA"/>
      </w:rPr>
    </w:lvl>
    <w:lvl w:ilvl="5">
      <w:start w:val="0"/>
      <w:numFmt w:val="bullet"/>
      <w:lvlText w:val="•"/>
      <w:lvlJc w:val="left"/>
      <w:pPr>
        <w:ind w:left="6453" w:hanging="315"/>
      </w:pPr>
      <w:rPr>
        <w:rFonts w:hint="default"/>
        <w:lang w:val="en-US" w:eastAsia="en-US" w:bidi="ar-SA"/>
      </w:rPr>
    </w:lvl>
    <w:lvl w:ilvl="6">
      <w:start w:val="0"/>
      <w:numFmt w:val="bullet"/>
      <w:lvlText w:val="•"/>
      <w:lvlJc w:val="left"/>
      <w:pPr>
        <w:ind w:left="7443" w:hanging="315"/>
      </w:pPr>
      <w:rPr>
        <w:rFonts w:hint="default"/>
        <w:lang w:val="en-US" w:eastAsia="en-US" w:bidi="ar-SA"/>
      </w:rPr>
    </w:lvl>
    <w:lvl w:ilvl="7">
      <w:start w:val="0"/>
      <w:numFmt w:val="bullet"/>
      <w:lvlText w:val="•"/>
      <w:lvlJc w:val="left"/>
      <w:pPr>
        <w:ind w:left="8434" w:hanging="315"/>
      </w:pPr>
      <w:rPr>
        <w:rFonts w:hint="default"/>
        <w:lang w:val="en-US" w:eastAsia="en-US" w:bidi="ar-SA"/>
      </w:rPr>
    </w:lvl>
    <w:lvl w:ilvl="8">
      <w:start w:val="0"/>
      <w:numFmt w:val="bullet"/>
      <w:lvlText w:val="•"/>
      <w:lvlJc w:val="left"/>
      <w:pPr>
        <w:ind w:left="9425" w:hanging="315"/>
      </w:pPr>
      <w:rPr>
        <w:rFonts w:hint="default"/>
        <w:lang w:val="en-US" w:eastAsia="en-US" w:bidi="ar-SA"/>
      </w:rPr>
    </w:lvl>
  </w:abstractNum>
  <w:abstractNum w:abstractNumId="12">
    <w:nsid w:val="6123F6FE"/>
    <w:multiLevelType w:val="hybridMultilevel"/>
    <w:tmpl w:val="00000000"/>
    <w:lvl w:ilvl="0">
      <w:start w:val="5"/>
      <w:numFmt w:val="decimal"/>
      <w:lvlText w:val="%1"/>
      <w:lvlJc w:val="left"/>
      <w:pPr>
        <w:ind w:left="1208" w:hanging="315"/>
        <w:jc w:val="left"/>
      </w:pPr>
      <w:rPr>
        <w:rFonts w:ascii="黑体" w:eastAsia="黑体" w:hAnsi="黑体" w:cs="黑体" w:hint="default"/>
        <w:w w:val="100"/>
        <w:sz w:val="21"/>
        <w:szCs w:val="21"/>
        <w:lang w:val="en-US" w:eastAsia="en-US" w:bidi="ar-SA"/>
      </w:rPr>
    </w:lvl>
    <w:lvl w:ilvl="1">
      <w:start w:val="1"/>
      <w:numFmt w:val="decimal"/>
      <w:lvlText w:val="%1.%2"/>
      <w:lvlJc w:val="left"/>
      <w:pPr>
        <w:ind w:left="1419" w:hanging="526"/>
        <w:jc w:val="right"/>
      </w:pPr>
      <w:rPr>
        <w:rFonts w:ascii="黑体" w:eastAsia="黑体" w:hAnsi="黑体" w:cs="黑体" w:hint="default"/>
        <w:w w:val="100"/>
        <w:sz w:val="21"/>
        <w:szCs w:val="21"/>
        <w:lang w:val="en-US" w:eastAsia="en-US" w:bidi="ar-SA"/>
      </w:rPr>
    </w:lvl>
    <w:lvl w:ilvl="2">
      <w:start w:val="1"/>
      <w:numFmt w:val="decimal"/>
      <w:lvlText w:val="%1.%2.%3"/>
      <w:lvlJc w:val="left"/>
      <w:pPr>
        <w:ind w:left="1910" w:hanging="735"/>
        <w:jc w:val="left"/>
      </w:pPr>
      <w:rPr>
        <w:rFonts w:ascii="黑体" w:eastAsia="黑体" w:hAnsi="黑体" w:cs="黑体" w:hint="default"/>
        <w:w w:val="100"/>
        <w:sz w:val="21"/>
        <w:szCs w:val="21"/>
        <w:lang w:val="en-US" w:eastAsia="en-US" w:bidi="ar-SA"/>
      </w:rPr>
    </w:lvl>
    <w:lvl w:ilvl="3">
      <w:start w:val="1"/>
      <w:numFmt w:val="decimal"/>
      <w:lvlText w:val="%1.%2.%3.%4"/>
      <w:lvlJc w:val="left"/>
      <w:pPr>
        <w:ind w:left="2123" w:hanging="946"/>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3446" w:hanging="946"/>
      </w:pPr>
      <w:rPr>
        <w:rFonts w:hint="default"/>
        <w:lang w:val="en-US" w:eastAsia="en-US" w:bidi="ar-SA"/>
      </w:rPr>
    </w:lvl>
    <w:lvl w:ilvl="5">
      <w:start w:val="0"/>
      <w:numFmt w:val="bullet"/>
      <w:lvlText w:val="•"/>
      <w:lvlJc w:val="left"/>
      <w:pPr>
        <w:ind w:left="4773" w:hanging="946"/>
      </w:pPr>
      <w:rPr>
        <w:rFonts w:hint="default"/>
        <w:lang w:val="en-US" w:eastAsia="en-US" w:bidi="ar-SA"/>
      </w:rPr>
    </w:lvl>
    <w:lvl w:ilvl="6">
      <w:start w:val="0"/>
      <w:numFmt w:val="bullet"/>
      <w:lvlText w:val="•"/>
      <w:lvlJc w:val="left"/>
      <w:pPr>
        <w:ind w:left="6099" w:hanging="946"/>
      </w:pPr>
      <w:rPr>
        <w:rFonts w:hint="default"/>
        <w:lang w:val="en-US" w:eastAsia="en-US" w:bidi="ar-SA"/>
      </w:rPr>
    </w:lvl>
    <w:lvl w:ilvl="7">
      <w:start w:val="0"/>
      <w:numFmt w:val="bullet"/>
      <w:lvlText w:val="•"/>
      <w:lvlJc w:val="left"/>
      <w:pPr>
        <w:ind w:left="7426" w:hanging="946"/>
      </w:pPr>
      <w:rPr>
        <w:rFonts w:hint="default"/>
        <w:lang w:val="en-US" w:eastAsia="en-US" w:bidi="ar-SA"/>
      </w:rPr>
    </w:lvl>
    <w:lvl w:ilvl="8">
      <w:start w:val="0"/>
      <w:numFmt w:val="bullet"/>
      <w:lvlText w:val="•"/>
      <w:lvlJc w:val="left"/>
      <w:pPr>
        <w:ind w:left="8753" w:hanging="946"/>
      </w:pPr>
      <w:rPr>
        <w:rFonts w:hint="default"/>
        <w:lang w:val="en-US" w:eastAsia="en-US" w:bidi="ar-SA"/>
      </w:rPr>
    </w:lvl>
  </w:abstractNum>
  <w:abstractNum w:abstractNumId="13">
    <w:nsid w:val="636B2BA3"/>
    <w:multiLevelType w:val="hybridMultilevel"/>
    <w:tmpl w:val="00000000"/>
    <w:lvl w:ilvl="0">
      <w:start w:val="1"/>
      <w:numFmt w:val="decimal"/>
      <w:lvlText w:val="%1"/>
      <w:lvlJc w:val="left"/>
      <w:pPr>
        <w:ind w:left="1493" w:hanging="317"/>
        <w:jc w:val="left"/>
      </w:pPr>
      <w:rPr>
        <w:rFonts w:ascii="宋体" w:eastAsia="宋体" w:hAnsi="宋体" w:cs="宋体" w:hint="default"/>
        <w:w w:val="100"/>
        <w:sz w:val="21"/>
        <w:szCs w:val="21"/>
        <w:lang w:val="en-US" w:eastAsia="en-US" w:bidi="ar-SA"/>
      </w:rPr>
    </w:lvl>
    <w:lvl w:ilvl="1">
      <w:start w:val="0"/>
      <w:numFmt w:val="bullet"/>
      <w:lvlText w:val="•"/>
      <w:lvlJc w:val="left"/>
      <w:pPr>
        <w:ind w:left="2490" w:hanging="317"/>
      </w:pPr>
      <w:rPr>
        <w:rFonts w:hint="default"/>
        <w:lang w:val="en-US" w:eastAsia="en-US" w:bidi="ar-SA"/>
      </w:rPr>
    </w:lvl>
    <w:lvl w:ilvl="2">
      <w:start w:val="0"/>
      <w:numFmt w:val="bullet"/>
      <w:lvlText w:val="•"/>
      <w:lvlJc w:val="left"/>
      <w:pPr>
        <w:ind w:left="3481" w:hanging="317"/>
      </w:pPr>
      <w:rPr>
        <w:rFonts w:hint="default"/>
        <w:lang w:val="en-US" w:eastAsia="en-US" w:bidi="ar-SA"/>
      </w:rPr>
    </w:lvl>
    <w:lvl w:ilvl="3">
      <w:start w:val="0"/>
      <w:numFmt w:val="bullet"/>
      <w:lvlText w:val="•"/>
      <w:lvlJc w:val="left"/>
      <w:pPr>
        <w:ind w:left="4471" w:hanging="317"/>
      </w:pPr>
      <w:rPr>
        <w:rFonts w:hint="default"/>
        <w:lang w:val="en-US" w:eastAsia="en-US" w:bidi="ar-SA"/>
      </w:rPr>
    </w:lvl>
    <w:lvl w:ilvl="4">
      <w:start w:val="0"/>
      <w:numFmt w:val="bullet"/>
      <w:lvlText w:val="•"/>
      <w:lvlJc w:val="left"/>
      <w:pPr>
        <w:ind w:left="5462" w:hanging="317"/>
      </w:pPr>
      <w:rPr>
        <w:rFonts w:hint="default"/>
        <w:lang w:val="en-US" w:eastAsia="en-US" w:bidi="ar-SA"/>
      </w:rPr>
    </w:lvl>
    <w:lvl w:ilvl="5">
      <w:start w:val="0"/>
      <w:numFmt w:val="bullet"/>
      <w:lvlText w:val="•"/>
      <w:lvlJc w:val="left"/>
      <w:pPr>
        <w:ind w:left="6453" w:hanging="317"/>
      </w:pPr>
      <w:rPr>
        <w:rFonts w:hint="default"/>
        <w:lang w:val="en-US" w:eastAsia="en-US" w:bidi="ar-SA"/>
      </w:rPr>
    </w:lvl>
    <w:lvl w:ilvl="6">
      <w:start w:val="0"/>
      <w:numFmt w:val="bullet"/>
      <w:lvlText w:val="•"/>
      <w:lvlJc w:val="left"/>
      <w:pPr>
        <w:ind w:left="7443" w:hanging="317"/>
      </w:pPr>
      <w:rPr>
        <w:rFonts w:hint="default"/>
        <w:lang w:val="en-US" w:eastAsia="en-US" w:bidi="ar-SA"/>
      </w:rPr>
    </w:lvl>
    <w:lvl w:ilvl="7">
      <w:start w:val="0"/>
      <w:numFmt w:val="bullet"/>
      <w:lvlText w:val="•"/>
      <w:lvlJc w:val="left"/>
      <w:pPr>
        <w:ind w:left="8434" w:hanging="317"/>
      </w:pPr>
      <w:rPr>
        <w:rFonts w:hint="default"/>
        <w:lang w:val="en-US" w:eastAsia="en-US" w:bidi="ar-SA"/>
      </w:rPr>
    </w:lvl>
    <w:lvl w:ilvl="8">
      <w:start w:val="0"/>
      <w:numFmt w:val="bullet"/>
      <w:lvlText w:val="•"/>
      <w:lvlJc w:val="left"/>
      <w:pPr>
        <w:ind w:left="9425" w:hanging="317"/>
      </w:pPr>
      <w:rPr>
        <w:rFonts w:hint="default"/>
        <w:lang w:val="en-US" w:eastAsia="en-US" w:bidi="ar-SA"/>
      </w:rPr>
    </w:lvl>
  </w:abstractNum>
  <w:abstractNum w:abstractNumId="14">
    <w:nsid w:val="6E8CE3B3"/>
    <w:multiLevelType w:val="hybridMultilevel"/>
    <w:tmpl w:val="00000000"/>
    <w:lvl w:ilvl="0">
      <w:start w:val="5"/>
      <w:numFmt w:val="decimal"/>
      <w:lvlText w:val="%1"/>
      <w:lvlJc w:val="left"/>
      <w:pPr>
        <w:ind w:left="1838" w:hanging="946"/>
        <w:jc w:val="left"/>
      </w:pPr>
      <w:rPr>
        <w:rFonts w:hint="default"/>
        <w:lang w:val="en-US" w:eastAsia="en-US" w:bidi="ar-SA"/>
      </w:rPr>
    </w:lvl>
    <w:lvl w:ilvl="1">
      <w:start w:val="2"/>
      <w:numFmt w:val="decimal"/>
      <w:lvlText w:val="%1.%2"/>
      <w:lvlJc w:val="left"/>
      <w:pPr>
        <w:ind w:left="1838" w:hanging="946"/>
        <w:jc w:val="left"/>
      </w:pPr>
      <w:rPr>
        <w:rFonts w:hint="default"/>
        <w:lang w:val="en-US" w:eastAsia="en-US" w:bidi="ar-SA"/>
      </w:rPr>
    </w:lvl>
    <w:lvl w:ilvl="2">
      <w:start w:val="5"/>
      <w:numFmt w:val="decimal"/>
      <w:lvlText w:val="%1.%2.%3"/>
      <w:lvlJc w:val="left"/>
      <w:pPr>
        <w:ind w:left="1838" w:hanging="946"/>
        <w:jc w:val="left"/>
      </w:pPr>
      <w:rPr>
        <w:rFonts w:hint="default"/>
        <w:lang w:val="en-US" w:eastAsia="en-US" w:bidi="ar-SA"/>
      </w:rPr>
    </w:lvl>
    <w:lvl w:ilvl="3">
      <w:start w:val="1"/>
      <w:numFmt w:val="decimal"/>
      <w:lvlText w:val="%1.%2.%3.%4"/>
      <w:lvlJc w:val="left"/>
      <w:pPr>
        <w:ind w:left="1838" w:hanging="946"/>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5666" w:hanging="946"/>
      </w:pPr>
      <w:rPr>
        <w:rFonts w:hint="default"/>
        <w:lang w:val="en-US" w:eastAsia="en-US" w:bidi="ar-SA"/>
      </w:rPr>
    </w:lvl>
    <w:lvl w:ilvl="5">
      <w:start w:val="0"/>
      <w:numFmt w:val="bullet"/>
      <w:lvlText w:val="•"/>
      <w:lvlJc w:val="left"/>
      <w:pPr>
        <w:ind w:left="6623" w:hanging="946"/>
      </w:pPr>
      <w:rPr>
        <w:rFonts w:hint="default"/>
        <w:lang w:val="en-US" w:eastAsia="en-US" w:bidi="ar-SA"/>
      </w:rPr>
    </w:lvl>
    <w:lvl w:ilvl="6">
      <w:start w:val="0"/>
      <w:numFmt w:val="bullet"/>
      <w:lvlText w:val="•"/>
      <w:lvlJc w:val="left"/>
      <w:pPr>
        <w:ind w:left="7579" w:hanging="946"/>
      </w:pPr>
      <w:rPr>
        <w:rFonts w:hint="default"/>
        <w:lang w:val="en-US" w:eastAsia="en-US" w:bidi="ar-SA"/>
      </w:rPr>
    </w:lvl>
    <w:lvl w:ilvl="7">
      <w:start w:val="0"/>
      <w:numFmt w:val="bullet"/>
      <w:lvlText w:val="•"/>
      <w:lvlJc w:val="left"/>
      <w:pPr>
        <w:ind w:left="8536" w:hanging="946"/>
      </w:pPr>
      <w:rPr>
        <w:rFonts w:hint="default"/>
        <w:lang w:val="en-US" w:eastAsia="en-US" w:bidi="ar-SA"/>
      </w:rPr>
    </w:lvl>
    <w:lvl w:ilvl="8">
      <w:start w:val="0"/>
      <w:numFmt w:val="bullet"/>
      <w:lvlText w:val="•"/>
      <w:lvlJc w:val="left"/>
      <w:pPr>
        <w:ind w:left="9493" w:hanging="946"/>
      </w:pPr>
      <w:rPr>
        <w:rFonts w:hint="default"/>
        <w:lang w:val="en-US" w:eastAsia="en-US" w:bidi="ar-SA"/>
      </w:rPr>
    </w:lvl>
  </w:abstractNum>
  <w:num w:numId="1">
    <w:abstractNumId w:val="8"/>
  </w:num>
  <w:num w:numId="2">
    <w:abstractNumId w:val="9"/>
  </w:num>
  <w:num w:numId="3">
    <w:abstractNumId w:val="7"/>
  </w:num>
  <w:num w:numId="4">
    <w:abstractNumId w:val="14"/>
  </w:num>
  <w:num w:numId="5">
    <w:abstractNumId w:val="4"/>
  </w:num>
  <w:num w:numId="6">
    <w:abstractNumId w:val="6"/>
  </w:num>
  <w:num w:numId="7">
    <w:abstractNumId w:val="10"/>
  </w:num>
  <w:num w:numId="8">
    <w:abstractNumId w:val="5"/>
  </w:num>
  <w:num w:numId="9">
    <w:abstractNumId w:val="1"/>
  </w:num>
  <w:num w:numId="10">
    <w:abstractNumId w:val="0"/>
  </w:num>
  <w:num w:numId="11">
    <w:abstractNumId w:val="3"/>
  </w:num>
  <w:num w:numId="12">
    <w:abstractNumId w:val="13"/>
  </w:num>
  <w:num w:numId="13">
    <w:abstractNumId w:val="11"/>
  </w:num>
  <w:num w:numId="14">
    <w:abstractNumId w:val="12"/>
  </w:num>
  <w:num w:numId="1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en-US" w:bidi="ar-SA"/>
    </w:rPr>
  </w:style>
  <w:style w:type="paragraph" w:styleId="Heading1">
    <w:name w:val="heading 1"/>
    <w:basedOn w:val="Normal"/>
    <w:uiPriority w:val="1"/>
    <w:qFormat/>
    <w:pPr>
      <w:spacing w:before="54"/>
      <w:jc w:val="center"/>
      <w:outlineLvl w:val="0"/>
    </w:pPr>
    <w:rPr>
      <w:rFonts w:ascii="黑体" w:eastAsia="黑体" w:hAnsi="黑体" w:cs="黑体"/>
      <w:sz w:val="32"/>
      <w:szCs w:val="32"/>
      <w:lang w:val="en-US" w:eastAsia="en-US"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1"/>
      <w:szCs w:val="21"/>
      <w:lang w:val="en-US" w:eastAsia="en-US" w:bidi="ar-SA"/>
    </w:rPr>
  </w:style>
  <w:style w:type="paragraph" w:styleId="Title">
    <w:name w:val="Title"/>
    <w:basedOn w:val="Normal"/>
    <w:uiPriority w:val="1"/>
    <w:qFormat/>
    <w:pPr>
      <w:ind w:left="300"/>
      <w:jc w:val="center"/>
    </w:pPr>
    <w:rPr>
      <w:rFonts w:ascii="黑体" w:eastAsia="黑体" w:hAnsi="黑体" w:cs="黑体"/>
      <w:sz w:val="52"/>
      <w:szCs w:val="52"/>
      <w:lang w:val="en-US" w:eastAsia="en-US" w:bidi="ar-SA"/>
    </w:rPr>
  </w:style>
  <w:style w:type="paragraph" w:styleId="ListParagraph">
    <w:name w:val="List Paragraph"/>
    <w:basedOn w:val="Normal"/>
    <w:uiPriority w:val="1"/>
    <w:qFormat/>
    <w:pPr>
      <w:ind w:left="1627" w:hanging="736"/>
    </w:pPr>
    <w:rPr>
      <w:rFonts w:ascii="宋体" w:eastAsia="宋体" w:hAnsi="宋体" w:cs="宋体"/>
      <w:lang w:val="en-US" w:eastAsia="en-US" w:bidi="ar-SA"/>
    </w:rPr>
  </w:style>
  <w:style w:type="paragraph" w:customStyle="1" w:styleId="TableParagraph">
    <w:name w:val="Table Paragraph"/>
    <w:basedOn w:val="Normal"/>
    <w:uiPriority w:val="1"/>
    <w:qFormat/>
    <w:rPr>
      <w:rFonts w:ascii="宋体" w:eastAsia="宋体" w:hAnsi="宋体" w:cs="宋体"/>
      <w:lang w:val="en-US" w:eastAsia="en-US"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header" Target="header6.xml" /><Relationship Id="rId16" Type="http://schemas.openxmlformats.org/officeDocument/2006/relationships/footer" Target="footer5.xm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image" Target="media/image3.png" /><Relationship Id="rId21" Type="http://schemas.openxmlformats.org/officeDocument/2006/relationships/header" Target="header9.xml" /><Relationship Id="rId22" Type="http://schemas.openxmlformats.org/officeDocument/2006/relationships/header" Target="header10.xml" /><Relationship Id="rId23" Type="http://schemas.openxmlformats.org/officeDocument/2006/relationships/footer" Target="footer7.xml" /><Relationship Id="rId24" Type="http://schemas.openxmlformats.org/officeDocument/2006/relationships/header" Target="header11.xml" /><Relationship Id="rId25" Type="http://schemas.openxmlformats.org/officeDocument/2006/relationships/header" Target="header12.xml" /><Relationship Id="rId26" Type="http://schemas.openxmlformats.org/officeDocument/2006/relationships/footer" Target="footer8.xml" /><Relationship Id="rId27" Type="http://schemas.openxmlformats.org/officeDocument/2006/relationships/header" Target="header13.xml" /><Relationship Id="rId28" Type="http://schemas.openxmlformats.org/officeDocument/2006/relationships/header" Target="header14.xml" /><Relationship Id="rId29" Type="http://schemas.openxmlformats.org/officeDocument/2006/relationships/footer" Target="footer9.xml" /><Relationship Id="rId3" Type="http://schemas.openxmlformats.org/officeDocument/2006/relationships/fontTable" Target="fontTable.xml" /><Relationship Id="rId30" Type="http://schemas.openxmlformats.org/officeDocument/2006/relationships/header" Target="header15.xml" /><Relationship Id="rId31" Type="http://schemas.openxmlformats.org/officeDocument/2006/relationships/header" Target="header16.xml" /><Relationship Id="rId32" Type="http://schemas.openxmlformats.org/officeDocument/2006/relationships/footer" Target="footer10.xml" /><Relationship Id="rId33" Type="http://schemas.openxmlformats.org/officeDocument/2006/relationships/header" Target="header17.xml" /><Relationship Id="rId34" Type="http://schemas.openxmlformats.org/officeDocument/2006/relationships/header" Target="header18.xml" /><Relationship Id="rId35" Type="http://schemas.openxmlformats.org/officeDocument/2006/relationships/footer" Target="footer11.xml" /><Relationship Id="rId36" Type="http://schemas.openxmlformats.org/officeDocument/2006/relationships/hyperlink" Target="https://d.book118.com/328065141027006031" TargetMode="External" /><Relationship Id="rId37" Type="http://schemas.openxmlformats.org/officeDocument/2006/relationships/header" Target="header19.xml" /><Relationship Id="rId38" Type="http://schemas.openxmlformats.org/officeDocument/2006/relationships/header" Target="header20.xml" /><Relationship Id="rId39" Type="http://schemas.openxmlformats.org/officeDocument/2006/relationships/footer" Target="footer12.xml" /><Relationship Id="rId4" Type="http://schemas.openxmlformats.org/officeDocument/2006/relationships/image" Target="media/image1.png" /><Relationship Id="rId40" Type="http://schemas.openxmlformats.org/officeDocument/2006/relationships/theme" Target="theme/theme1.xml" /><Relationship Id="rId41" Type="http://schemas.openxmlformats.org/officeDocument/2006/relationships/numbering" Target="numbering.xml" /><Relationship Id="rId42" Type="http://schemas.openxmlformats.org/officeDocument/2006/relationships/styles" Target="styles.xml" /><Relationship Id="rId5" Type="http://schemas.openxmlformats.org/officeDocument/2006/relationships/footer" Target="footer1.xml" /><Relationship Id="rId6" Type="http://schemas.openxmlformats.org/officeDocument/2006/relationships/image" Target="media/image2.png" /><Relationship Id="rId7" Type="http://schemas.openxmlformats.org/officeDocument/2006/relationships/footer" Target="footer2.xml" /><Relationship Id="rId8" Type="http://schemas.openxmlformats.org/officeDocument/2006/relationships/header" Target="header1.xml" /><Relationship Id="rId9" Type="http://schemas.openxmlformats.org/officeDocument/2006/relationships/header" Target="head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cp:revision>0</cp:revision>
  <dcterms:created xsi:type="dcterms:W3CDTF">2024-01-24T09:08:42Z</dcterms:created>
  <dcterms:modified xsi:type="dcterms:W3CDTF">2024-01-24T09:08:42Z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2017-09-06T00:00:00Z</vt:filetime>
  </property>
  <property fmtid="{D5CDD505-2E9C-101B-9397-08002B2CF9AE}" pid="3" name="Creator">
    <vt:lpwstr>Acrobat PDFMaker 11 Word 版</vt:lpwstr>
  </property>
  <property fmtid="{D5CDD505-2E9C-101B-9397-08002B2CF9AE}" pid="4" name="LastSaved">
    <vt:filetime>2024-01-24T00:00:00Z</vt:filetime>
  </property>
</Properties>
</file>