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E0083" w:rsidP="00AE0083" w14:paraId="585737F2" w14:textId="77777777">
      <w:pPr>
        <w:spacing w:before="48" w:beforeLines="20" w:after="360" w:afterLines="150" w:line="360" w:lineRule="auto"/>
        <w:jc w:val="center"/>
        <w:rPr>
          <w:rFonts w:ascii="华文中宋" w:eastAsia="华文中宋" w:hAnsi="华文中宋"/>
          <w:b/>
          <w:sz w:val="30"/>
        </w:rPr>
      </w:pPr>
      <w:r w:rsidRPr="00AE0083">
        <w:rPr>
          <w:rFonts w:ascii="华文中宋" w:eastAsia="华文中宋" w:hAnsi="华文中宋"/>
          <w:b/>
          <w:sz w:val="30"/>
        </w:rPr>
        <w:t>2024</w:t>
      </w:r>
      <w:r w:rsidRPr="00AE0083">
        <w:rPr>
          <w:rFonts w:ascii="华文中宋" w:eastAsia="华文中宋" w:hAnsi="华文中宋"/>
          <w:b/>
          <w:sz w:val="30"/>
        </w:rPr>
        <w:t>年常州市金坛区建设资产经营有限公司人员招聘考试题库及答案解析</w:t>
      </w:r>
    </w:p>
    <w:p w:rsidR="00A77B3E" w14:paraId="250A13F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EAC8988" w14:textId="77777777">
      <w:pPr>
        <w:spacing w:after="260" w:line="360" w:lineRule="auto"/>
      </w:pPr>
      <w:r>
        <w:rPr>
          <w:rFonts w:eastAsia="微软雅黑" w:cs="宋体"/>
          <w:b/>
        </w:rPr>
        <w:t>一、言语理解与表达</w:t>
      </w:r>
    </w:p>
    <w:p w:rsidR="003F588C" w14:paraId="0C24CC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我国将着手研究基础养老金全国统筹方案，以避免异地参保者因无法拿到养老金而选择退保问题的出现</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将继续推进城镇医保、失业保险和工伤保险实现地市级统筹，有条件的地区实行省级统筹或省级调剂制度。以上这段话主要说明了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ACABB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、我国将进一步保障弱势群体的经济利益</w:t>
      </w:r>
    </w:p>
    <w:p w:rsidR="003F588C" w14:paraId="4E8E42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、我国将推进职工保险事业的进一步发展</w:t>
      </w:r>
    </w:p>
    <w:p w:rsidR="003F588C" w14:paraId="42A099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、我国将研究养老金保险的全国统筹方案</w:t>
      </w:r>
    </w:p>
    <w:p w:rsidR="003F588C" w14:paraId="261F35E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、我国将推进各类国民基本保险的统筹分配</w:t>
      </w:r>
    </w:p>
    <w:p w:rsidR="003F588C" w14:paraId="166360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D8513F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本段介绍了基础养老金、城镇医保、失业保险和工伤保险的统筹规划，</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项概括全面，正确。</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项偷换概念，推进基本保险的统筹分配不等于“保障弱势群体的经济利益”</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项不够明确</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项只提到“养老保险”，不够全面。故选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55C3B8D"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在现实中的卢浮宫，你需要在蒙娜丽莎的外围等上数十分钟，才能凑近那发黄的小画看上片刻。虚拟博物馆此时就可以发挥效用：攒动的人潮没有了，距离没有了，推到眼前的只有高度还原的展厅景观和</w:t>
      </w:r>
      <w:r w:rsidRPr="003F588C">
        <w:rPr>
          <w:rFonts w:ascii="Times New Roman" w:eastAsia="微软雅黑" w:hAnsi="微软雅黑" w:cs="宋体" w:hint="eastAsia"/>
          <w:szCs w:val="18"/>
        </w:rPr>
        <w:t>70</w:t>
      </w:r>
      <w:r w:rsidRPr="003F588C">
        <w:rPr>
          <w:rFonts w:ascii="Times New Roman" w:eastAsia="微软雅黑" w:hAnsi="微软雅黑" w:cs="宋体" w:hint="eastAsia"/>
          <w:szCs w:val="18"/>
        </w:rPr>
        <w:t>亿像素无限细腻的细节和质感。而博物馆</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虽然有丰富的馆藏和长期列展，但因为空间有限，并不会将所有作品同时展示在展厅里，但在数字展厅，那些难得一见的艺术品你都可以随时观览。</w:t>
      </w:r>
    </w:p>
    <w:p w:rsidR="003F588C" w14:paraId="6E6599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这段文字主要介绍了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ABB67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、数字博物馆的优势</w:t>
      </w:r>
    </w:p>
    <w:p w:rsidR="003F588C" w14:paraId="128AEE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、博物馆的未来发展方向</w:t>
      </w:r>
    </w:p>
    <w:p w:rsidR="003F588C" w14:paraId="76E417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、传统博物馆的技术局限</w:t>
      </w:r>
    </w:p>
    <w:p w:rsidR="003F588C" w14:paraId="2772C11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、建设数字博物馆的重要性</w:t>
      </w:r>
    </w:p>
    <w:p w:rsidR="003F588C" w14:paraId="78653A5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5E7BBF9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文段的主体是数字虚拟博物馆，通过对比传统博物馆和数字虚拟博物馆的对比，来突出数字虚拟博物馆比传统博物馆更时效、便捷的优势。故选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4C7125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一些业内人士表示，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责任是否在银行，银行</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应加强内控，完善客户存款的风险管理，以减少公众对于存款安全性的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2BA805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7FAD5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、无论</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质疑</w:t>
      </w:r>
    </w:p>
    <w:p w:rsidR="003F588C" w14:paraId="1CCBAC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疑惑</w:t>
      </w:r>
    </w:p>
    <w:p w:rsidR="003F588C" w14:paraId="4CA3FD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、尽管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疑问</w:t>
      </w:r>
    </w:p>
    <w:p w:rsidR="003F588C" w14:paraId="4A4CF1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、即使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顾虑</w:t>
      </w:r>
    </w:p>
    <w:p w:rsidR="003F588C" w14:paraId="04D2D20D"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26D0E87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由“责任是否在银行……银行应”可知，“加强内控”是必须进行的，本句是无条件复句，即不设条件都要进行后者，故应选“无论……都……”。故选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77393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种子，如果害怕</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，那它永远不能发芽。鲜花，如果害怕</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，那它永远不能开放。矿石，如果害怕</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，那它永远不能成钢。航船，如果害怕风浪，那它永远不能到达彼岸。</w:t>
      </w:r>
    </w:p>
    <w:p w:rsidR="003F588C" w14:paraId="67EF31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E3E7FB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、埋藏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凋零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燃烧</w:t>
      </w:r>
    </w:p>
    <w:p w:rsidR="003F588C" w14:paraId="1EB6465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、掩埋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凋落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烧毁</w:t>
      </w:r>
    </w:p>
    <w:p w:rsidR="003F588C" w14:paraId="51B4DCD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、凋谢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埋没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焚烧</w:t>
      </w:r>
    </w:p>
    <w:p w:rsidR="003F588C" w14:paraId="22899D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、埋没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凋谢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焚烧</w:t>
      </w:r>
    </w:p>
    <w:p w:rsidR="003F588C" w14:paraId="14650B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377675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第一空，与“种子”搭配，指要想发芽必须经历在泥土中的黑暗，“掩埋”、“埋没”都符合种子发芽前埋在地下的状态</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项“埋藏”侧重隐藏之意，与文意不符，排除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项“凋谢”与“种子”搭配不当，排除。第三空，搭配“矿石”，</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项“焚烧”形容矿石成钢的必要经历，符合文意。</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项“烧毁”指焚烧毁坏，侧重于毁坏，与“矿石”搭配不当，排除。第二空代入验证，形容鲜花要想开放不能害怕凋谢，符合文意。故选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16C3A0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5</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依次填入下列各句划横线处的词语，最恰当的一组是：</w:t>
      </w:r>
    </w:p>
    <w:p w:rsidR="003F588C" w14:paraId="69F569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一代科学巨匠竺可桢</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“求是精神”，指引浙大的思想航标。</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https://d.book118.com/328105134057006026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rsidP="005E01B6" w14:paraId="27057D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083" w14:paraId="397B615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rsidP="005E01B6" w14:paraId="18A78606" w14:textId="7B811C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E0083" w14:paraId="4784602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14:paraId="129CFA0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08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rsidP="005E01B6" w14:textId="7B811C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E008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08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rsidP="005E01B6" w14:textId="7B811C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E008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14:paraId="58F1D7E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14:paraId="767206B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14:paraId="676472E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08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AE0083"/>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DF2AE22"/>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AE008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E0083"/>
    <w:rPr>
      <w:sz w:val="18"/>
      <w:szCs w:val="18"/>
    </w:rPr>
  </w:style>
  <w:style w:type="paragraph" w:styleId="Footer">
    <w:name w:val="footer"/>
    <w:basedOn w:val="Normal"/>
    <w:link w:val="a0"/>
    <w:rsid w:val="00AE0083"/>
    <w:pPr>
      <w:tabs>
        <w:tab w:val="center" w:pos="4153"/>
        <w:tab w:val="right" w:pos="8306"/>
      </w:tabs>
      <w:snapToGrid w:val="0"/>
    </w:pPr>
    <w:rPr>
      <w:sz w:val="18"/>
      <w:szCs w:val="18"/>
    </w:rPr>
  </w:style>
  <w:style w:type="character" w:customStyle="1" w:styleId="a0">
    <w:name w:val="页脚 字符"/>
    <w:basedOn w:val="DefaultParagraphFont"/>
    <w:link w:val="Footer"/>
    <w:rsid w:val="00AE0083"/>
    <w:rPr>
      <w:sz w:val="18"/>
      <w:szCs w:val="18"/>
    </w:rPr>
  </w:style>
  <w:style w:type="character" w:styleId="PageNumber">
    <w:name w:val="page number"/>
    <w:basedOn w:val="DefaultParagraphFont"/>
    <w:rsid w:val="00AE00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8105134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4012</Words>
  <Characters>22869</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2024-01-14T02:57:00Z</dcterms:created>
  <dcterms:modified xsi:type="dcterms:W3CDTF">2024-01-14T02:57:00Z</dcterms:modified>
</cp:coreProperties>
</file>