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3" w:line="608" w:lineRule="exact"/>
        <w:ind w:firstLine="249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5391912</wp:posOffset>
            </wp:positionH>
            <wp:positionV relativeFrom="page">
              <wp:posOffset>3171444</wp:posOffset>
            </wp:positionV>
            <wp:extent cx="1616963" cy="79552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6963" cy="795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2002536" cy="38557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2536" cy="385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12" w:lineRule="auto"/>
        <w:ind w:left="168"/>
        <w:rPr>
          <w:sz w:val="21"/>
          <w:szCs w:val="21"/>
        </w:rPr>
      </w:pPr>
      <w:r>
        <w:rPr>
          <w:color w:val="0B4DA2"/>
          <w:sz w:val="21"/>
          <w:szCs w:val="21"/>
        </w:rPr>
        <w:t>公司研究</w:t>
      </w:r>
      <w:r>
        <w:rPr>
          <w:rFonts w:ascii="Arial" w:eastAsia="Arial" w:hAnsi="Arial" w:cs="Arial"/>
          <w:color w:val="0B4DA2"/>
          <w:sz w:val="21"/>
          <w:szCs w:val="21"/>
        </w:rPr>
        <w:t>|</w:t>
      </w:r>
      <w:r>
        <w:rPr>
          <w:color w:val="0B4DA2"/>
          <w:sz w:val="21"/>
          <w:szCs w:val="21"/>
        </w:rPr>
        <w:t>日常消费</w:t>
      </w:r>
      <w:r>
        <w:rPr>
          <w:rFonts w:ascii="Arial" w:eastAsia="Arial" w:hAnsi="Arial" w:cs="Arial"/>
          <w:color w:val="0B4DA2"/>
          <w:sz w:val="21"/>
          <w:szCs w:val="21"/>
        </w:rPr>
        <w:t>|</w:t>
      </w:r>
      <w:r>
        <w:rPr>
          <w:color w:val="0B4DA2"/>
          <w:sz w:val="21"/>
          <w:szCs w:val="21"/>
        </w:rPr>
        <w:t>食品、饮料与烟草</w:t>
      </w:r>
    </w:p>
    <w:p>
      <w:pPr>
        <w:pStyle w:val="BodyText"/>
        <w:spacing w:before="220" w:line="212" w:lineRule="auto"/>
        <w:rPr>
          <w:sz w:val="24"/>
          <w:szCs w:val="24"/>
        </w:rPr>
      </w:pPr>
      <w:r>
        <w:rPr>
          <w:color w:val="0B4DA2"/>
          <w:spacing w:val="-1"/>
          <w:sz w:val="24"/>
          <w:szCs w:val="24"/>
          <w14:textOutline w14:w="4354">
            <w14:solidFill>
              <w14:srgbClr w14:val="0B4DA2"/>
            </w14:solidFill>
            <w14:prstDash w14:val="solid"/>
            <w14:miter w14:lim="10"/>
          </w14:textOutline>
        </w:rPr>
        <w:t>味知香</w:t>
      </w:r>
      <w:r>
        <w:rPr>
          <w:rFonts w:ascii="Arial" w:eastAsia="Arial" w:hAnsi="Arial" w:cs="Arial"/>
          <w:b/>
          <w:bCs/>
          <w:color w:val="0B4DA2"/>
          <w:spacing w:val="-1"/>
          <w:sz w:val="24"/>
          <w:szCs w:val="24"/>
        </w:rPr>
        <w:t>(605089)</w:t>
      </w:r>
      <w:r>
        <w:rPr>
          <w:color w:val="0B4DA2"/>
          <w:spacing w:val="-1"/>
          <w:sz w:val="24"/>
          <w:szCs w:val="24"/>
          <w14:textOutline w14:w="4354">
            <w14:solidFill>
              <w14:srgbClr w14:val="0B4DA2"/>
            </w14:solidFill>
            <w14:prstDash w14:val="solid"/>
            <w14:miter w14:lim="10"/>
          </w14:textOutline>
        </w:rPr>
        <w:t>公司首次覆盖报告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479" w:lineRule="exact"/>
        <w:ind w:left="548"/>
        <w:rPr>
          <w:sz w:val="21"/>
          <w:szCs w:val="21"/>
        </w:rPr>
      </w:pPr>
      <w:r>
        <w:rPr>
          <w:color w:val="0B4DA2"/>
          <w:spacing w:val="-1"/>
          <w:position w:val="20"/>
          <w:sz w:val="21"/>
          <w:szCs w:val="21"/>
        </w:rPr>
        <w:t>证券研究报告</w:t>
      </w:r>
    </w:p>
    <w:p>
      <w:pPr>
        <w:pStyle w:val="BodyText"/>
        <w:spacing w:line="218" w:lineRule="auto"/>
        <w:rPr>
          <w:sz w:val="21"/>
          <w:szCs w:val="21"/>
        </w:rPr>
      </w:pPr>
      <w:r>
        <w:rPr>
          <w:rFonts w:ascii="Arial" w:eastAsia="Arial" w:hAnsi="Arial" w:cs="Arial"/>
          <w:color w:val="0B4DA2"/>
          <w:spacing w:val="-4"/>
          <w:sz w:val="21"/>
          <w:szCs w:val="21"/>
        </w:rPr>
        <w:t xml:space="preserve">2024 </w:t>
      </w:r>
      <w:r>
        <w:rPr>
          <w:color w:val="0B4DA2"/>
          <w:spacing w:val="-4"/>
          <w:sz w:val="21"/>
          <w:szCs w:val="21"/>
        </w:rPr>
        <w:t>年</w:t>
      </w:r>
      <w:r>
        <w:rPr>
          <w:color w:val="0B4DA2"/>
          <w:spacing w:val="-37"/>
          <w:sz w:val="21"/>
          <w:szCs w:val="21"/>
        </w:rPr>
        <w:t xml:space="preserve"> </w:t>
      </w:r>
      <w:r>
        <w:rPr>
          <w:rFonts w:ascii="Arial" w:eastAsia="Arial" w:hAnsi="Arial" w:cs="Arial"/>
          <w:color w:val="0B4DA2"/>
          <w:spacing w:val="-4"/>
          <w:sz w:val="21"/>
          <w:szCs w:val="21"/>
        </w:rPr>
        <w:t>01</w:t>
      </w:r>
      <w:r>
        <w:rPr>
          <w:rFonts w:ascii="Arial" w:eastAsia="Arial" w:hAnsi="Arial" w:cs="Arial"/>
          <w:color w:val="0B4DA2"/>
          <w:spacing w:val="12"/>
          <w:sz w:val="21"/>
          <w:szCs w:val="21"/>
        </w:rPr>
        <w:t xml:space="preserve"> </w:t>
      </w:r>
      <w:r>
        <w:rPr>
          <w:color w:val="0B4DA2"/>
          <w:spacing w:val="-4"/>
          <w:sz w:val="21"/>
          <w:szCs w:val="21"/>
        </w:rPr>
        <w:t>月</w:t>
      </w:r>
      <w:r>
        <w:rPr>
          <w:color w:val="0B4DA2"/>
          <w:spacing w:val="-48"/>
          <w:sz w:val="21"/>
          <w:szCs w:val="21"/>
        </w:rPr>
        <w:t xml:space="preserve"> </w:t>
      </w:r>
      <w:r>
        <w:rPr>
          <w:rFonts w:ascii="Arial" w:eastAsia="Arial" w:hAnsi="Arial" w:cs="Arial"/>
          <w:color w:val="0B4DA2"/>
          <w:spacing w:val="-4"/>
          <w:sz w:val="21"/>
          <w:szCs w:val="21"/>
        </w:rPr>
        <w:t>23</w:t>
      </w:r>
      <w:r>
        <w:rPr>
          <w:rFonts w:ascii="Arial" w:eastAsia="Arial" w:hAnsi="Arial" w:cs="Arial"/>
          <w:color w:val="0B4DA2"/>
          <w:spacing w:val="45"/>
          <w:sz w:val="21"/>
          <w:szCs w:val="21"/>
        </w:rPr>
        <w:t xml:space="preserve"> </w:t>
      </w:r>
      <w:r>
        <w:rPr>
          <w:color w:val="0B4DA2"/>
          <w:spacing w:val="-4"/>
          <w:sz w:val="21"/>
          <w:szCs w:val="21"/>
        </w:rPr>
        <w:t>日</w:t>
      </w:r>
    </w:p>
    <w:p>
      <w:pPr>
        <w:spacing w:line="218" w:lineRule="auto"/>
        <w:rPr>
          <w:sz w:val="21"/>
          <w:szCs w:val="21"/>
        </w:rPr>
        <w:sectPr>
          <w:footerReference w:type="default" r:id="rId6"/>
          <w:pgSz w:w="11907" w:h="16839"/>
          <w:pgMar w:top="641" w:right="388" w:bottom="796" w:left="566" w:header="0" w:footer="391" w:gutter="0"/>
          <w:cols w:num="3" w:space="708" w:equalWidth="0">
            <w:col w:w="3457" w:space="100"/>
            <w:col w:w="4526" w:space="100"/>
            <w:col w:w="2770" w:space="0"/>
          </w:cols>
        </w:sectPr>
      </w:pPr>
    </w:p>
    <w:p>
      <w:pPr>
        <w:spacing w:before="115" w:line="60" w:lineRule="exact"/>
        <w:ind w:firstLine="141"/>
      </w:pPr>
      <w:r>
        <w:rPr>
          <w:position w:val="-1"/>
        </w:rPr>
        <w:pict>
          <v:shape id="_x0000_i1025" style="width:537.15pt;height:3pt;mso-position-horizontal-relative:char;mso-position-vertical-relative:line" coordorigin="0,0" coordsize="10743,60" path="m,60l3262,60l3262,l,l,60xem3262,60l3322,60l3322,l3262,l3262,60xem3322,60l7155,60l7155,l3322,l3322,60xem7155,60l7215,60l7215,l7155,l7155,60xem7215,60l10742,60l10742,l7215,l7215,60xe" filled="t" fillcolor="#fab810" stroked="f">
            <w10:wrap type="none"/>
          </v:shape>
        </w:pict>
      </w:r>
    </w:p>
    <w:p>
      <w:pPr>
        <w:spacing w:line="79" w:lineRule="exact"/>
      </w:pPr>
    </w:p>
    <w:p>
      <w:pPr>
        <w:spacing w:line="79" w:lineRule="exact"/>
        <w:sectPr>
          <w:footerReference w:type="default" r:id="rId7"/>
          <w:type w:val="continuous"/>
          <w:pgSz w:w="11907" w:h="16839"/>
          <w:pgMar w:top="641" w:right="388" w:bottom="796" w:left="566" w:header="0" w:footer="391" w:gutter="0"/>
          <w:pgNumType w:start="2"/>
          <w:cols w:num="1" w:space="708" w:equalWidth="0">
            <w:col w:w="10952" w:space="0"/>
          </w:cols>
        </w:sectPr>
      </w:pPr>
    </w:p>
    <w:p>
      <w:pPr>
        <w:pStyle w:val="BodyText"/>
        <w:spacing w:before="77" w:line="212" w:lineRule="auto"/>
        <w:ind w:left="1743"/>
        <w:rPr>
          <w:sz w:val="36"/>
          <w:szCs w:val="36"/>
        </w:rPr>
      </w:pPr>
      <w:r>
        <w:rPr>
          <w:color w:val="0B4DA2"/>
          <w:spacing w:val="-2"/>
          <w:sz w:val="36"/>
          <w:szCs w:val="36"/>
          <w14:textOutline w14:w="6531">
            <w14:solidFill>
              <w14:srgbClr w14:val="0B4DA2"/>
            </w14:solidFill>
            <w14:prstDash w14:val="solid"/>
            <w14:miter w14:lim="10"/>
          </w14:textOutline>
        </w:rPr>
        <w:t>美味菜肴香，开拓新渠道</w:t>
      </w:r>
    </w:p>
    <w:p>
      <w:pPr>
        <w:pStyle w:val="BodyText"/>
        <w:spacing w:before="110" w:line="185" w:lineRule="auto"/>
        <w:ind w:left="4457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0B4DA2"/>
          <w:sz w:val="24"/>
          <w:szCs w:val="24"/>
        </w:rPr>
        <w:t>——</w:t>
      </w:r>
      <w:r>
        <w:rPr>
          <w:color w:val="0B4DA2"/>
          <w:sz w:val="24"/>
          <w:szCs w:val="24"/>
          <w14:textOutline w14:w="4354">
            <w14:solidFill>
              <w14:srgbClr w14:val="0B4DA2"/>
            </w14:solidFill>
            <w14:prstDash w14:val="solid"/>
            <w14:miter w14:lim="10"/>
          </w14:textOutline>
        </w:rPr>
        <w:t>味知香首次覆盖报告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9" w:line="212" w:lineRule="auto"/>
        <w:rPr>
          <w:sz w:val="36"/>
          <w:szCs w:val="36"/>
        </w:rPr>
      </w:pPr>
      <w:r>
        <w:rPr>
          <w:color w:val="0B4DA2"/>
          <w:spacing w:val="-1"/>
          <w:sz w:val="36"/>
          <w:szCs w:val="36"/>
          <w14:textOutline w14:w="6531">
            <w14:solidFill>
              <w14:srgbClr w14:val="0B4DA2"/>
            </w14:solidFill>
            <w14:prstDash w14:val="solid"/>
            <w14:miter w14:lim="10"/>
          </w14:textOutline>
        </w:rPr>
        <w:t>增持</w:t>
      </w:r>
      <w:r>
        <w:rPr>
          <w:rFonts w:ascii="Arial" w:eastAsia="Arial" w:hAnsi="Arial" w:cs="Arial"/>
          <w:b/>
          <w:bCs/>
          <w:color w:val="0B4DA2"/>
          <w:spacing w:val="-1"/>
          <w:sz w:val="36"/>
          <w:szCs w:val="36"/>
        </w:rPr>
        <w:t>|</w:t>
      </w:r>
      <w:r>
        <w:rPr>
          <w:color w:val="0B4DA2"/>
          <w:spacing w:val="-1"/>
          <w:sz w:val="36"/>
          <w:szCs w:val="36"/>
          <w14:textOutline w14:w="6531">
            <w14:solidFill>
              <w14:srgbClr w14:val="0B4DA2"/>
            </w14:solidFill>
            <w14:prstDash w14:val="solid"/>
            <w14:miter w14:lim="10"/>
          </w14:textOutline>
        </w:rPr>
        <w:t>首次推荐</w:t>
      </w:r>
    </w:p>
    <w:p>
      <w:pPr>
        <w:spacing w:line="212" w:lineRule="auto"/>
        <w:rPr>
          <w:sz w:val="36"/>
          <w:szCs w:val="36"/>
        </w:rPr>
        <w:sectPr>
          <w:footerReference w:type="default" r:id="rId8"/>
          <w:type w:val="continuous"/>
          <w:pgSz w:w="11907" w:h="16839"/>
          <w:pgMar w:top="641" w:right="388" w:bottom="796" w:left="566" w:header="0" w:footer="391" w:gutter="0"/>
          <w:pgNumType w:start="3"/>
          <w:cols w:num="2" w:space="708" w:equalWidth="0">
            <w:col w:w="7959" w:space="100"/>
            <w:col w:w="2893" w:space="0"/>
          </w:cols>
        </w:sectPr>
      </w:pPr>
    </w:p>
    <w:p>
      <w:pPr>
        <w:spacing w:line="101" w:lineRule="exact"/>
      </w:pPr>
    </w:p>
    <w:p>
      <w:pPr>
        <w:spacing w:line="101" w:lineRule="exact"/>
        <w:sectPr>
          <w:footerReference w:type="default" r:id="rId9"/>
          <w:type w:val="continuous"/>
          <w:pgSz w:w="11907" w:h="16839"/>
          <w:pgMar w:top="641" w:right="388" w:bottom="796" w:left="566" w:header="0" w:footer="391" w:gutter="0"/>
          <w:pgNumType w:start="4"/>
          <w:cols w:num="1" w:space="708" w:equalWidth="0">
            <w:col w:w="10952" w:space="0"/>
          </w:cols>
        </w:sectPr>
      </w:pPr>
    </w:p>
    <w:tbl>
      <w:tblPr>
        <w:tblStyle w:val="TableNormal"/>
        <w:tblW w:w="7033" w:type="dxa"/>
        <w:tblInd w:w="1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033"/>
      </w:tblGrid>
      <w:tr>
        <w:tblPrEx>
          <w:tblW w:w="7033" w:type="dxa"/>
          <w:tblInd w:w="1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131"/>
        </w:trPr>
        <w:tc>
          <w:tcPr>
            <w:tcW w:w="7033" w:type="dxa"/>
            <w:vAlign w:val="top"/>
          </w:tcPr>
          <w:p>
            <w:pPr>
              <w:pStyle w:val="TableText"/>
              <w:spacing w:line="229" w:lineRule="auto"/>
              <w:ind w:left="112"/>
            </w:pPr>
            <w:r>
              <w:rPr>
                <w:color w:val="0B4DA2"/>
                <w:spacing w:val="3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报告要点：</w:t>
            </w:r>
          </w:p>
          <w:p>
            <w:pPr>
              <w:pStyle w:val="TableText"/>
              <w:spacing w:before="3" w:line="223" w:lineRule="auto"/>
              <w:ind w:left="125"/>
            </w:pPr>
            <w:r>
              <w:rPr>
                <w:rFonts w:ascii="Wingdings" w:eastAsia="Wingdings" w:hAnsi="Wingdings" w:cs="Wingdings"/>
                <w:color w:val="0B4DA2"/>
                <w:spacing w:val="-1"/>
                <w:sz w:val="21"/>
                <w:szCs w:val="21"/>
              </w:rPr>
              <w:t>.</w:t>
            </w:r>
            <w:r>
              <w:rPr>
                <w:rFonts w:ascii="Wingdings" w:eastAsia="Wingdings" w:hAnsi="Wingdings" w:cs="Wingdings"/>
                <w:color w:val="0B4DA2"/>
                <w:spacing w:val="65"/>
                <w:sz w:val="21"/>
                <w:szCs w:val="21"/>
              </w:rPr>
              <w:t xml:space="preserve"> </w:t>
            </w:r>
            <w:r>
              <w:rPr>
                <w:color w:val="0B4DA2"/>
                <w:spacing w:val="-1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味知香：立足长三角的预制菜行家</w:t>
            </w:r>
          </w:p>
          <w:p>
            <w:pPr>
              <w:pStyle w:val="TableText"/>
              <w:spacing w:before="11" w:line="222" w:lineRule="auto"/>
              <w:ind w:left="111" w:right="48" w:firstLine="16"/>
              <w:jc w:val="both"/>
              <w:rPr>
                <w:sz w:val="21"/>
                <w:szCs w:val="21"/>
              </w:rPr>
            </w:pPr>
            <w:r>
              <w:rPr>
                <w:spacing w:val="4"/>
              </w:rPr>
              <w:t>苏州市味知香食品股份有限公司专注半成品菜，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成立于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 xml:space="preserve">2008 </w:t>
            </w:r>
            <w:r>
              <w:rPr>
                <w:spacing w:val="3"/>
              </w:rPr>
              <w:t>年，并于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 xml:space="preserve">2021 </w:t>
            </w:r>
            <w:r>
              <w:rPr>
                <w:spacing w:val="3"/>
              </w:rPr>
              <w:t>年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在上交所上市。</w:t>
            </w:r>
            <w:r>
              <w:rPr>
                <w:rFonts w:ascii="Arial" w:eastAsia="Arial" w:hAnsi="Arial" w:cs="Arial"/>
                <w:spacing w:val="5"/>
              </w:rPr>
              <w:t>23Q1-3</w:t>
            </w:r>
            <w:r>
              <w:rPr>
                <w:spacing w:val="5"/>
              </w:rPr>
              <w:t>，公司实现总营收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6.19 </w:t>
            </w:r>
            <w:r>
              <w:rPr>
                <w:spacing w:val="5"/>
              </w:rPr>
              <w:t>亿元（</w:t>
            </w:r>
            <w:r>
              <w:rPr>
                <w:rFonts w:ascii="Arial" w:eastAsia="Arial" w:hAnsi="Arial" w:cs="Arial"/>
                <w:spacing w:val="5"/>
              </w:rPr>
              <w:t>+1.</w:t>
            </w:r>
            <w:r>
              <w:rPr>
                <w:rFonts w:ascii="Arial" w:eastAsia="Arial" w:hAnsi="Arial" w:cs="Arial"/>
                <w:spacing w:val="4"/>
              </w:rPr>
              <w:t>92%</w:t>
            </w:r>
            <w:r>
              <w:rPr>
                <w:spacing w:val="-40"/>
                <w:w w:val="96"/>
              </w:rPr>
              <w:t>），</w:t>
            </w:r>
            <w:r>
              <w:rPr>
                <w:spacing w:val="4"/>
              </w:rPr>
              <w:t>实现归母净利</w:t>
            </w:r>
            <w:r>
              <w:t xml:space="preserve"> </w:t>
            </w:r>
            <w:r>
              <w:rPr>
                <w:rFonts w:ascii="Arial" w:eastAsia="Arial" w:hAnsi="Arial" w:cs="Arial"/>
                <w:spacing w:val="-8"/>
              </w:rPr>
              <w:t xml:space="preserve">1.07 </w:t>
            </w:r>
            <w:r>
              <w:rPr>
                <w:spacing w:val="-8"/>
              </w:rPr>
              <w:t>亿元（</w:t>
            </w:r>
            <w:r>
              <w:rPr>
                <w:rFonts w:ascii="Arial" w:eastAsia="Arial" w:hAnsi="Arial" w:cs="Arial"/>
                <w:spacing w:val="-8"/>
              </w:rPr>
              <w:t>-2.90%</w:t>
            </w:r>
            <w:r>
              <w:rPr>
                <w:spacing w:val="-8"/>
              </w:rPr>
              <w:t>）。公司实际控制人为</w:t>
            </w:r>
            <w:r>
              <w:rPr>
                <w:spacing w:val="-8"/>
                <w:sz w:val="21"/>
                <w:szCs w:val="21"/>
              </w:rPr>
              <w:t>董事长、总经理夏靖先生，截至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23H1</w:t>
            </w:r>
            <w:r>
              <w:rPr>
                <w:spacing w:val="-8"/>
                <w:sz w:val="21"/>
                <w:szCs w:val="21"/>
              </w:rPr>
              <w:t>，</w:t>
            </w:r>
          </w:p>
          <w:p>
            <w:pPr>
              <w:pStyle w:val="TableText"/>
              <w:spacing w:line="211" w:lineRule="exact"/>
              <w:ind w:left="112"/>
              <w:rPr>
                <w:sz w:val="21"/>
                <w:szCs w:val="21"/>
              </w:rPr>
            </w:pPr>
            <w:r>
              <w:rPr>
                <w:spacing w:val="-4"/>
                <w:position w:val="-1"/>
                <w:sz w:val="21"/>
                <w:szCs w:val="21"/>
                <w:em w:val="dot"/>
              </w:rPr>
              <w:t>控</w:t>
            </w:r>
            <w:r>
              <w:rPr>
                <w:spacing w:val="-4"/>
                <w:position w:val="-1"/>
                <w:sz w:val="21"/>
                <w:szCs w:val="21"/>
              </w:rPr>
              <w:t>制公司</w:t>
            </w:r>
            <w:r>
              <w:rPr>
                <w:spacing w:val="-3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21"/>
                <w:szCs w:val="21"/>
              </w:rPr>
              <w:t>62.25%</w:t>
            </w:r>
            <w:r>
              <w:rPr>
                <w:spacing w:val="-4"/>
                <w:position w:val="-1"/>
                <w:sz w:val="21"/>
                <w:szCs w:val="21"/>
              </w:rPr>
              <w:t>的股权，</w:t>
            </w:r>
            <w:r>
              <w:rPr>
                <w:spacing w:val="-22"/>
                <w:position w:val="-1"/>
                <w:sz w:val="21"/>
                <w:szCs w:val="21"/>
              </w:rPr>
              <w:t xml:space="preserve"> </w:t>
            </w:r>
            <w:r>
              <w:rPr>
                <w:spacing w:val="-4"/>
                <w:position w:val="-1"/>
                <w:sz w:val="21"/>
                <w:szCs w:val="21"/>
              </w:rPr>
              <w:t>无股权质押，控制权稳定。</w:t>
            </w:r>
          </w:p>
          <w:p>
            <w:pPr>
              <w:pStyle w:val="TableText"/>
              <w:spacing w:before="39" w:line="221" w:lineRule="auto"/>
              <w:ind w:left="541"/>
            </w:pPr>
            <w:r>
              <w:rPr>
                <w:color w:val="0B4DA2"/>
                <w:spacing w:val="2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新产能稳步释放，</w:t>
            </w:r>
            <w:r>
              <w:rPr>
                <w:color w:val="0B4DA2"/>
                <w:spacing w:val="2"/>
              </w:rPr>
              <w:t xml:space="preserve"> </w:t>
            </w:r>
            <w:r>
              <w:rPr>
                <w:color w:val="0B4DA2"/>
                <w:spacing w:val="2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成本压力缓解</w:t>
            </w:r>
          </w:p>
          <w:p>
            <w:pPr>
              <w:pStyle w:val="TableText"/>
              <w:spacing w:before="12" w:line="229" w:lineRule="auto"/>
              <w:ind w:left="113" w:right="56" w:firstLine="15"/>
              <w:jc w:val="both"/>
            </w:pPr>
            <w:r>
              <w:rPr>
                <w:rFonts w:ascii="Arial" w:eastAsia="Arial" w:hAnsi="Arial" w:cs="Arial"/>
                <w:spacing w:val="-1"/>
                <w:u w:val="single" w:color="auto"/>
              </w:rPr>
              <w:t>1</w:t>
            </w:r>
            <w:r>
              <w:rPr>
                <w:spacing w:val="-1"/>
                <w:u w:val="single" w:color="auto"/>
              </w:rPr>
              <w:t>）突破产能瓶颈，新产能逐步释放。</w:t>
            </w:r>
            <w:r>
              <w:rPr>
                <w:rFonts w:ascii="Arial" w:eastAsia="Arial" w:hAnsi="Arial" w:cs="Arial"/>
                <w:spacing w:val="-1"/>
              </w:rPr>
              <w:t xml:space="preserve">21/22 </w:t>
            </w:r>
            <w:r>
              <w:rPr>
                <w:spacing w:val="-1"/>
              </w:rPr>
              <w:t>年公司产能饱和，</w:t>
            </w:r>
            <w:r>
              <w:rPr>
                <w:spacing w:val="-2"/>
              </w:rPr>
              <w:t>利用率接近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130%</w:t>
            </w:r>
            <w:r>
              <w:rPr>
                <w:spacing w:val="-2"/>
              </w:rPr>
              <w:t>，</w:t>
            </w:r>
            <w: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 xml:space="preserve">23 </w:t>
            </w:r>
            <w:r>
              <w:rPr>
                <w:spacing w:val="4"/>
              </w:rPr>
              <w:t>年</w:t>
            </w:r>
            <w:r>
              <w:rPr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IPO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spacing w:val="4"/>
              </w:rPr>
              <w:t>资金投向的年产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 xml:space="preserve">5 </w:t>
            </w:r>
            <w:r>
              <w:rPr>
                <w:spacing w:val="4"/>
              </w:rPr>
              <w:t>万吨产能项目落地，公司设计产能达</w:t>
            </w:r>
            <w:r>
              <w:rPr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 xml:space="preserve">6.5 </w:t>
            </w:r>
            <w:r>
              <w:rPr>
                <w:spacing w:val="4"/>
              </w:rPr>
              <w:t>万吨</w:t>
            </w:r>
            <w:r>
              <w:rPr>
                <w:rFonts w:ascii="Arial" w:eastAsia="Arial" w:hAnsi="Arial" w:cs="Arial"/>
                <w:spacing w:val="4"/>
              </w:rPr>
              <w:t>/</w:t>
            </w:r>
            <w:r>
              <w:rPr>
                <w:spacing w:val="4"/>
              </w:rPr>
              <w:t>年，</w:t>
            </w:r>
            <w:r>
              <w:t xml:space="preserve"> </w:t>
            </w:r>
            <w:r>
              <w:rPr>
                <w:spacing w:val="4"/>
              </w:rPr>
              <w:t>目前约一半新产能投入使用，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剩余产能随需要逐步释放。</w:t>
            </w:r>
          </w:p>
          <w:p>
            <w:pPr>
              <w:pStyle w:val="TableText"/>
              <w:spacing w:before="14" w:line="229" w:lineRule="auto"/>
              <w:ind w:left="118" w:right="105" w:hanging="5"/>
              <w:jc w:val="both"/>
            </w:pPr>
            <w:r>
              <w:rPr>
                <w:rFonts w:ascii="Arial" w:eastAsia="Arial" w:hAnsi="Arial" w:cs="Arial"/>
                <w:spacing w:val="7"/>
                <w:u w:val="single" w:color="auto"/>
              </w:rPr>
              <w:t>2</w:t>
            </w:r>
            <w:r>
              <w:rPr>
                <w:spacing w:val="7"/>
                <w:u w:val="single" w:color="auto"/>
              </w:rPr>
              <w:t>）成本压力逐步缓解。</w:t>
            </w:r>
            <w:r>
              <w:rPr>
                <w:spacing w:val="-5"/>
                <w:u w:val="single" w:color="auto"/>
              </w:rPr>
              <w:t xml:space="preserve"> </w:t>
            </w:r>
            <w:r>
              <w:rPr>
                <w:spacing w:val="7"/>
              </w:rPr>
              <w:t>公司原材料成本占主营业务成本超</w:t>
            </w:r>
            <w:r>
              <w:rPr>
                <w:spacing w:val="7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90%</w:t>
            </w:r>
            <w:r>
              <w:rPr>
                <w:spacing w:val="7"/>
              </w:rPr>
              <w:t>，其中牛肉产</w:t>
            </w:r>
            <w:r>
              <w:t xml:space="preserve"> </w:t>
            </w:r>
            <w:r>
              <w:rPr>
                <w:spacing w:val="4"/>
              </w:rPr>
              <w:t>品直接成本占主营业务成本超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>40%</w:t>
            </w:r>
            <w:r>
              <w:rPr>
                <w:rFonts w:ascii="Arial" w:eastAsia="Arial" w:hAnsi="Arial" w:cs="Arial"/>
                <w:spacing w:val="-30"/>
              </w:rPr>
              <w:t xml:space="preserve"> </w:t>
            </w:r>
            <w:r>
              <w:rPr>
                <w:spacing w:val="4"/>
              </w:rPr>
              <w:t>，</w:t>
            </w:r>
            <w:r>
              <w:rPr>
                <w:rFonts w:ascii="Arial" w:eastAsia="Arial" w:hAnsi="Arial" w:cs="Arial"/>
                <w:spacing w:val="4"/>
              </w:rPr>
              <w:t>21</w:t>
            </w:r>
            <w:r>
              <w:rPr>
                <w:rFonts w:ascii="Arial" w:eastAsia="Arial" w:hAnsi="Arial" w:cs="Arial"/>
                <w:spacing w:val="-32"/>
              </w:rPr>
              <w:t xml:space="preserve"> </w:t>
            </w:r>
            <w:r>
              <w:rPr>
                <w:spacing w:val="4"/>
              </w:rPr>
              <w:t>、</w:t>
            </w:r>
            <w:r>
              <w:rPr>
                <w:rFonts w:ascii="Arial" w:eastAsia="Arial" w:hAnsi="Arial" w:cs="Arial"/>
                <w:spacing w:val="4"/>
              </w:rPr>
              <w:t xml:space="preserve">22 </w:t>
            </w:r>
            <w:r>
              <w:rPr>
                <w:spacing w:val="4"/>
              </w:rPr>
              <w:t>年成本持续高位，</w:t>
            </w:r>
            <w:r>
              <w:rPr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 xml:space="preserve">23 </w:t>
            </w:r>
            <w:r>
              <w:rPr>
                <w:spacing w:val="4"/>
              </w:rPr>
              <w:t>年原材料价</w:t>
            </w:r>
            <w:r>
              <w:t xml:space="preserve"> </w:t>
            </w:r>
            <w:r>
              <w:rPr>
                <w:spacing w:val="8"/>
              </w:rPr>
              <w:t>逐渐回落，释放利润空间。</w:t>
            </w:r>
            <w:r>
              <w:rPr>
                <w:rFonts w:ascii="Arial" w:eastAsia="Arial" w:hAnsi="Arial" w:cs="Arial"/>
                <w:spacing w:val="8"/>
              </w:rPr>
              <w:t>23Q1</w:t>
            </w:r>
            <w:r>
              <w:rPr>
                <w:rFonts w:ascii="Arial" w:eastAsia="Arial" w:hAnsi="Arial" w:cs="Arial"/>
                <w:spacing w:val="-28"/>
              </w:rPr>
              <w:t xml:space="preserve"> </w:t>
            </w:r>
            <w:r>
              <w:rPr>
                <w:spacing w:val="8"/>
              </w:rPr>
              <w:t>、</w:t>
            </w:r>
            <w:r>
              <w:rPr>
                <w:rFonts w:ascii="Arial" w:eastAsia="Arial" w:hAnsi="Arial" w:cs="Arial"/>
                <w:spacing w:val="8"/>
              </w:rPr>
              <w:t>Q2</w:t>
            </w:r>
            <w:r>
              <w:rPr>
                <w:rFonts w:ascii="Arial" w:eastAsia="Arial" w:hAnsi="Arial" w:cs="Arial"/>
                <w:spacing w:val="-29"/>
              </w:rPr>
              <w:t xml:space="preserve"> </w:t>
            </w:r>
            <w:r>
              <w:rPr>
                <w:spacing w:val="8"/>
              </w:rPr>
              <w:t>、</w:t>
            </w:r>
            <w:r>
              <w:rPr>
                <w:rFonts w:ascii="Arial" w:eastAsia="Arial" w:hAnsi="Arial" w:cs="Arial"/>
                <w:spacing w:val="8"/>
              </w:rPr>
              <w:t>Q3</w:t>
            </w:r>
            <w:r>
              <w:rPr>
                <w:rFonts w:ascii="Arial" w:eastAsia="Arial" w:hAnsi="Arial" w:cs="Arial"/>
                <w:spacing w:val="49"/>
                <w:w w:val="101"/>
              </w:rPr>
              <w:t xml:space="preserve"> </w:t>
            </w:r>
            <w:r>
              <w:rPr>
                <w:spacing w:val="8"/>
              </w:rPr>
              <w:t>公司</w:t>
            </w:r>
            <w:r>
              <w:rPr>
                <w:spacing w:val="7"/>
              </w:rPr>
              <w:t>毛利率同比</w:t>
            </w:r>
            <w:r>
              <w:rPr>
                <w:rFonts w:ascii="Arial" w:eastAsia="Arial" w:hAnsi="Arial" w:cs="Arial"/>
                <w:spacing w:val="7"/>
              </w:rPr>
              <w:t>+1.39</w:t>
            </w:r>
            <w:r>
              <w:rPr>
                <w:rFonts w:ascii="Arial" w:eastAsia="Arial" w:hAnsi="Arial" w:cs="Arial"/>
                <w:spacing w:val="-29"/>
              </w:rPr>
              <w:t xml:space="preserve"> </w:t>
            </w:r>
            <w:r>
              <w:rPr>
                <w:spacing w:val="7"/>
              </w:rPr>
              <w:t>、</w:t>
            </w:r>
            <w:r>
              <w:rPr>
                <w:rFonts w:ascii="Arial" w:eastAsia="Arial" w:hAnsi="Arial" w:cs="Arial"/>
                <w:spacing w:val="7"/>
              </w:rPr>
              <w:t>+2.03</w:t>
            </w:r>
            <w:r>
              <w:rPr>
                <w:spacing w:val="7"/>
              </w:rPr>
              <w:t>、</w:t>
            </w:r>
          </w:p>
          <w:p>
            <w:pPr>
              <w:pStyle w:val="TableText"/>
              <w:spacing w:before="38" w:line="199" w:lineRule="auto"/>
              <w:ind w:left="119"/>
            </w:pPr>
            <w:r>
              <w:rPr>
                <w:rFonts w:ascii="Arial" w:eastAsia="Arial" w:hAnsi="Arial" w:cs="Arial"/>
                <w:spacing w:val="4"/>
              </w:rPr>
              <w:t>+2.39</w:t>
            </w:r>
            <w:r>
              <w:rPr>
                <w:rFonts w:ascii="Arial" w:eastAsia="Arial" w:hAnsi="Arial" w:cs="Arial"/>
              </w:rPr>
              <w:t>pct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9" w:line="221" w:lineRule="auto"/>
              <w:ind w:left="125"/>
            </w:pPr>
            <w:r>
              <w:rPr>
                <w:rFonts w:ascii="Wingdings" w:eastAsia="Wingdings" w:hAnsi="Wingdings" w:cs="Wingdings"/>
                <w:color w:val="0B4DA2"/>
                <w:spacing w:val="2"/>
                <w:sz w:val="21"/>
                <w:szCs w:val="21"/>
              </w:rPr>
              <w:t>.</w:t>
            </w:r>
            <w:r>
              <w:rPr>
                <w:rFonts w:ascii="Wingdings" w:eastAsia="Wingdings" w:hAnsi="Wingdings" w:cs="Wingdings"/>
                <w:color w:val="0B4DA2"/>
                <w:spacing w:val="102"/>
                <w:sz w:val="21"/>
                <w:szCs w:val="21"/>
              </w:rPr>
              <w:t xml:space="preserve"> </w:t>
            </w:r>
            <w:r>
              <w:rPr>
                <w:color w:val="0B4DA2"/>
                <w:spacing w:val="2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门店式零售独具特色，街边店模型获验证后有望迎来改善</w:t>
            </w:r>
          </w:p>
          <w:p>
            <w:pPr>
              <w:pStyle w:val="TableText"/>
              <w:spacing w:before="13" w:line="229" w:lineRule="auto"/>
              <w:ind w:left="112" w:right="107" w:firstLine="17"/>
              <w:jc w:val="both"/>
            </w:pPr>
            <w:r>
              <w:rPr>
                <w:rFonts w:ascii="Arial" w:eastAsia="Arial" w:hAnsi="Arial" w:cs="Arial"/>
                <w:spacing w:val="2"/>
                <w:u w:val="single" w:color="auto"/>
              </w:rPr>
              <w:t>1</w:t>
            </w:r>
            <w:r>
              <w:rPr>
                <w:spacing w:val="2"/>
                <w:u w:val="single" w:color="auto"/>
              </w:rPr>
              <w:t>）双品牌定位清晰，多种</w:t>
            </w:r>
            <w:r>
              <w:rPr>
                <w:spacing w:val="-30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u w:val="single" w:color="auto"/>
              </w:rPr>
              <w:t>SKU</w:t>
            </w:r>
            <w:r>
              <w:rPr>
                <w:rFonts w:ascii="Arial" w:eastAsia="Arial" w:hAnsi="Arial" w:cs="Arial"/>
                <w:spacing w:val="16"/>
                <w:u w:val="single" w:color="auto"/>
              </w:rPr>
              <w:t xml:space="preserve"> </w:t>
            </w:r>
            <w:r>
              <w:rPr>
                <w:spacing w:val="2"/>
                <w:u w:val="single" w:color="auto"/>
              </w:rPr>
              <w:t>满足多样化需求。</w:t>
            </w:r>
            <w:r>
              <w:rPr>
                <w:spacing w:val="2"/>
              </w:rPr>
              <w:t>公司主营即烹型半成品菜（非</w:t>
            </w:r>
            <w:r>
              <w:t xml:space="preserve"> </w:t>
            </w:r>
            <w:r>
              <w:t>料理包</w:t>
            </w:r>
            <w:r>
              <w:rPr>
                <w:spacing w:val="-39"/>
                <w:w w:val="93"/>
              </w:rPr>
              <w:t>），</w:t>
            </w:r>
            <w:r>
              <w:t>旗下“味知香”“馔玉”分别面向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31"/>
              </w:rPr>
              <w:t xml:space="preserve"> </w:t>
            </w:r>
            <w:r>
              <w:t>、</w:t>
            </w:r>
            <w:r>
              <w:rPr>
                <w:rFonts w:ascii="Arial" w:eastAsia="Arial" w:hAnsi="Arial" w:cs="Arial"/>
              </w:rPr>
              <w:t xml:space="preserve">B </w:t>
            </w:r>
            <w:r>
              <w:t>端，拥有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</w:rPr>
              <w:t>8</w:t>
            </w:r>
            <w:r>
              <w:rPr>
                <w:rFonts w:ascii="Arial" w:eastAsia="Arial" w:hAnsi="Arial" w:cs="Arial"/>
                <w:spacing w:val="19"/>
                <w:w w:val="101"/>
              </w:rPr>
              <w:t xml:space="preserve"> </w:t>
            </w:r>
            <w:r>
              <w:t>大</w:t>
            </w:r>
            <w:r>
              <w:rPr>
                <w:spacing w:val="-1"/>
              </w:rPr>
              <w:t>产品系列，</w:t>
            </w:r>
            <w:r>
              <w:rPr>
                <w:rFonts w:ascii="Arial" w:eastAsia="Arial" w:hAnsi="Arial" w:cs="Arial"/>
                <w:spacing w:val="-1"/>
              </w:rPr>
              <w:t>SKU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4"/>
              </w:rPr>
              <w:t>数量超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 xml:space="preserve">300 </w:t>
            </w:r>
            <w:r>
              <w:rPr>
                <w:spacing w:val="4"/>
              </w:rPr>
              <w:t>个，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有效满足不同饮食习惯和不同场景用餐需求。</w:t>
            </w:r>
          </w:p>
          <w:p>
            <w:pPr>
              <w:pStyle w:val="TableText"/>
              <w:spacing w:before="12" w:line="231" w:lineRule="auto"/>
              <w:ind w:left="113" w:right="54"/>
              <w:jc w:val="both"/>
            </w:pPr>
            <w:r>
              <w:rPr>
                <w:rFonts w:ascii="Arial" w:eastAsia="Arial" w:hAnsi="Arial" w:cs="Arial"/>
                <w:spacing w:val="9"/>
                <w:u w:val="single" w:color="auto"/>
              </w:rPr>
              <w:t>2</w:t>
            </w:r>
            <w:r>
              <w:rPr>
                <w:spacing w:val="9"/>
                <w:u w:val="single" w:color="auto"/>
              </w:rPr>
              <w:t>）构建</w:t>
            </w:r>
            <w:r>
              <w:rPr>
                <w:spacing w:val="-23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u w:val="single" w:color="auto"/>
              </w:rPr>
              <w:t xml:space="preserve">B+C </w:t>
            </w:r>
            <w:r>
              <w:rPr>
                <w:spacing w:val="9"/>
                <w:u w:val="single" w:color="auto"/>
              </w:rPr>
              <w:t>端多元渠道网络，打造特色门店布局</w:t>
            </w:r>
            <w:r>
              <w:rPr>
                <w:spacing w:val="8"/>
                <w:u w:val="single" w:color="auto"/>
              </w:rPr>
              <w:t>。</w:t>
            </w:r>
            <w:r>
              <w:rPr>
                <w:spacing w:val="8"/>
              </w:rPr>
              <w:t>公司以经销为主（收入占</w:t>
            </w:r>
            <w:r>
              <w:t xml:space="preserve"> </w:t>
            </w:r>
            <w:r>
              <w:rPr>
                <w:spacing w:val="6"/>
              </w:rPr>
              <w:t>比约</w:t>
            </w:r>
            <w:r>
              <w:rPr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95%</w:t>
            </w:r>
            <w:r>
              <w:rPr>
                <w:spacing w:val="-37"/>
                <w:w w:val="88"/>
              </w:rPr>
              <w:t>），</w:t>
            </w:r>
            <w:r>
              <w:rPr>
                <w:spacing w:val="6"/>
              </w:rPr>
              <w:t>零售渠道经销商分为经销店和加盟店，面向</w:t>
            </w:r>
            <w:r>
              <w:rPr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C </w:t>
            </w:r>
            <w:r>
              <w:rPr>
                <w:spacing w:val="6"/>
              </w:rPr>
              <w:t>端经营味</w:t>
            </w:r>
            <w:r>
              <w:rPr>
                <w:spacing w:val="5"/>
              </w:rPr>
              <w:t>知香品牌，</w:t>
            </w:r>
            <w:r>
              <w:t xml:space="preserve"> </w:t>
            </w:r>
            <w:r>
              <w:rPr>
                <w:spacing w:val="2"/>
              </w:rPr>
              <w:t>批发渠道经销商面向</w:t>
            </w:r>
            <w:r>
              <w:rPr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B </w:t>
            </w:r>
            <w:r>
              <w:rPr>
                <w:spacing w:val="2"/>
              </w:rPr>
              <w:t>端经营馔玉品牌。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目前经销渠道中，</w:t>
            </w:r>
            <w:r>
              <w:rPr>
                <w:spacing w:val="-28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C </w:t>
            </w:r>
            <w:r>
              <w:rPr>
                <w:spacing w:val="2"/>
              </w:rPr>
              <w:t>端收入</w:t>
            </w:r>
            <w:r>
              <w:rPr>
                <w:rFonts w:ascii="Arial" w:eastAsia="Arial" w:hAnsi="Arial" w:cs="Arial"/>
                <w:spacing w:val="2"/>
              </w:rPr>
              <w:t xml:space="preserve">:B </w:t>
            </w:r>
            <w:r>
              <w:rPr>
                <w:spacing w:val="2"/>
              </w:rPr>
              <w:t>端收入</w:t>
            </w:r>
            <w:r>
              <w:t xml:space="preserve"> </w:t>
            </w:r>
            <w:r>
              <w:rPr>
                <w:spacing w:val="10"/>
              </w:rPr>
              <w:t>约</w:t>
            </w:r>
            <w:r>
              <w:rPr>
                <w:spacing w:val="10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</w:rPr>
              <w:t>2.5:1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spacing w:val="10"/>
              </w:rPr>
              <w:t>。公司深耕江浙沪，建立了农贸市场门店为主的特色门店网络。截至</w:t>
            </w:r>
            <w: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>23Q3</w:t>
            </w:r>
            <w:r>
              <w:rPr>
                <w:spacing w:val="5"/>
              </w:rPr>
              <w:t>，公司经销店、加盟店、经销商数量分别为</w:t>
            </w:r>
            <w:r>
              <w:rPr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>1798</w:t>
            </w:r>
            <w:r>
              <w:rPr>
                <w:rFonts w:ascii="Arial" w:eastAsia="Arial" w:hAnsi="Arial" w:cs="Arial"/>
                <w:spacing w:val="-31"/>
              </w:rPr>
              <w:t xml:space="preserve"> </w:t>
            </w:r>
            <w:r>
              <w:rPr>
                <w:spacing w:val="5"/>
              </w:rPr>
              <w:t>、</w:t>
            </w:r>
            <w:r>
              <w:rPr>
                <w:rFonts w:ascii="Arial" w:eastAsia="Arial" w:hAnsi="Arial" w:cs="Arial"/>
                <w:spacing w:val="5"/>
              </w:rPr>
              <w:t>726</w:t>
            </w:r>
            <w:r>
              <w:rPr>
                <w:rFonts w:ascii="Arial" w:eastAsia="Arial" w:hAnsi="Arial" w:cs="Arial"/>
                <w:spacing w:val="-32"/>
              </w:rPr>
              <w:t xml:space="preserve"> </w:t>
            </w:r>
            <w:r>
              <w:rPr>
                <w:spacing w:val="5"/>
              </w:rPr>
              <w:t>、</w:t>
            </w:r>
            <w:r>
              <w:rPr>
                <w:rFonts w:ascii="Arial" w:eastAsia="Arial" w:hAnsi="Arial" w:cs="Arial"/>
                <w:spacing w:val="5"/>
              </w:rPr>
              <w:t>519</w:t>
            </w:r>
            <w:r>
              <w:rPr>
                <w:rFonts w:ascii="Arial" w:eastAsia="Arial" w:hAnsi="Arial" w:cs="Arial"/>
                <w:spacing w:val="25"/>
              </w:rPr>
              <w:t xml:space="preserve"> </w:t>
            </w:r>
            <w:r>
              <w:rPr>
                <w:spacing w:val="5"/>
              </w:rPr>
              <w:t>家。</w:t>
            </w:r>
          </w:p>
          <w:p>
            <w:pPr>
              <w:pStyle w:val="TableText"/>
              <w:spacing w:before="11" w:line="231" w:lineRule="auto"/>
              <w:ind w:left="111" w:right="107" w:firstLine="4"/>
              <w:jc w:val="both"/>
            </w:pPr>
            <w:r>
              <w:rPr>
                <w:rFonts w:ascii="Arial" w:eastAsia="Arial" w:hAnsi="Arial" w:cs="Arial"/>
                <w:spacing w:val="9"/>
                <w:u w:val="single" w:color="auto"/>
              </w:rPr>
              <w:t>3</w:t>
            </w:r>
            <w:r>
              <w:rPr>
                <w:spacing w:val="9"/>
                <w:u w:val="single" w:color="auto"/>
              </w:rPr>
              <w:t>）传统渠道暂时承压，积极开拓街边店、商超、团餐、餐饮等新渠道。</w:t>
            </w:r>
            <w:r>
              <w:rPr>
                <w:rFonts w:ascii="Arial" w:eastAsia="Arial" w:hAnsi="Arial" w:cs="Arial"/>
                <w:spacing w:val="9"/>
              </w:rPr>
              <w:t>23</w:t>
            </w:r>
            <w:r>
              <w:rPr>
                <w:rFonts w:ascii="Arial" w:eastAsia="Arial" w:hAnsi="Arial" w:cs="Arial"/>
                <w:spacing w:val="43"/>
              </w:rPr>
              <w:t xml:space="preserve"> </w:t>
            </w:r>
            <w:r>
              <w:rPr>
                <w:spacing w:val="9"/>
              </w:rPr>
              <w:t>年</w:t>
            </w:r>
            <w:r>
              <w:t xml:space="preserve"> </w:t>
            </w:r>
            <w:r>
              <w:rPr>
                <w:spacing w:val="9"/>
              </w:rPr>
              <w:t>以来受消费形势波动等因素影响，</w:t>
            </w:r>
            <w:r>
              <w:rPr>
                <w:spacing w:val="-54"/>
              </w:rPr>
              <w:t xml:space="preserve"> </w:t>
            </w:r>
            <w:r>
              <w:rPr>
                <w:spacing w:val="9"/>
              </w:rPr>
              <w:t>门店、批发端均暂时承压，公司积极开拓新</w:t>
            </w:r>
            <w:r>
              <w:t xml:space="preserve"> </w:t>
            </w:r>
            <w:r>
              <w:rPr>
                <w:spacing w:val="6"/>
              </w:rPr>
              <w:t>渠道：</w:t>
            </w:r>
            <w:r>
              <w:rPr>
                <w:spacing w:val="6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C</w:t>
            </w:r>
            <w:r>
              <w:rPr>
                <w:rFonts w:ascii="Arial" w:eastAsia="Arial" w:hAnsi="Arial" w:cs="Arial"/>
                <w:spacing w:val="44"/>
              </w:rPr>
              <w:t xml:space="preserve"> </w:t>
            </w:r>
            <w:r>
              <w:rPr>
                <w:spacing w:val="6"/>
              </w:rPr>
              <w:t>端发展街边店、商超店中店，目前街边店模型在华东二三线城市运行</w:t>
            </w:r>
            <w:r>
              <w:t xml:space="preserve"> </w:t>
            </w:r>
            <w:r>
              <w:rPr>
                <w:spacing w:val="1"/>
              </w:rPr>
              <w:t>良好，已开发盒马、大润发在内的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60</w:t>
            </w:r>
            <w:r>
              <w:rPr>
                <w:rFonts w:ascii="Arial" w:eastAsia="Arial" w:hAnsi="Arial" w:cs="Arial"/>
                <w:spacing w:val="23"/>
              </w:rPr>
              <w:t xml:space="preserve"> </w:t>
            </w:r>
            <w:r>
              <w:rPr>
                <w:spacing w:val="1"/>
              </w:rPr>
              <w:t>家商超客户，</w:t>
            </w:r>
            <w:r>
              <w:rPr>
                <w:rFonts w:ascii="Arial" w:eastAsia="Arial" w:hAnsi="Arial" w:cs="Arial"/>
                <w:spacing w:val="1"/>
              </w:rPr>
              <w:t xml:space="preserve">Q1-3 </w:t>
            </w:r>
            <w:r>
              <w:rPr>
                <w:spacing w:val="1"/>
              </w:rPr>
              <w:t>商超渠道实现收入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0.23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6"/>
              </w:rPr>
              <w:t>亿元；</w:t>
            </w:r>
            <w:r>
              <w:rPr>
                <w:rFonts w:ascii="Arial" w:eastAsia="Arial" w:hAnsi="Arial" w:cs="Arial"/>
                <w:spacing w:val="6"/>
              </w:rPr>
              <w:t xml:space="preserve">B </w:t>
            </w:r>
            <w:r>
              <w:rPr>
                <w:spacing w:val="6"/>
              </w:rPr>
              <w:t>端加大对酒店餐饮、学校及单位食堂、社会餐饮等的开发，</w:t>
            </w:r>
            <w:r>
              <w:rPr>
                <w:rFonts w:ascii="Arial" w:eastAsia="Arial" w:hAnsi="Arial" w:cs="Arial"/>
                <w:spacing w:val="6"/>
              </w:rPr>
              <w:t xml:space="preserve">23Q1-3 </w:t>
            </w:r>
            <w:r>
              <w:rPr>
                <w:spacing w:val="6"/>
              </w:rPr>
              <w:t>直</w:t>
            </w:r>
          </w:p>
          <w:p>
            <w:pPr>
              <w:pStyle w:val="TableText"/>
              <w:spacing w:before="13" w:line="199" w:lineRule="exact"/>
              <w:ind w:left="114"/>
            </w:pPr>
            <w:r>
              <w:rPr>
                <w:spacing w:val="2"/>
                <w:em w:val="dot"/>
              </w:rPr>
              <w:t>销</w:t>
            </w:r>
            <w:r>
              <w:rPr>
                <w:spacing w:val="2"/>
              </w:rPr>
              <w:t>及其他渠道实现收入</w:t>
            </w:r>
            <w:r>
              <w:rPr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0.11 </w:t>
            </w:r>
            <w:r>
              <w:rPr>
                <w:spacing w:val="2"/>
              </w:rPr>
              <w:t>亿元，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同比</w:t>
            </w:r>
            <w:r>
              <w:rPr>
                <w:rFonts w:ascii="Arial" w:eastAsia="Arial" w:hAnsi="Arial" w:cs="Arial"/>
                <w:spacing w:val="2"/>
              </w:rPr>
              <w:t>+18.91%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41" w:line="233" w:lineRule="auto"/>
              <w:ind w:left="540"/>
            </w:pPr>
            <w:r>
              <w:rPr>
                <w:color w:val="0B4DA2"/>
                <w:spacing w:val="8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预制菜行业规模超</w:t>
            </w:r>
            <w:r>
              <w:rPr>
                <w:color w:val="0B4DA2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B4DA2"/>
                <w:spacing w:val="8"/>
              </w:rPr>
              <w:t xml:space="preserve">4000 </w:t>
            </w:r>
            <w:r>
              <w:rPr>
                <w:color w:val="0B4DA2"/>
                <w:spacing w:val="8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亿，供需</w:t>
            </w:r>
            <w:r>
              <w:rPr>
                <w:rFonts w:ascii="Arial" w:eastAsia="Arial" w:hAnsi="Arial" w:cs="Arial"/>
                <w:b/>
                <w:bCs/>
                <w:color w:val="0B4DA2"/>
                <w:spacing w:val="8"/>
              </w:rPr>
              <w:t>&amp;</w:t>
            </w:r>
            <w:r>
              <w:rPr>
                <w:color w:val="0B4DA2"/>
                <w:spacing w:val="8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政策共促成长</w:t>
            </w:r>
          </w:p>
          <w:p>
            <w:pPr>
              <w:pStyle w:val="TableText"/>
              <w:spacing w:before="1" w:line="230" w:lineRule="auto"/>
              <w:ind w:left="113" w:right="38" w:hanging="7"/>
            </w:pPr>
            <w:r>
              <w:rPr>
                <w:spacing w:val="9"/>
              </w:rPr>
              <w:t>居民生活水平提高、城镇化率提升、家庭规模小型化、双职工家庭占比提升、</w:t>
            </w:r>
            <w:r>
              <w:rPr>
                <w:spacing w:val="5"/>
              </w:rPr>
              <w:t xml:space="preserve">  </w:t>
            </w:r>
            <w:r>
              <w:rPr>
                <w:spacing w:val="7"/>
              </w:rPr>
              <w:t>外卖和连锁餐饮快速发展等带动预制菜需求提升，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冷链物流设施不断完善</w:t>
            </w:r>
            <w:r>
              <w:rPr>
                <w:spacing w:val="6"/>
              </w:rPr>
              <w:t>为预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制菜销售半径拓宽提供条件，“培育发展预制菜产</w:t>
            </w:r>
            <w:r>
              <w:rPr>
                <w:spacing w:val="2"/>
              </w:rPr>
              <w:t>业”写入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23 </w:t>
            </w:r>
            <w:r>
              <w:rPr>
                <w:spacing w:val="2"/>
              </w:rPr>
              <w:t>年中央一号文件。</w:t>
            </w:r>
            <w:r>
              <w:t xml:space="preserve"> </w:t>
            </w:r>
            <w:r>
              <w:rPr>
                <w:spacing w:val="10"/>
              </w:rPr>
              <w:t>据艾媒咨询数据，</w:t>
            </w:r>
            <w:r>
              <w:rPr>
                <w:spacing w:val="34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</w:rPr>
              <w:t xml:space="preserve">2022  </w:t>
            </w:r>
            <w:r>
              <w:rPr>
                <w:spacing w:val="10"/>
              </w:rPr>
              <w:t>年，我国预制菜行业市场规模为</w:t>
            </w:r>
            <w:r>
              <w:rPr>
                <w:spacing w:val="10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</w:rPr>
              <w:t xml:space="preserve">4196  </w:t>
            </w:r>
            <w:r>
              <w:rPr>
                <w:spacing w:val="10"/>
              </w:rPr>
              <w:t>亿元，同比</w:t>
            </w:r>
          </w:p>
          <w:p>
            <w:pPr>
              <w:pStyle w:val="TableText"/>
              <w:spacing w:before="12" w:line="199" w:lineRule="exact"/>
              <w:ind w:left="119"/>
            </w:pPr>
            <w:r>
              <w:rPr>
                <w:rFonts w:ascii="Arial" w:eastAsia="Arial" w:hAnsi="Arial" w:cs="Arial"/>
                <w:spacing w:val="3"/>
                <w:em w:val="dot"/>
              </w:rPr>
              <w:t>+</w:t>
            </w:r>
            <w:r>
              <w:rPr>
                <w:rFonts w:ascii="Arial" w:eastAsia="Arial" w:hAnsi="Arial" w:cs="Arial"/>
                <w:spacing w:val="3"/>
              </w:rPr>
              <w:t>21.31%</w:t>
            </w:r>
            <w:r>
              <w:rPr>
                <w:rFonts w:ascii="Arial" w:eastAsia="Arial" w:hAnsi="Arial" w:cs="Arial"/>
                <w:spacing w:val="-25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rFonts w:ascii="Arial" w:eastAsia="Arial" w:hAnsi="Arial" w:cs="Arial"/>
                <w:spacing w:val="3"/>
              </w:rPr>
              <w:t xml:space="preserve">19-22 </w:t>
            </w:r>
            <w:r>
              <w:rPr>
                <w:spacing w:val="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Arial" w:eastAsia="Arial" w:hAnsi="Arial" w:cs="Arial"/>
              </w:rPr>
              <w:t>CAGR</w:t>
            </w:r>
            <w:r>
              <w:rPr>
                <w:rFonts w:ascii="Arial" w:eastAsia="Arial" w:hAnsi="Arial" w:cs="Arial"/>
                <w:spacing w:val="3"/>
              </w:rPr>
              <w:t xml:space="preserve"> </w:t>
            </w:r>
            <w:r>
              <w:rPr>
                <w:spacing w:val="3"/>
              </w:rPr>
              <w:t>为</w:t>
            </w:r>
            <w:r>
              <w:rPr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19.73%</w:t>
            </w:r>
            <w:r>
              <w:rPr>
                <w:spacing w:val="3"/>
              </w:rPr>
              <w:t>。</w:t>
            </w:r>
          </w:p>
          <w:p>
            <w:pPr>
              <w:pStyle w:val="TableText"/>
              <w:spacing w:before="41" w:line="227" w:lineRule="auto"/>
              <w:ind w:left="539"/>
            </w:pPr>
            <w:r>
              <w:rPr>
                <w:color w:val="0B4DA2"/>
                <w:spacing w:val="9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盈利预测及投资建议</w:t>
            </w:r>
          </w:p>
          <w:p>
            <w:pPr>
              <w:pStyle w:val="TableText"/>
              <w:spacing w:before="7" w:line="230" w:lineRule="auto"/>
              <w:ind w:left="116" w:right="108" w:firstLine="6"/>
              <w:jc w:val="both"/>
            </w:pPr>
            <w:r>
              <w:rPr>
                <w:spacing w:val="5"/>
              </w:rPr>
              <w:t>我们预计公司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23/24/25 </w:t>
            </w:r>
            <w:r>
              <w:rPr>
                <w:spacing w:val="5"/>
              </w:rPr>
              <w:t>年归母净利润分别为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1.44/1.69/1.99 </w:t>
            </w:r>
            <w:r>
              <w:rPr>
                <w:spacing w:val="5"/>
              </w:rPr>
              <w:t>亿元，增速分别为</w:t>
            </w:r>
            <w: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0.26%/17.95%/17.78%</w:t>
            </w:r>
            <w:r>
              <w:rPr>
                <w:spacing w:val="3"/>
              </w:rPr>
              <w:t>，对应</w:t>
            </w:r>
            <w:r>
              <w:rPr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 xml:space="preserve">1 </w:t>
            </w:r>
            <w:r>
              <w:rPr>
                <w:spacing w:val="3"/>
              </w:rPr>
              <w:t>月</w:t>
            </w:r>
            <w:r>
              <w:rPr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22</w:t>
            </w:r>
            <w:r>
              <w:rPr>
                <w:rFonts w:ascii="Arial" w:eastAsia="Arial" w:hAnsi="Arial" w:cs="Arial"/>
                <w:spacing w:val="45"/>
              </w:rPr>
              <w:t xml:space="preserve"> </w:t>
            </w:r>
            <w:r>
              <w:rPr>
                <w:spacing w:val="3"/>
              </w:rPr>
              <w:t>日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</w:rPr>
              <w:t>PE</w:t>
            </w:r>
            <w:r>
              <w:rPr>
                <w:rFonts w:ascii="Arial" w:eastAsia="Arial" w:hAnsi="Arial" w:cs="Arial"/>
                <w:spacing w:val="34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 xml:space="preserve">31/26/22 </w:t>
            </w:r>
            <w:r>
              <w:rPr>
                <w:spacing w:val="2"/>
              </w:rPr>
              <w:t>倍（市值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44 </w:t>
            </w:r>
            <w:r>
              <w:rPr>
                <w:spacing w:val="2"/>
              </w:rPr>
              <w:t>亿元</w:t>
            </w:r>
            <w:r>
              <w:rPr>
                <w:spacing w:val="-38"/>
                <w:w w:val="91"/>
              </w:rPr>
              <w:t>），</w:t>
            </w:r>
            <w:r>
              <w:rPr>
                <w:spacing w:val="-51"/>
              </w:rPr>
              <w:t xml:space="preserve"> </w:t>
            </w:r>
            <w:r>
              <w:rPr>
                <w:spacing w:val="2"/>
              </w:rPr>
              <w:t>给</w:t>
            </w:r>
            <w:r>
              <w:t xml:space="preserve"> </w:t>
            </w:r>
            <w:r>
              <w:rPr>
                <w:spacing w:val="7"/>
              </w:rPr>
              <w:t>予“增持”评级。</w:t>
            </w:r>
          </w:p>
          <w:p>
            <w:pPr>
              <w:pStyle w:val="TableText"/>
              <w:spacing w:before="10" w:line="231" w:lineRule="auto"/>
              <w:ind w:left="125"/>
            </w:pPr>
            <w:r>
              <w:rPr>
                <w:rFonts w:ascii="Wingdings" w:eastAsia="Wingdings" w:hAnsi="Wingdings" w:cs="Wingdings"/>
                <w:color w:val="0B4DA2"/>
                <w:spacing w:val="-14"/>
                <w:w w:val="94"/>
                <w:sz w:val="21"/>
                <w:szCs w:val="21"/>
              </w:rPr>
              <w:t>.</w:t>
            </w:r>
            <w:r>
              <w:rPr>
                <w:rFonts w:ascii="Wingdings" w:eastAsia="Wingdings" w:hAnsi="Wingdings" w:cs="Wingdings"/>
                <w:color w:val="0B4DA2"/>
                <w:spacing w:val="66"/>
                <w:sz w:val="21"/>
                <w:szCs w:val="21"/>
              </w:rPr>
              <w:t xml:space="preserve"> </w:t>
            </w:r>
            <w:r>
              <w:rPr>
                <w:color w:val="0B4DA2"/>
                <w:spacing w:val="-14"/>
                <w:w w:val="94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风险提示</w:t>
            </w:r>
          </w:p>
          <w:p>
            <w:pPr>
              <w:pStyle w:val="TableText"/>
              <w:spacing w:before="2" w:line="224" w:lineRule="auto"/>
              <w:ind w:left="105"/>
            </w:pPr>
            <w:r>
              <w:rPr>
                <w:spacing w:val="6"/>
              </w:rPr>
              <w:t>食品安全风险、产能利用不及预期风险、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</w:rPr>
              <w:t>单店收入波动风险。</w:t>
            </w:r>
          </w:p>
          <w:p>
            <w:pPr>
              <w:pStyle w:val="TableText"/>
              <w:spacing w:before="86" w:line="197" w:lineRule="auto"/>
              <w:ind w:left="21"/>
            </w:pPr>
            <w:r>
              <w:rPr>
                <w:color w:val="0B4DA2"/>
                <w:spacing w:val="7"/>
                <w14:textOutline w14:w="3614">
                  <w14:solidFill>
                    <w14:srgbClr w14:val="0B4DA2"/>
                  </w14:solidFill>
                  <w14:prstDash w14:val="solid"/>
                  <w14:miter w14:lim="10"/>
                </w14:textOutline>
              </w:rPr>
              <w:t>附表：盈利预测</w:t>
            </w:r>
          </w:p>
        </w:tc>
      </w:tr>
      <w:tr>
        <w:tblPrEx>
          <w:tblW w:w="7033" w:type="dxa"/>
          <w:tblInd w:w="180" w:type="dxa"/>
          <w:tblLayout w:type="fixed"/>
        </w:tblPrEx>
        <w:trPr>
          <w:trHeight w:val="322"/>
        </w:trPr>
        <w:tc>
          <w:tcPr>
            <w:tcW w:w="7033" w:type="dxa"/>
            <w:shd w:val="clear" w:color="auto" w:fill="0B4DA2"/>
            <w:vAlign w:val="top"/>
          </w:tcPr>
          <w:p>
            <w:pPr>
              <w:spacing w:line="101" w:lineRule="exact"/>
            </w:pPr>
          </w:p>
          <w:tbl>
            <w:tblPr>
              <w:tblStyle w:val="TableNormal"/>
              <w:tblW w:w="6673" w:type="dxa"/>
              <w:tblInd w:w="66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558"/>
              <w:gridCol w:w="1200"/>
              <w:gridCol w:w="1053"/>
              <w:gridCol w:w="1052"/>
              <w:gridCol w:w="1054"/>
              <w:gridCol w:w="756"/>
            </w:tblGrid>
            <w:tr>
              <w:tblPrEx>
                <w:tblW w:w="6673" w:type="dxa"/>
                <w:tblInd w:w="66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60"/>
              </w:trPr>
              <w:tc>
                <w:tcPr>
                  <w:tcW w:w="1558" w:type="dxa"/>
                  <w:vAlign w:val="top"/>
                </w:tcPr>
                <w:p>
                  <w:pPr>
                    <w:pStyle w:val="TableText"/>
                    <w:spacing w:line="173" w:lineRule="auto"/>
                    <w:rPr>
                      <w:sz w:val="16"/>
                      <w:szCs w:val="16"/>
                    </w:rPr>
                  </w:pPr>
                  <w:r>
                    <w:rPr>
                      <w:color w:val="FFFFFF"/>
                      <w:spacing w:val="-1"/>
                      <w:sz w:val="16"/>
                      <w:szCs w:val="16"/>
                    </w:rPr>
                    <w:t>财务数据和估值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spacing w:before="22" w:line="166" w:lineRule="auto"/>
                    <w:ind w:left="44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-1"/>
                      <w:sz w:val="16"/>
                      <w:szCs w:val="16"/>
                    </w:rPr>
                    <w:t>2021A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spacing w:before="22" w:line="166" w:lineRule="auto"/>
                    <w:ind w:left="29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-1"/>
                      <w:sz w:val="16"/>
                      <w:szCs w:val="16"/>
                    </w:rPr>
                    <w:t>2022A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22" w:line="166" w:lineRule="auto"/>
                    <w:ind w:left="29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-1"/>
                      <w:sz w:val="16"/>
                      <w:szCs w:val="16"/>
                    </w:rPr>
                    <w:t>2023E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22" w:line="166" w:lineRule="auto"/>
                    <w:ind w:left="29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-1"/>
                      <w:sz w:val="16"/>
                      <w:szCs w:val="16"/>
                    </w:rPr>
                    <w:t>2024E</w:t>
                  </w:r>
                </w:p>
              </w:tc>
              <w:tc>
                <w:tcPr>
                  <w:tcW w:w="756" w:type="dxa"/>
                  <w:vAlign w:val="top"/>
                </w:tcPr>
                <w:p>
                  <w:pPr>
                    <w:spacing w:before="22" w:line="166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-2"/>
                      <w:sz w:val="16"/>
                      <w:szCs w:val="16"/>
                    </w:rPr>
                    <w:t>2025E</w:t>
                  </w:r>
                </w:p>
              </w:tc>
            </w:tr>
          </w:tbl>
          <w:p>
            <w:pPr>
              <w:spacing w:line="50" w:lineRule="exact"/>
              <w:rPr>
                <w:rFonts w:ascii="Arial"/>
                <w:sz w:val="4"/>
              </w:rPr>
            </w:pPr>
          </w:p>
        </w:tc>
      </w:tr>
    </w:tbl>
    <w:p>
      <w:pPr>
        <w:sectPr>
          <w:footerReference w:type="default" r:id="rId10"/>
          <w:type w:val="continuous"/>
          <w:pgSz w:w="11907" w:h="16839"/>
          <w:pgMar w:top="641" w:right="388" w:bottom="796" w:left="566" w:header="0" w:footer="391" w:gutter="0"/>
          <w:pgNumType w:start="5"/>
          <w:cols w:num="2" w:space="708" w:equalWidth="0">
            <w:col w:w="7306" w:space="100"/>
            <w:col w:w="3546" w:space="0"/>
          </w:cols>
        </w:sectPr>
      </w:pPr>
    </w:p>
    <w:tbl>
      <w:tblPr>
        <w:tblStyle w:val="TableNormal0"/>
        <w:tblW w:w="7033" w:type="dxa"/>
        <w:tblInd w:w="1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033"/>
      </w:tblGrid>
      <w:tr>
        <w:tblPrEx>
          <w:tblW w:w="7033" w:type="dxa"/>
          <w:tblInd w:w="1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62"/>
        </w:trPr>
        <w:tc>
          <w:tcPr>
            <w:tcW w:w="7033" w:type="dxa"/>
            <w:tcBorders>
              <w:bottom w:val="single" w:sz="6" w:space="0" w:color="000000"/>
            </w:tcBorders>
            <w:vAlign w:val="top"/>
          </w:tcPr>
          <w:p>
            <w:pPr>
              <w:spacing w:line="28" w:lineRule="exact"/>
            </w:pPr>
          </w:p>
          <w:tbl>
            <w:tblPr>
              <w:tblStyle w:val="TableNormal0"/>
              <w:tblW w:w="6888" w:type="dxa"/>
              <w:tblInd w:w="61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790"/>
              <w:gridCol w:w="1171"/>
              <w:gridCol w:w="1052"/>
              <w:gridCol w:w="1054"/>
              <w:gridCol w:w="1015"/>
              <w:gridCol w:w="806"/>
            </w:tblGrid>
            <w:tr>
              <w:tblPrEx>
                <w:tblW w:w="6888" w:type="dxa"/>
                <w:tblInd w:w="61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06"/>
              </w:trPr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line="213" w:lineRule="auto"/>
                    <w:ind w:left="1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营业收入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(</w:t>
                  </w:r>
                  <w:r>
                    <w:rPr>
                      <w:spacing w:val="-2"/>
                      <w:sz w:val="16"/>
                      <w:szCs w:val="16"/>
                    </w:rPr>
                    <w:t>百万元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22" w:line="195" w:lineRule="auto"/>
                    <w:ind w:left="40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764.65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22" w:line="195" w:lineRule="auto"/>
                    <w:ind w:left="28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798.29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22" w:line="195" w:lineRule="auto"/>
                    <w:ind w:left="28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823.67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22" w:line="195" w:lineRule="auto"/>
                    <w:ind w:left="28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959.64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22" w:line="195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1097.52</w:t>
                  </w:r>
                </w:p>
              </w:tc>
            </w:tr>
            <w:tr>
              <w:tblPrEx>
                <w:tblW w:w="6888" w:type="dxa"/>
                <w:tblInd w:w="61" w:type="dxa"/>
                <w:tblLayout w:type="fixed"/>
              </w:tblPrEx>
              <w:trPr>
                <w:trHeight w:val="240"/>
              </w:trPr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收入同比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(%)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56" w:line="195" w:lineRule="auto"/>
                    <w:ind w:left="48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22.84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56" w:line="195" w:lineRule="auto"/>
                    <w:ind w:left="45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4.40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56" w:line="195" w:lineRule="auto"/>
                    <w:ind w:left="46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3.18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56" w:line="195" w:lineRule="auto"/>
                    <w:ind w:left="38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16.51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56" w:line="195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14.37</w:t>
                  </w:r>
                </w:p>
              </w:tc>
            </w:tr>
            <w:tr>
              <w:tblPrEx>
                <w:tblW w:w="6888" w:type="dxa"/>
                <w:tblInd w:w="61" w:type="dxa"/>
                <w:tblLayout w:type="fixed"/>
              </w:tblPrEx>
              <w:trPr>
                <w:trHeight w:val="240"/>
              </w:trPr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1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归母净利润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(</w:t>
                  </w:r>
                  <w:r>
                    <w:rPr>
                      <w:spacing w:val="-2"/>
                      <w:sz w:val="16"/>
                      <w:szCs w:val="16"/>
                    </w:rPr>
                    <w:t>百万元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56" w:line="195" w:lineRule="auto"/>
                    <w:ind w:left="41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132.64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56" w:line="195" w:lineRule="auto"/>
                    <w:ind w:left="29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143.18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56" w:line="195" w:lineRule="auto"/>
                    <w:ind w:left="29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143.55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56" w:line="195" w:lineRule="auto"/>
                    <w:ind w:left="29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169.31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56" w:line="195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199.41</w:t>
                  </w:r>
                </w:p>
              </w:tc>
            </w:tr>
            <w:tr>
              <w:tblPrEx>
                <w:tblW w:w="6888" w:type="dxa"/>
                <w:tblInd w:w="61" w:type="dxa"/>
                <w:tblLayout w:type="fixed"/>
              </w:tblPrEx>
              <w:trPr>
                <w:trHeight w:val="250"/>
              </w:trPr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1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归母净利润同比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(%)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56" w:line="195" w:lineRule="auto"/>
                    <w:ind w:left="57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6.06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56" w:line="195" w:lineRule="auto"/>
                    <w:ind w:left="46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7.95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56" w:line="195" w:lineRule="auto"/>
                    <w:ind w:left="46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0.26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56" w:line="195" w:lineRule="auto"/>
                    <w:ind w:left="38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17.95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56" w:line="195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17.78</w:t>
                  </w:r>
                </w:p>
              </w:tc>
            </w:tr>
            <w:tr>
              <w:tblPrEx>
                <w:tblW w:w="6888" w:type="dxa"/>
                <w:tblInd w:w="61" w:type="dxa"/>
                <w:tblLayout w:type="fixed"/>
              </w:tblPrEx>
              <w:trPr>
                <w:trHeight w:val="229"/>
              </w:trPr>
              <w:tc>
                <w:tcPr>
                  <w:tcW w:w="1790" w:type="dxa"/>
                  <w:vAlign w:val="top"/>
                </w:tcPr>
                <w:p>
                  <w:pPr>
                    <w:spacing w:before="45" w:line="197" w:lineRule="auto"/>
                    <w:ind w:left="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ROE(%)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46" w:line="195" w:lineRule="auto"/>
                    <w:ind w:left="51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6"/>
                      <w:sz w:val="16"/>
                      <w:szCs w:val="16"/>
                    </w:rPr>
                    <w:t>11.33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46" w:line="195" w:lineRule="auto"/>
                    <w:ind w:left="39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6"/>
                      <w:sz w:val="16"/>
                      <w:szCs w:val="16"/>
                    </w:rPr>
                    <w:t>11.80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46" w:line="195" w:lineRule="auto"/>
                    <w:ind w:left="39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6"/>
                      <w:sz w:val="16"/>
                      <w:szCs w:val="16"/>
                    </w:rPr>
                    <w:t>11.24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46" w:line="195" w:lineRule="auto"/>
                    <w:ind w:left="38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12.38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46" w:line="195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13.53</w:t>
                  </w:r>
                </w:p>
              </w:tc>
            </w:tr>
            <w:tr>
              <w:tblPrEx>
                <w:tblW w:w="6888" w:type="dxa"/>
                <w:tblInd w:w="61" w:type="dxa"/>
                <w:tblLayout w:type="fixed"/>
              </w:tblPrEx>
              <w:trPr>
                <w:trHeight w:val="240"/>
              </w:trPr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5" w:line="213" w:lineRule="auto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每股收益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(</w:t>
                  </w:r>
                  <w:r>
                    <w:rPr>
                      <w:sz w:val="16"/>
                      <w:szCs w:val="16"/>
                    </w:rPr>
                    <w:t>元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57" w:line="195" w:lineRule="auto"/>
                    <w:ind w:left="57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0.96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57" w:line="195" w:lineRule="auto"/>
                    <w:ind w:left="47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1.04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57" w:line="195" w:lineRule="auto"/>
                    <w:ind w:left="47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1.04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57" w:line="195" w:lineRule="auto"/>
                    <w:ind w:left="47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1.23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57" w:line="195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1.44</w:t>
                  </w:r>
                </w:p>
              </w:tc>
            </w:tr>
            <w:tr>
              <w:tblPrEx>
                <w:tblW w:w="6888" w:type="dxa"/>
                <w:tblInd w:w="61" w:type="dxa"/>
                <w:tblLayout w:type="fixed"/>
              </w:tblPrEx>
              <w:trPr>
                <w:trHeight w:val="206"/>
              </w:trPr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186" w:lineRule="auto"/>
                    <w:ind w:left="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市盈率</w:t>
                  </w: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(P/E)</w:t>
                  </w:r>
                </w:p>
              </w:tc>
              <w:tc>
                <w:tcPr>
                  <w:tcW w:w="1171" w:type="dxa"/>
                  <w:vAlign w:val="top"/>
                </w:tcPr>
                <w:p>
                  <w:pPr>
                    <w:spacing w:before="57" w:line="181" w:lineRule="auto"/>
                    <w:ind w:left="491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33.37</w:t>
                  </w:r>
                </w:p>
              </w:tc>
              <w:tc>
                <w:tcPr>
                  <w:tcW w:w="1052" w:type="dxa"/>
                  <w:vAlign w:val="top"/>
                </w:tcPr>
                <w:p>
                  <w:pPr>
                    <w:spacing w:before="57" w:line="181" w:lineRule="auto"/>
                    <w:ind w:left="37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30.91</w:t>
                  </w:r>
                </w:p>
              </w:tc>
              <w:tc>
                <w:tcPr>
                  <w:tcW w:w="1054" w:type="dxa"/>
                  <w:vAlign w:val="top"/>
                </w:tcPr>
                <w:p>
                  <w:pPr>
                    <w:spacing w:before="57" w:line="181" w:lineRule="auto"/>
                    <w:ind w:left="37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30.83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57" w:line="181" w:lineRule="auto"/>
                    <w:ind w:left="37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26.14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spacing w:before="57" w:line="181" w:lineRule="auto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22.19</w:t>
                  </w:r>
                </w:p>
              </w:tc>
            </w:tr>
          </w:tbl>
          <w:p>
            <w:pPr>
              <w:spacing w:line="118" w:lineRule="auto"/>
              <w:rPr>
                <w:rFonts w:ascii="Arial"/>
                <w:sz w:val="2"/>
              </w:rPr>
            </w:pPr>
          </w:p>
        </w:tc>
      </w:tr>
      <w:tr>
        <w:tblPrEx>
          <w:tblW w:w="7033" w:type="dxa"/>
          <w:tblInd w:w="180" w:type="dxa"/>
          <w:tblLayout w:type="fixed"/>
        </w:tblPrEx>
        <w:trPr>
          <w:trHeight w:val="221"/>
        </w:trPr>
        <w:tc>
          <w:tcPr>
            <w:tcW w:w="703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3" w:line="181" w:lineRule="auto"/>
              <w:ind w:left="69"/>
              <w:rPr>
                <w:sz w:val="13"/>
                <w:szCs w:val="13"/>
              </w:rPr>
            </w:pPr>
            <w:r>
              <w:rPr>
                <w:color w:val="4D4D4F"/>
                <w:spacing w:val="8"/>
                <w:sz w:val="13"/>
                <w:szCs w:val="13"/>
              </w:rPr>
              <w:t>资料来源：</w:t>
            </w:r>
            <w:r>
              <w:rPr>
                <w:color w:val="4D4D4F"/>
                <w:spacing w:val="-3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4D4D4F"/>
                <w:sz w:val="13"/>
                <w:szCs w:val="13"/>
              </w:rPr>
              <w:t>Ifind</w:t>
            </w:r>
            <w:r>
              <w:rPr>
                <w:color w:val="4D4D4F"/>
                <w:spacing w:val="8"/>
                <w:sz w:val="13"/>
                <w:szCs w:val="13"/>
              </w:rPr>
              <w:t>、国元证券研究所整理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320" w:lineRule="exact"/>
      </w:pPr>
      <w:r>
        <w:rPr>
          <w:position w:val="-6"/>
        </w:rPr>
        <w:pict>
          <v:group id="_x0000_i1026" style="width:177.3pt;height:16.1pt;mso-position-horizontal-relative:char;mso-position-vertical-relative:line" coordorigin="0,0" coordsize="3546,322" filled="f" stroked="f">
            <v:rect id="_x0000_s1027" style="width:3546;height:312;position:absolute;top:9" filled="t" fillcolor="#0b4da2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755;height:220;left:-15;position:absolute;top:53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20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8"/>
                        <w:szCs w:val="18"/>
                      </w:rPr>
                      <w:t>基本数据</w:t>
                    </w:r>
                  </w:p>
                </w:txbxContent>
              </v:textbox>
            </v:shape>
            <v:shape id="_x0000_s1029" style="width:3546;height:10;position:absolute" coordorigin="0,0" coordsize="3546,10" path="m,9l3545,9l3545,l,l,9xe" filled="t" fillcolor="black" stroked="f"/>
            <w10:wrap type="none"/>
          </v:group>
        </w:pict>
      </w:r>
    </w:p>
    <w:p>
      <w:pPr>
        <w:pStyle w:val="BodyText"/>
        <w:spacing w:before="76" w:line="227" w:lineRule="auto"/>
        <w:ind w:left="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 xml:space="preserve">52 </w:t>
      </w:r>
      <w:r>
        <w:rPr>
          <w:spacing w:val="-1"/>
          <w:sz w:val="16"/>
          <w:szCs w:val="16"/>
        </w:rPr>
        <w:t>周最高</w:t>
      </w:r>
      <w:r>
        <w:rPr>
          <w:rFonts w:ascii="Arial" w:eastAsia="Arial" w:hAnsi="Arial" w:cs="Arial"/>
          <w:spacing w:val="-1"/>
          <w:sz w:val="16"/>
          <w:szCs w:val="16"/>
        </w:rPr>
        <w:t>/</w:t>
      </w:r>
      <w:r>
        <w:rPr>
          <w:spacing w:val="-1"/>
          <w:sz w:val="16"/>
          <w:szCs w:val="16"/>
        </w:rPr>
        <w:t>最低价（元</w:t>
      </w:r>
      <w:r>
        <w:rPr>
          <w:spacing w:val="-35"/>
          <w:sz w:val="16"/>
          <w:szCs w:val="16"/>
        </w:rPr>
        <w:t>）：</w:t>
      </w:r>
      <w:r>
        <w:rPr>
          <w:rFonts w:ascii="Arial" w:eastAsia="Arial" w:hAnsi="Arial" w:cs="Arial"/>
          <w:spacing w:val="-1"/>
          <w:sz w:val="16"/>
          <w:szCs w:val="16"/>
        </w:rPr>
        <w:t>83.50 / 32.07</w:t>
      </w:r>
    </w:p>
    <w:p>
      <w:pPr>
        <w:spacing w:line="115" w:lineRule="exact"/>
      </w:pPr>
    </w:p>
    <w:tbl>
      <w:tblPr>
        <w:tblStyle w:val="TableNormal0"/>
        <w:tblW w:w="23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73"/>
        <w:gridCol w:w="672"/>
      </w:tblGrid>
      <w:tr>
        <w:tblPrEx>
          <w:tblW w:w="234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6"/>
        </w:trPr>
        <w:tc>
          <w:tcPr>
            <w:tcW w:w="1673" w:type="dxa"/>
            <w:vAlign w:val="top"/>
          </w:tcPr>
          <w:p>
            <w:pPr>
              <w:pStyle w:val="TableText"/>
              <w:spacing w:line="226" w:lineRule="auto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A </w:t>
            </w:r>
            <w:r>
              <w:rPr>
                <w:spacing w:val="-1"/>
                <w:sz w:val="16"/>
                <w:szCs w:val="16"/>
              </w:rPr>
              <w:t>股流通股（百万股</w:t>
            </w:r>
            <w:r>
              <w:rPr>
                <w:spacing w:val="-46"/>
                <w:sz w:val="16"/>
                <w:szCs w:val="16"/>
              </w:rPr>
              <w:t>）：</w:t>
            </w:r>
          </w:p>
        </w:tc>
        <w:tc>
          <w:tcPr>
            <w:tcW w:w="672" w:type="dxa"/>
            <w:vAlign w:val="top"/>
          </w:tcPr>
          <w:p>
            <w:pPr>
              <w:spacing w:before="20" w:line="195" w:lineRule="auto"/>
              <w:ind w:left="1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36.57</w:t>
            </w:r>
          </w:p>
        </w:tc>
      </w:tr>
      <w:tr>
        <w:tblPrEx>
          <w:tblW w:w="2345" w:type="dxa"/>
          <w:tblInd w:w="0" w:type="dxa"/>
          <w:tblLayout w:type="fixed"/>
        </w:tblPrEx>
        <w:trPr>
          <w:trHeight w:val="312"/>
        </w:trPr>
        <w:tc>
          <w:tcPr>
            <w:tcW w:w="1673" w:type="dxa"/>
            <w:vAlign w:val="top"/>
          </w:tcPr>
          <w:p>
            <w:pPr>
              <w:pStyle w:val="TableText"/>
              <w:spacing w:before="76" w:line="218" w:lineRule="auto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A </w:t>
            </w:r>
            <w:r>
              <w:rPr>
                <w:spacing w:val="-1"/>
                <w:sz w:val="16"/>
                <w:szCs w:val="16"/>
              </w:rPr>
              <w:t>股总股本（百万股</w:t>
            </w:r>
            <w:r>
              <w:rPr>
                <w:spacing w:val="-46"/>
                <w:sz w:val="16"/>
                <w:szCs w:val="16"/>
              </w:rPr>
              <w:t>）：</w:t>
            </w:r>
          </w:p>
        </w:tc>
        <w:tc>
          <w:tcPr>
            <w:tcW w:w="672" w:type="dxa"/>
            <w:vAlign w:val="top"/>
          </w:tcPr>
          <w:p>
            <w:pPr>
              <w:spacing w:before="96" w:line="195" w:lineRule="auto"/>
              <w:ind w:left="1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138.00</w:t>
            </w:r>
          </w:p>
        </w:tc>
      </w:tr>
      <w:tr>
        <w:tblPrEx>
          <w:tblW w:w="2345" w:type="dxa"/>
          <w:tblInd w:w="0" w:type="dxa"/>
          <w:tblLayout w:type="fixed"/>
        </w:tblPrEx>
        <w:trPr>
          <w:trHeight w:val="236"/>
        </w:trPr>
        <w:tc>
          <w:tcPr>
            <w:tcW w:w="1673" w:type="dxa"/>
            <w:vAlign w:val="top"/>
          </w:tcPr>
          <w:p>
            <w:pPr>
              <w:pStyle w:val="TableText"/>
              <w:spacing w:before="76" w:line="173" w:lineRule="auto"/>
              <w:ind w:left="12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流通市值（百万元</w:t>
            </w:r>
            <w:r>
              <w:rPr>
                <w:spacing w:val="-18"/>
                <w:sz w:val="16"/>
                <w:szCs w:val="16"/>
              </w:rPr>
              <w:t>）：</w:t>
            </w:r>
          </w:p>
        </w:tc>
        <w:tc>
          <w:tcPr>
            <w:tcW w:w="672" w:type="dxa"/>
            <w:vAlign w:val="top"/>
          </w:tcPr>
          <w:p>
            <w:pPr>
              <w:spacing w:before="96" w:line="169" w:lineRule="auto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1172.80</w:t>
            </w:r>
          </w:p>
        </w:tc>
      </w:tr>
    </w:tbl>
    <w:p>
      <w:pPr>
        <w:pStyle w:val="BodyText"/>
        <w:spacing w:before="151" w:line="220" w:lineRule="auto"/>
        <w:ind w:left="15"/>
        <w:rPr>
          <w:rFonts w:ascii="Arial" w:eastAsia="Arial" w:hAnsi="Arial" w:cs="Arial"/>
          <w:sz w:val="16"/>
          <w:szCs w:val="16"/>
        </w:rPr>
      </w:pPr>
      <w:r>
        <w:rPr>
          <w:spacing w:val="-2"/>
          <w:sz w:val="16"/>
          <w:szCs w:val="16"/>
        </w:rPr>
        <w:t>总市值（百万元</w:t>
      </w:r>
      <w:r>
        <w:rPr>
          <w:spacing w:val="-43"/>
          <w:sz w:val="16"/>
          <w:szCs w:val="16"/>
        </w:rPr>
        <w:t>）：</w:t>
      </w:r>
      <w:r>
        <w:rPr>
          <w:spacing w:val="7"/>
          <w:sz w:val="16"/>
          <w:szCs w:val="16"/>
        </w:rPr>
        <w:t xml:space="preserve">     </w:t>
      </w:r>
      <w:r>
        <w:rPr>
          <w:rFonts w:ascii="Arial" w:eastAsia="Arial" w:hAnsi="Arial" w:cs="Arial"/>
          <w:spacing w:val="-2"/>
          <w:sz w:val="16"/>
          <w:szCs w:val="16"/>
        </w:rPr>
        <w:t>4425.66</w:t>
      </w:r>
    </w:p>
    <w:p>
      <w:pPr>
        <w:pStyle w:val="BodyText"/>
        <w:spacing w:before="89" w:line="312" w:lineRule="exact"/>
      </w:pPr>
      <w:r>
        <w:rPr>
          <w:position w:val="-6"/>
        </w:rPr>
        <w:pict>
          <v:shape id="_x0000_i1030" type="#_x0000_t202" style="width:177.3pt;height:15.6pt;mso-position-horizontal-relative:char;mso-position-vertical-relative:line" filled="t" fillcolor="#0b4da2" stroked="f">
            <o:lock v:ext="edit" aspectratio="f"/>
            <v:textbox inset="0,0,0,0">
              <w:txbxContent>
                <w:p>
                  <w:pPr>
                    <w:spacing w:before="64" w:line="217" w:lineRule="auto"/>
                    <w:ind w:left="9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2"/>
                      <w:sz w:val="18"/>
                      <w:szCs w:val="18"/>
                    </w:rPr>
                    <w:t>过去一年股价走势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75" w:line="309" w:lineRule="exact"/>
        <w:ind w:left="162"/>
        <w:rPr>
          <w:sz w:val="16"/>
          <w:szCs w:val="16"/>
        </w:rPr>
      </w:pPr>
      <w:r>
        <w:rPr>
          <w:spacing w:val="-2"/>
          <w:position w:val="13"/>
          <w:sz w:val="16"/>
          <w:szCs w:val="16"/>
        </w:rPr>
        <w:t>28%</w:t>
      </w:r>
    </w:p>
    <w:p>
      <w:pPr>
        <w:pStyle w:val="BodyText"/>
        <w:spacing w:line="184" w:lineRule="auto"/>
        <w:ind w:left="172"/>
        <w:rPr>
          <w:sz w:val="16"/>
          <w:szCs w:val="16"/>
        </w:rPr>
      </w:pPr>
      <w:r>
        <w:rPr>
          <w:spacing w:val="-5"/>
          <w:sz w:val="16"/>
          <w:szCs w:val="16"/>
        </w:rPr>
        <w:t>13%</w:t>
      </w:r>
    </w:p>
    <w:p>
      <w:pPr>
        <w:pStyle w:val="BodyText"/>
        <w:spacing w:before="150" w:line="183" w:lineRule="auto"/>
        <w:ind w:left="161"/>
        <w:rPr>
          <w:sz w:val="16"/>
          <w:szCs w:val="16"/>
        </w:rPr>
      </w:pPr>
      <w:r>
        <w:rPr>
          <w:spacing w:val="-1"/>
          <w:sz w:val="16"/>
          <w:szCs w:val="16"/>
        </w:rPr>
        <w:t>-1%</w:t>
      </w:r>
    </w:p>
    <w:p>
      <w:pPr>
        <w:pStyle w:val="BodyText"/>
        <w:spacing w:before="150" w:line="183" w:lineRule="auto"/>
        <w:ind w:left="81"/>
        <w:rPr>
          <w:sz w:val="16"/>
          <w:szCs w:val="16"/>
        </w:rPr>
      </w:pPr>
      <w:r>
        <w:rPr>
          <w:spacing w:val="-1"/>
          <w:sz w:val="16"/>
          <w:szCs w:val="16"/>
        </w:rPr>
        <w:t>-16%</w:t>
      </w:r>
    </w:p>
    <w:p>
      <w:pPr>
        <w:pStyle w:val="BodyText"/>
        <w:spacing w:before="150" w:line="182" w:lineRule="auto"/>
        <w:ind w:left="81"/>
        <w:rPr>
          <w:sz w:val="16"/>
          <w:szCs w:val="16"/>
        </w:rPr>
      </w:pPr>
      <w:r>
        <w:rPr>
          <w:spacing w:val="-1"/>
          <w:sz w:val="16"/>
          <w:szCs w:val="16"/>
        </w:rPr>
        <w:t>-31%</w:t>
      </w:r>
    </w:p>
    <w:p>
      <w:pPr>
        <w:pStyle w:val="BodyText"/>
        <w:spacing w:line="189" w:lineRule="auto"/>
        <w:ind w:left="360"/>
      </w:pPr>
      <w:r>
        <w:rPr>
          <w:spacing w:val="-2"/>
        </w:rPr>
        <w:t>1/31</w:t>
      </w:r>
      <w:r>
        <w:rPr>
          <w:spacing w:val="-2"/>
        </w:rPr>
        <w:t xml:space="preserve">   </w:t>
      </w:r>
      <w:r>
        <w:rPr>
          <w:spacing w:val="-2"/>
        </w:rPr>
        <w:t>4/30</w:t>
      </w:r>
      <w:r>
        <w:rPr>
          <w:spacing w:val="3"/>
        </w:rPr>
        <w:t xml:space="preserve">   </w:t>
      </w:r>
      <w:r>
        <w:rPr>
          <w:spacing w:val="-2"/>
        </w:rPr>
        <w:t>7/28</w:t>
      </w:r>
      <w:r>
        <w:rPr>
          <w:spacing w:val="31"/>
        </w:rPr>
        <w:t xml:space="preserve">  </w:t>
      </w:r>
      <w:r>
        <w:rPr>
          <w:spacing w:val="-2"/>
        </w:rPr>
        <w:t>10/2</w:t>
      </w:r>
      <w:r>
        <w:rPr>
          <w:spacing w:val="-3"/>
        </w:rPr>
        <w:t>5</w:t>
      </w:r>
      <w:r>
        <w:rPr>
          <w:spacing w:val="32"/>
        </w:rPr>
        <w:t xml:space="preserve">  </w:t>
      </w:r>
      <w:r>
        <w:rPr>
          <w:spacing w:val="-3"/>
        </w:rPr>
        <w:t>1/22</w:t>
      </w:r>
    </w:p>
    <w:p>
      <w:pPr>
        <w:pStyle w:val="BodyText"/>
        <w:spacing w:before="1" w:line="227" w:lineRule="auto"/>
        <w:ind w:left="430"/>
        <w:rPr>
          <w:sz w:val="15"/>
          <w:szCs w:val="15"/>
        </w:rPr>
      </w:pPr>
      <w:r>
        <w:rPr>
          <w:position w:val="3"/>
          <w:sz w:val="15"/>
          <w:szCs w:val="15"/>
        </w:rPr>
        <w:drawing>
          <wp:inline distT="0" distB="0" distL="0" distR="0">
            <wp:extent cx="269747" cy="259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9747" cy="2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4"/>
          <w:sz w:val="15"/>
          <w:szCs w:val="15"/>
        </w:rPr>
        <w:t xml:space="preserve"> </w:t>
      </w:r>
      <w:r>
        <w:rPr>
          <w:spacing w:val="1"/>
          <w:sz w:val="15"/>
          <w:szCs w:val="15"/>
        </w:rPr>
        <w:t>味知香</w:t>
      </w:r>
      <w:r>
        <w:rPr>
          <w:spacing w:val="6"/>
          <w:sz w:val="15"/>
          <w:szCs w:val="15"/>
        </w:rPr>
        <w:t xml:space="preserve">     </w:t>
      </w:r>
      <w:r>
        <w:rPr>
          <w:position w:val="3"/>
          <w:sz w:val="15"/>
          <w:szCs w:val="15"/>
        </w:rPr>
        <w:drawing>
          <wp:inline distT="0" distB="0" distL="0" distR="0">
            <wp:extent cx="269747" cy="2590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747" cy="2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sz w:val="15"/>
          <w:szCs w:val="15"/>
        </w:rPr>
        <w:t xml:space="preserve"> </w:t>
      </w:r>
      <w:r>
        <w:rPr>
          <w:spacing w:val="1"/>
          <w:sz w:val="15"/>
          <w:szCs w:val="15"/>
        </w:rPr>
        <w:t>沪深300</w:t>
      </w:r>
    </w:p>
    <w:p>
      <w:pPr>
        <w:pStyle w:val="BodyText"/>
        <w:spacing w:before="147" w:line="230" w:lineRule="auto"/>
        <w:ind w:left="11"/>
        <w:rPr>
          <w:sz w:val="13"/>
          <w:szCs w:val="13"/>
        </w:rPr>
      </w:pPr>
      <w:r>
        <w:rPr>
          <w:color w:val="4D4D4F"/>
          <w:spacing w:val="8"/>
          <w:sz w:val="13"/>
          <w:szCs w:val="13"/>
        </w:rPr>
        <w:t>资料来源：</w:t>
      </w:r>
      <w:r>
        <w:rPr>
          <w:color w:val="4D4D4F"/>
          <w:spacing w:val="-36"/>
          <w:sz w:val="13"/>
          <w:szCs w:val="13"/>
        </w:rPr>
        <w:t xml:space="preserve"> </w:t>
      </w:r>
      <w:r>
        <w:rPr>
          <w:rFonts w:ascii="Arial" w:eastAsia="Arial" w:hAnsi="Arial" w:cs="Arial"/>
          <w:color w:val="4D4D4F"/>
          <w:sz w:val="13"/>
          <w:szCs w:val="13"/>
        </w:rPr>
        <w:t>Ifind</w:t>
      </w:r>
      <w:r>
        <w:rPr>
          <w:color w:val="4D4D4F"/>
          <w:spacing w:val="8"/>
          <w:sz w:val="13"/>
          <w:szCs w:val="13"/>
        </w:rPr>
        <w:t>、国元证券研究所整理</w:t>
      </w:r>
    </w:p>
    <w:p>
      <w:pPr>
        <w:pStyle w:val="BodyText"/>
        <w:spacing w:before="49" w:line="312" w:lineRule="exact"/>
      </w:pPr>
      <w:r>
        <w:rPr>
          <w:position w:val="-6"/>
        </w:rPr>
        <w:pict>
          <v:shape id="_x0000_i1031" type="#_x0000_t202" style="width:177.3pt;height:15.65pt;mso-position-horizontal-relative:char;mso-position-vertical-relative:line" filled="t" fillcolor="#0b4da2" stroked="f">
            <o:lock v:ext="edit" aspectratio="f"/>
            <v:textbox inset="0,0,0,0">
              <w:txbxContent>
                <w:p>
                  <w:pPr>
                    <w:spacing w:before="63" w:line="222" w:lineRule="auto"/>
                    <w:ind w:left="7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2"/>
                      <w:sz w:val="18"/>
                      <w:szCs w:val="18"/>
                    </w:rPr>
                    <w:t>相关研究报告</w:t>
                  </w:r>
                </w:p>
              </w:txbxContent>
            </v:textbox>
            <w10:wrap type="none"/>
          </v:shape>
        </w:pic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" w:line="312" w:lineRule="exact"/>
      </w:pPr>
      <w:r>
        <w:rPr>
          <w:position w:val="-6"/>
        </w:rPr>
        <w:pict>
          <v:shape id="_x0000_i1032" type="#_x0000_t202" style="width:177.3pt;height:15.65pt;mso-position-horizontal-relative:char;mso-position-vertical-relative:line" filled="t" fillcolor="#0b4da2" stroked="f">
            <o:lock v:ext="edit" aspectratio="f"/>
            <v:textbox inset="0,0,0,0">
              <w:txbxContent>
                <w:p>
                  <w:pPr>
                    <w:spacing w:before="63" w:line="215" w:lineRule="auto"/>
                    <w:ind w:left="4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1"/>
                      <w:sz w:val="18"/>
                      <w:szCs w:val="18"/>
                    </w:rPr>
                    <w:t>报告作者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64" w:line="217" w:lineRule="auto"/>
        <w:ind w:left="9"/>
      </w:pPr>
      <w:r>
        <w:rPr>
          <w:spacing w:val="-4"/>
        </w:rPr>
        <w:t>分析师</w:t>
      </w:r>
      <w:r>
        <w:rPr>
          <w:spacing w:val="11"/>
        </w:rPr>
        <w:t xml:space="preserve">      </w:t>
      </w:r>
      <w:r>
        <w:rPr>
          <w:color w:val="004D9C"/>
          <w:spacing w:val="-4"/>
        </w:rPr>
        <w:t>邓晖</w:t>
      </w:r>
    </w:p>
    <w:p>
      <w:pPr>
        <w:pStyle w:val="BodyText"/>
        <w:spacing w:before="101" w:line="217" w:lineRule="auto"/>
        <w:ind w:left="8"/>
        <w:rPr>
          <w:rFonts w:ascii="Arial" w:eastAsia="Arial" w:hAnsi="Arial" w:cs="Arial"/>
        </w:rPr>
      </w:pPr>
      <w:r>
        <w:rPr>
          <w:spacing w:val="-1"/>
        </w:rPr>
        <w:t>执业证书编号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color w:val="004D9C"/>
          <w:spacing w:val="-1"/>
        </w:rPr>
        <w:t>S0020522030002</w:t>
      </w:r>
    </w:p>
    <w:p>
      <w:pPr>
        <w:spacing w:line="100" w:lineRule="exact"/>
      </w:pPr>
    </w:p>
    <w:tbl>
      <w:tblPr>
        <w:tblStyle w:val="TableNormal0"/>
        <w:tblW w:w="3053" w:type="dxa"/>
        <w:tblInd w:w="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6"/>
        <w:gridCol w:w="2317"/>
      </w:tblGrid>
      <w:tr>
        <w:tblPrEx>
          <w:tblW w:w="3053" w:type="dxa"/>
          <w:tblInd w:w="1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"/>
        </w:trPr>
        <w:tc>
          <w:tcPr>
            <w:tcW w:w="736" w:type="dxa"/>
            <w:vAlign w:val="top"/>
          </w:tcPr>
          <w:p>
            <w:pPr>
              <w:pStyle w:val="TableText"/>
              <w:spacing w:line="229" w:lineRule="auto"/>
              <w:ind w:left="1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电话</w:t>
            </w:r>
          </w:p>
        </w:tc>
        <w:tc>
          <w:tcPr>
            <w:tcW w:w="2317" w:type="dxa"/>
            <w:vAlign w:val="top"/>
          </w:tcPr>
          <w:p>
            <w:pPr>
              <w:spacing w:before="25" w:line="194" w:lineRule="auto"/>
              <w:ind w:left="39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4D9C"/>
                <w:spacing w:val="-1"/>
                <w:sz w:val="18"/>
                <w:szCs w:val="18"/>
              </w:rPr>
              <w:t>021-51097188</w:t>
            </w:r>
          </w:p>
        </w:tc>
      </w:tr>
      <w:tr>
        <w:tblPrEx>
          <w:tblW w:w="3053" w:type="dxa"/>
          <w:tblInd w:w="11" w:type="dxa"/>
          <w:tblLayout w:type="fixed"/>
        </w:tblPrEx>
        <w:trPr>
          <w:trHeight w:val="258"/>
        </w:trPr>
        <w:tc>
          <w:tcPr>
            <w:tcW w:w="736" w:type="dxa"/>
            <w:vAlign w:val="top"/>
          </w:tcPr>
          <w:p>
            <w:pPr>
              <w:pStyle w:val="TableText"/>
              <w:spacing w:before="65" w:line="187" w:lineRule="auto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邮箱</w:t>
            </w:r>
          </w:p>
        </w:tc>
        <w:tc>
          <w:tcPr>
            <w:tcW w:w="2317" w:type="dxa"/>
            <w:vAlign w:val="top"/>
          </w:tcPr>
          <w:p>
            <w:pPr>
              <w:spacing w:before="89" w:line="184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4D9C"/>
                <w:spacing w:val="-1"/>
                <w:sz w:val="18"/>
                <w:szCs w:val="18"/>
              </w:rPr>
              <w:t>denghui1@gyzq.com.cn</w:t>
            </w:r>
          </w:p>
        </w:tc>
      </w:tr>
    </w:tbl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59" w:line="216" w:lineRule="auto"/>
        <w:ind w:left="9"/>
      </w:pPr>
      <w:r>
        <w:rPr>
          <w:spacing w:val="-4"/>
        </w:rPr>
        <w:t>分析师</w:t>
      </w:r>
      <w:r>
        <w:rPr>
          <w:spacing w:val="11"/>
        </w:rPr>
        <w:t xml:space="preserve">      </w:t>
      </w:r>
      <w:r>
        <w:rPr>
          <w:color w:val="004D9C"/>
          <w:spacing w:val="-4"/>
        </w:rPr>
        <w:t>朱宇昊</w:t>
      </w:r>
    </w:p>
    <w:p>
      <w:pPr>
        <w:pStyle w:val="BodyText"/>
        <w:spacing w:before="102" w:line="217" w:lineRule="auto"/>
        <w:ind w:left="8"/>
        <w:rPr>
          <w:rFonts w:ascii="Arial" w:eastAsia="Arial" w:hAnsi="Arial" w:cs="Arial"/>
        </w:rPr>
      </w:pPr>
      <w:r>
        <w:rPr>
          <w:spacing w:val="-1"/>
        </w:rPr>
        <w:t>执业证书编号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color w:val="004D9C"/>
          <w:spacing w:val="-1"/>
        </w:rPr>
        <w:t>S0020522090001</w:t>
      </w:r>
    </w:p>
    <w:p>
      <w:pPr>
        <w:spacing w:line="100" w:lineRule="exact"/>
      </w:pPr>
    </w:p>
    <w:tbl>
      <w:tblPr>
        <w:tblStyle w:val="TableNormal0"/>
        <w:tblW w:w="3093" w:type="dxa"/>
        <w:tblInd w:w="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"/>
        <w:gridCol w:w="2358"/>
      </w:tblGrid>
      <w:tr>
        <w:tblPrEx>
          <w:tblW w:w="3093" w:type="dxa"/>
          <w:tblInd w:w="1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"/>
        </w:trPr>
        <w:tc>
          <w:tcPr>
            <w:tcW w:w="735" w:type="dxa"/>
            <w:vAlign w:val="top"/>
          </w:tcPr>
          <w:p>
            <w:pPr>
              <w:pStyle w:val="TableText"/>
              <w:spacing w:line="229" w:lineRule="auto"/>
              <w:ind w:left="1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电话</w:t>
            </w:r>
          </w:p>
        </w:tc>
        <w:tc>
          <w:tcPr>
            <w:tcW w:w="2358" w:type="dxa"/>
            <w:vAlign w:val="top"/>
          </w:tcPr>
          <w:p>
            <w:pPr>
              <w:spacing w:before="25" w:line="194" w:lineRule="auto"/>
              <w:ind w:left="39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4D9C"/>
                <w:spacing w:val="-1"/>
                <w:sz w:val="18"/>
                <w:szCs w:val="18"/>
              </w:rPr>
              <w:t>021-51097188</w:t>
            </w:r>
          </w:p>
        </w:tc>
      </w:tr>
      <w:tr>
        <w:tblPrEx>
          <w:tblW w:w="3093" w:type="dxa"/>
          <w:tblInd w:w="11" w:type="dxa"/>
          <w:tblLayout w:type="fixed"/>
        </w:tblPrEx>
        <w:trPr>
          <w:trHeight w:val="258"/>
        </w:trPr>
        <w:tc>
          <w:tcPr>
            <w:tcW w:w="735" w:type="dxa"/>
            <w:vAlign w:val="top"/>
          </w:tcPr>
          <w:p>
            <w:pPr>
              <w:pStyle w:val="TableText"/>
              <w:spacing w:before="65" w:line="187" w:lineRule="auto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邮箱</w:t>
            </w:r>
          </w:p>
        </w:tc>
        <w:tc>
          <w:tcPr>
            <w:tcW w:w="2358" w:type="dxa"/>
            <w:vAlign w:val="top"/>
          </w:tcPr>
          <w:p>
            <w:pPr>
              <w:spacing w:before="89" w:line="184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4D9C"/>
                <w:spacing w:val="-1"/>
                <w:sz w:val="18"/>
                <w:szCs w:val="18"/>
              </w:rPr>
              <w:t>zhuyuhao@gyzq.com.cn</w:t>
            </w:r>
          </w:p>
        </w:tc>
      </w:tr>
    </w:tbl>
    <w:p>
      <w:pPr>
        <w:spacing w:before="190"/>
      </w:pPr>
    </w:p>
    <w:tbl>
      <w:tblPr>
        <w:tblStyle w:val="TableNormal0"/>
        <w:tblW w:w="2287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4"/>
        <w:gridCol w:w="1453"/>
      </w:tblGrid>
      <w:tr>
        <w:tblPrEx>
          <w:tblW w:w="2287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"/>
        </w:trPr>
        <w:tc>
          <w:tcPr>
            <w:tcW w:w="834" w:type="dxa"/>
            <w:vAlign w:val="top"/>
          </w:tcPr>
          <w:p>
            <w:pPr>
              <w:pStyle w:val="TableText"/>
              <w:spacing w:line="215" w:lineRule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联系人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spacing w:line="217" w:lineRule="auto"/>
              <w:ind w:left="302"/>
              <w:rPr>
                <w:sz w:val="18"/>
                <w:szCs w:val="18"/>
              </w:rPr>
            </w:pPr>
            <w:r>
              <w:rPr>
                <w:color w:val="004D9C"/>
                <w:spacing w:val="-3"/>
                <w:sz w:val="18"/>
                <w:szCs w:val="18"/>
              </w:rPr>
              <w:t>单蕾</w:t>
            </w:r>
          </w:p>
        </w:tc>
      </w:tr>
      <w:tr>
        <w:tblPrEx>
          <w:tblW w:w="2287" w:type="dxa"/>
          <w:tblInd w:w="5" w:type="dxa"/>
          <w:tblLayout w:type="fixed"/>
        </w:tblPrEx>
        <w:trPr>
          <w:trHeight w:val="245"/>
        </w:trPr>
        <w:tc>
          <w:tcPr>
            <w:tcW w:w="834" w:type="dxa"/>
            <w:vAlign w:val="top"/>
          </w:tcPr>
          <w:p>
            <w:pPr>
              <w:pStyle w:val="TableText"/>
              <w:spacing w:before="66" w:line="173" w:lineRule="auto"/>
              <w:ind w:left="1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电话</w:t>
            </w:r>
          </w:p>
        </w:tc>
        <w:tc>
          <w:tcPr>
            <w:tcW w:w="1453" w:type="dxa"/>
            <w:vAlign w:val="top"/>
          </w:tcPr>
          <w:p>
            <w:pPr>
              <w:spacing w:before="90" w:line="167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4D9C"/>
                <w:spacing w:val="-1"/>
                <w:sz w:val="18"/>
                <w:szCs w:val="18"/>
              </w:rPr>
              <w:t>021-51097188</w:t>
            </w:r>
          </w:p>
        </w:tc>
      </w:tr>
    </w:tbl>
    <w:p>
      <w:pPr>
        <w:pStyle w:val="BodyText"/>
        <w:spacing w:before="133" w:line="212" w:lineRule="auto"/>
        <w:ind w:left="11"/>
        <w:rPr>
          <w:rFonts w:ascii="Arial" w:eastAsia="Arial" w:hAnsi="Arial" w:cs="Arial"/>
        </w:rPr>
      </w:pPr>
      <w:r>
        <w:rPr>
          <w:spacing w:val="-1"/>
        </w:rPr>
        <w:t>邮箱</w:t>
      </w:r>
      <w:r>
        <w:rPr>
          <w:spacing w:val="7"/>
        </w:rPr>
        <w:t xml:space="preserve">        </w:t>
      </w:r>
      <w:r>
        <w:rPr>
          <w:rFonts w:ascii="Arial" w:eastAsia="Arial" w:hAnsi="Arial" w:cs="Arial"/>
          <w:color w:val="004D9C"/>
          <w:spacing w:val="-1"/>
        </w:rPr>
        <w:t>shanlei@gyzq.com.cn</w:t>
      </w:r>
    </w:p>
    <w:p>
      <w:pPr>
        <w:spacing w:line="212" w:lineRule="auto"/>
        <w:rPr>
          <w:rFonts w:ascii="Arial" w:eastAsia="Arial" w:hAnsi="Arial" w:cs="Arial"/>
        </w:rPr>
        <w:sectPr>
          <w:footerReference w:type="default" r:id="rId13"/>
          <w:type w:val="nextPage"/>
          <w:pgSz w:w="11907" w:h="16839"/>
          <w:pgMar w:top="641" w:right="388" w:bottom="796" w:left="566" w:header="0" w:footer="391" w:gutter="0"/>
          <w:pgNumType w:start="6"/>
          <w:cols w:num="2" w:space="708" w:equalWidth="0">
            <w:col w:w="7306" w:space="100"/>
            <w:col w:w="3546" w:space="0"/>
          </w:cols>
          <w:titlePg w:val="0"/>
        </w:sectPr>
      </w:pPr>
    </w:p>
    <w:p>
      <w:pPr>
        <w:spacing w:line="429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211549049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4" w:lineRule="auto"/>
            <w:ind w:left="2633"/>
            <w:rPr>
              <w:sz w:val="31"/>
              <w:szCs w:val="31"/>
            </w:rPr>
          </w:pPr>
          <w:r>
            <w:rPr>
              <w:color w:val="0B4DA2"/>
              <w:spacing w:val="-37"/>
              <w:sz w:val="31"/>
              <w:szCs w:val="31"/>
            </w:rPr>
            <w:t>目</w:t>
          </w:r>
          <w:r>
            <w:rPr>
              <w:color w:val="0B4DA2"/>
              <w:spacing w:val="23"/>
              <w:sz w:val="31"/>
              <w:szCs w:val="31"/>
            </w:rPr>
            <w:t xml:space="preserve">  </w:t>
          </w:r>
          <w:r>
            <w:rPr>
              <w:color w:val="0B4DA2"/>
              <w:spacing w:val="-37"/>
              <w:sz w:val="31"/>
              <w:szCs w:val="31"/>
            </w:rPr>
            <w:t>录</w:t>
          </w:r>
        </w:p>
        <w:p>
          <w:pPr>
            <w:pStyle w:val="BodyText"/>
            <w:tabs>
              <w:tab w:val="right" w:leader="dot" w:pos="10197"/>
            </w:tabs>
            <w:spacing w:before="147" w:line="186" w:lineRule="auto"/>
            <w:ind w:left="2574"/>
            <w:rPr>
              <w:rFonts w:ascii="Arial" w:eastAsia="Arial" w:hAnsi="Arial" w:cs="Arial"/>
              <w:sz w:val="21"/>
              <w:szCs w:val="21"/>
            </w:rPr>
          </w:pPr>
          <w:hyperlink w:anchor="bookmark1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1.</w:t>
            </w:r>
            <w:r>
              <w:rPr>
                <w:spacing w:val="-2"/>
                <w:sz w:val="21"/>
                <w:szCs w:val="21"/>
              </w:rPr>
              <w:t>味知香：立足长三角的预制菜行家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0"/>
                <w:w w:val="132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2994"/>
            <w:rPr>
              <w:rFonts w:ascii="Arial" w:eastAsia="Arial" w:hAnsi="Arial" w:cs="Arial"/>
              <w:sz w:val="21"/>
              <w:szCs w:val="21"/>
            </w:rPr>
          </w:pPr>
          <w:hyperlink w:anchor="bookmark2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 xml:space="preserve">1.1 </w:t>
            </w:r>
            <w:r>
              <w:rPr>
                <w:spacing w:val="-2"/>
                <w:sz w:val="21"/>
                <w:szCs w:val="21"/>
              </w:rPr>
              <w:t>半成品菜资深企业，控制权稳定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0"/>
                <w:w w:val="132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2994"/>
            <w:rPr>
              <w:rFonts w:ascii="Arial" w:eastAsia="Arial" w:hAnsi="Arial" w:cs="Arial"/>
              <w:sz w:val="21"/>
              <w:szCs w:val="21"/>
            </w:rPr>
          </w:pPr>
          <w:hyperlink w:anchor="bookmark3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 xml:space="preserve">1.2 </w:t>
            </w:r>
            <w:r>
              <w:rPr>
                <w:spacing w:val="-2"/>
                <w:sz w:val="21"/>
                <w:szCs w:val="21"/>
              </w:rPr>
              <w:t>收入业绩暂时承压，成本压力缓解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1" w:line="198" w:lineRule="auto"/>
            <w:ind w:left="2557"/>
            <w:rPr>
              <w:rFonts w:ascii="Arial" w:eastAsia="Arial" w:hAnsi="Arial" w:cs="Arial"/>
              <w:sz w:val="21"/>
              <w:szCs w:val="21"/>
            </w:rPr>
          </w:pPr>
          <w:hyperlink w:anchor="bookmark4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2.</w:t>
            </w:r>
            <w:r>
              <w:rPr>
                <w:spacing w:val="-4"/>
                <w:sz w:val="21"/>
                <w:szCs w:val="21"/>
              </w:rPr>
              <w:t>预制菜：</w:t>
            </w:r>
            <w:r>
              <w:rPr>
                <w:spacing w:val="-16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超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 xml:space="preserve">4000 </w:t>
            </w:r>
            <w:r>
              <w:rPr>
                <w:spacing w:val="-4"/>
                <w:sz w:val="21"/>
                <w:szCs w:val="21"/>
              </w:rPr>
              <w:t>亿大市场，供需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&amp;</w:t>
            </w:r>
            <w:r>
              <w:rPr>
                <w:spacing w:val="-4"/>
                <w:sz w:val="21"/>
                <w:szCs w:val="21"/>
              </w:rPr>
              <w:t>政策共促成长</w:t>
            </w:r>
            <w:r>
              <w:rPr>
                <w:spacing w:val="-4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86" w:line="186" w:lineRule="auto"/>
            <w:ind w:left="2977"/>
            <w:rPr>
              <w:rFonts w:ascii="Arial" w:eastAsia="Arial" w:hAnsi="Arial" w:cs="Arial"/>
              <w:sz w:val="21"/>
              <w:szCs w:val="21"/>
            </w:rPr>
          </w:pPr>
          <w:hyperlink w:anchor="bookmark5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2.1 </w:t>
            </w:r>
            <w:r>
              <w:rPr>
                <w:spacing w:val="-1"/>
                <w:sz w:val="21"/>
                <w:szCs w:val="21"/>
              </w:rPr>
              <w:t>我国预制菜行业规模超</w:t>
            </w:r>
            <w:r>
              <w:rPr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4000 </w:t>
            </w:r>
            <w:r>
              <w:rPr>
                <w:spacing w:val="-1"/>
                <w:sz w:val="21"/>
                <w:szCs w:val="21"/>
              </w:rPr>
              <w:t>亿元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2977"/>
            <w:rPr>
              <w:rFonts w:ascii="Arial" w:eastAsia="Arial" w:hAnsi="Arial" w:cs="Arial"/>
              <w:sz w:val="21"/>
              <w:szCs w:val="21"/>
            </w:rPr>
          </w:pPr>
          <w:hyperlink w:anchor="bookmark6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2.2 </w:t>
            </w:r>
            <w:r>
              <w:rPr>
                <w:spacing w:val="-1"/>
                <w:sz w:val="21"/>
                <w:szCs w:val="21"/>
              </w:rPr>
              <w:t>预制菜写入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“</w:t>
            </w:r>
            <w:r>
              <w:rPr>
                <w:spacing w:val="-1"/>
                <w:sz w:val="21"/>
                <w:szCs w:val="21"/>
              </w:rPr>
              <w:t>一号文件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”</w:t>
            </w:r>
            <w:r>
              <w:rPr>
                <w:spacing w:val="-1"/>
                <w:sz w:val="21"/>
                <w:szCs w:val="21"/>
              </w:rPr>
              <w:t>，供需端共促行业扩容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2977"/>
            <w:rPr>
              <w:rFonts w:ascii="Arial" w:eastAsia="Arial" w:hAnsi="Arial" w:cs="Arial"/>
              <w:sz w:val="21"/>
              <w:szCs w:val="21"/>
            </w:rPr>
          </w:pPr>
          <w:hyperlink w:anchor="bookmark7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2.3 </w:t>
            </w:r>
            <w:r>
              <w:rPr>
                <w:spacing w:val="-1"/>
                <w:sz w:val="21"/>
                <w:szCs w:val="21"/>
              </w:rPr>
              <w:t>我国预制菜行业格局分散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560"/>
            <w:rPr>
              <w:rFonts w:ascii="Arial" w:eastAsia="Arial" w:hAnsi="Arial" w:cs="Arial"/>
              <w:sz w:val="21"/>
              <w:szCs w:val="21"/>
            </w:rPr>
          </w:pPr>
          <w:hyperlink w:anchor="bookmark8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3.</w:t>
            </w:r>
            <w:r>
              <w:rPr>
                <w:spacing w:val="-1"/>
                <w:sz w:val="21"/>
                <w:szCs w:val="21"/>
              </w:rPr>
              <w:t>新产能稳步释放，成本下行释放利润弹性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980"/>
            <w:rPr>
              <w:rFonts w:ascii="Arial" w:eastAsia="Arial" w:hAnsi="Arial" w:cs="Arial"/>
              <w:sz w:val="21"/>
              <w:szCs w:val="21"/>
            </w:rPr>
          </w:pPr>
          <w:hyperlink w:anchor="bookmark9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3.1</w:t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突破产能瓶颈，新产能于</w:t>
            </w:r>
            <w:r>
              <w:rPr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 xml:space="preserve">23 </w:t>
            </w:r>
            <w:r>
              <w:rPr>
                <w:spacing w:val="-2"/>
                <w:sz w:val="21"/>
                <w:szCs w:val="21"/>
              </w:rPr>
              <w:t>年起逐步释放</w:t>
            </w:r>
            <w:r>
              <w:rPr>
                <w:spacing w:val="-5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2" w:line="186" w:lineRule="auto"/>
            <w:ind w:left="2980"/>
            <w:rPr>
              <w:rFonts w:ascii="Arial" w:eastAsia="Arial" w:hAnsi="Arial" w:cs="Arial"/>
              <w:sz w:val="21"/>
              <w:szCs w:val="21"/>
            </w:rPr>
          </w:pPr>
          <w:hyperlink w:anchor="bookmark10" w:history="1">
            <w:r>
              <w:rPr>
                <w:rFonts w:ascii="Arial" w:eastAsia="Arial" w:hAnsi="Arial" w:cs="Arial"/>
                <w:spacing w:val="-5"/>
                <w:sz w:val="21"/>
                <w:szCs w:val="21"/>
              </w:rPr>
              <w:t xml:space="preserve">3.2 </w:t>
            </w:r>
            <w:r>
              <w:rPr>
                <w:spacing w:val="-5"/>
                <w:sz w:val="21"/>
                <w:szCs w:val="21"/>
              </w:rPr>
              <w:t>原材料价格回落，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释放利润弹性</w:t>
            </w:r>
            <w:r>
              <w:rPr>
                <w:spacing w:val="-5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554"/>
            <w:rPr>
              <w:rFonts w:ascii="Arial" w:eastAsia="Arial" w:hAnsi="Arial" w:cs="Arial"/>
              <w:sz w:val="21"/>
              <w:szCs w:val="21"/>
            </w:rPr>
          </w:pPr>
          <w:hyperlink w:anchor="bookmark11" w:history="1">
            <w:r>
              <w:rPr>
                <w:rFonts w:ascii="Arial" w:eastAsia="Arial" w:hAnsi="Arial" w:cs="Arial"/>
                <w:sz w:val="21"/>
                <w:szCs w:val="21"/>
              </w:rPr>
              <w:t>4.</w:t>
            </w:r>
            <w:r>
              <w:rPr>
                <w:sz w:val="21"/>
                <w:szCs w:val="21"/>
              </w:rPr>
              <w:t>探索街边店新模式，加速商超、团餐、餐饮布局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12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 xml:space="preserve">4.1 </w:t>
            </w:r>
            <w:r>
              <w:rPr>
                <w:spacing w:val="-4"/>
                <w:sz w:val="21"/>
                <w:szCs w:val="21"/>
              </w:rPr>
              <w:t>核心双品牌定位清晰，</w:t>
            </w:r>
            <w:r>
              <w:rPr>
                <w:spacing w:val="-8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优质丰富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 xml:space="preserve">SKU </w:t>
            </w:r>
            <w:r>
              <w:rPr>
                <w:spacing w:val="-4"/>
                <w:sz w:val="21"/>
                <w:szCs w:val="21"/>
              </w:rPr>
              <w:t>满足多样化需求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2" w:line="198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13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4.2 </w:t>
            </w:r>
            <w:r>
              <w:rPr>
                <w:spacing w:val="-1"/>
                <w:sz w:val="21"/>
                <w:szCs w:val="21"/>
              </w:rPr>
              <w:t>构建多元渠道网络，加速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C </w:t>
            </w:r>
            <w:r>
              <w:rPr>
                <w:spacing w:val="-1"/>
                <w:sz w:val="21"/>
                <w:szCs w:val="21"/>
              </w:rPr>
              <w:t>端街边店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&amp;</w:t>
            </w:r>
            <w:r>
              <w:rPr>
                <w:spacing w:val="-1"/>
                <w:sz w:val="21"/>
                <w:szCs w:val="21"/>
              </w:rPr>
              <w:t>商超、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B </w:t>
            </w:r>
            <w:r>
              <w:rPr>
                <w:spacing w:val="-1"/>
                <w:sz w:val="21"/>
                <w:szCs w:val="21"/>
              </w:rPr>
              <w:t>端团餐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&amp;</w:t>
            </w:r>
            <w:r>
              <w:rPr>
                <w:spacing w:val="-1"/>
                <w:sz w:val="21"/>
                <w:szCs w:val="21"/>
              </w:rPr>
              <w:t>餐饮开发</w:t>
            </w:r>
            <w:r>
              <w:rPr>
                <w:spacing w:val="-4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86" w:line="186" w:lineRule="auto"/>
            <w:ind w:left="2560"/>
            <w:rPr>
              <w:rFonts w:ascii="Arial" w:eastAsia="Arial" w:hAnsi="Arial" w:cs="Arial"/>
              <w:sz w:val="21"/>
              <w:szCs w:val="21"/>
            </w:rPr>
          </w:pPr>
          <w:hyperlink w:anchor="bookmark14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5.</w:t>
            </w:r>
            <w:r>
              <w:rPr>
                <w:spacing w:val="-1"/>
                <w:sz w:val="21"/>
                <w:szCs w:val="21"/>
              </w:rPr>
              <w:t>盈利预测及投资建议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980"/>
            <w:rPr>
              <w:rFonts w:ascii="Arial" w:eastAsia="Arial" w:hAnsi="Arial" w:cs="Arial"/>
              <w:sz w:val="21"/>
              <w:szCs w:val="21"/>
            </w:rPr>
          </w:pPr>
          <w:hyperlink w:anchor="bookmark15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 xml:space="preserve">5.1 </w:t>
            </w:r>
            <w:r>
              <w:rPr>
                <w:spacing w:val="-2"/>
                <w:sz w:val="21"/>
                <w:szCs w:val="21"/>
              </w:rPr>
              <w:t>盈利预测</w:t>
            </w:r>
            <w:r>
              <w:rPr>
                <w:spacing w:val="-2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980"/>
            <w:rPr>
              <w:rFonts w:ascii="Arial" w:eastAsia="Arial" w:hAnsi="Arial" w:cs="Arial"/>
              <w:sz w:val="21"/>
              <w:szCs w:val="21"/>
            </w:rPr>
          </w:pPr>
          <w:hyperlink w:anchor="bookmark16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 xml:space="preserve">5.2 </w:t>
            </w:r>
            <w:r>
              <w:rPr>
                <w:spacing w:val="-1"/>
                <w:sz w:val="21"/>
                <w:szCs w:val="21"/>
              </w:rPr>
              <w:t>投资建议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2" w:line="223" w:lineRule="auto"/>
            <w:ind w:left="2559"/>
            <w:rPr>
              <w:rFonts w:ascii="Arial" w:eastAsia="Arial" w:hAnsi="Arial" w:cs="Arial"/>
              <w:sz w:val="21"/>
              <w:szCs w:val="21"/>
            </w:rPr>
          </w:pPr>
          <w:hyperlink w:anchor="bookmark17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6.</w:t>
            </w:r>
            <w:r>
              <w:rPr>
                <w:spacing w:val="-1"/>
                <w:sz w:val="21"/>
                <w:szCs w:val="21"/>
              </w:rPr>
              <w:t>风险提示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22</w:t>
            </w:r>
          </w:hyperlink>
        </w:p>
      </w:sdtContent>
    </w:sdt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84515926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4" w:lineRule="auto"/>
            <w:ind w:left="2602"/>
            <w:rPr>
              <w:sz w:val="31"/>
              <w:szCs w:val="31"/>
            </w:rPr>
          </w:pPr>
          <w:r>
            <w:rPr>
              <w:color w:val="0B4DA2"/>
              <w:spacing w:val="-4"/>
              <w:sz w:val="31"/>
              <w:szCs w:val="31"/>
            </w:rPr>
            <w:t>图表目录</w:t>
          </w:r>
        </w:p>
        <w:p>
          <w:pPr>
            <w:pStyle w:val="BodyText"/>
            <w:tabs>
              <w:tab w:val="right" w:leader="dot" w:pos="10197"/>
            </w:tabs>
            <w:spacing w:before="148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18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</w:t>
            </w:r>
            <w:r>
              <w:rPr>
                <w:spacing w:val="-4"/>
                <w:sz w:val="21"/>
                <w:szCs w:val="21"/>
              </w:rPr>
              <w:t>：公司实际控制人情况（截至</w:t>
            </w:r>
            <w:r>
              <w:rPr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23H1</w:t>
            </w:r>
            <w:r>
              <w:rPr>
                <w:spacing w:val="-4"/>
                <w:sz w:val="21"/>
                <w:szCs w:val="21"/>
              </w:rPr>
              <w:t>）</w:t>
            </w:r>
            <w:r>
              <w:rPr>
                <w:spacing w:val="-7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0"/>
                <w:w w:val="132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19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</w:t>
            </w:r>
            <w:r>
              <w:rPr>
                <w:spacing w:val="-3"/>
                <w:sz w:val="21"/>
                <w:szCs w:val="21"/>
              </w:rPr>
              <w:t>：公司营业总收入及增速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0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</w:t>
            </w:r>
            <w:r>
              <w:rPr>
                <w:spacing w:val="-3"/>
                <w:sz w:val="21"/>
                <w:szCs w:val="21"/>
              </w:rPr>
              <w:t>：公司归母净利润及增速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1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4</w:t>
            </w:r>
            <w:r>
              <w:rPr>
                <w:spacing w:val="-2"/>
                <w:sz w:val="21"/>
                <w:szCs w:val="21"/>
              </w:rPr>
              <w:t>：公司近三年分季度营业总收入及增速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2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5</w:t>
            </w:r>
            <w:r>
              <w:rPr>
                <w:spacing w:val="-2"/>
                <w:sz w:val="21"/>
                <w:szCs w:val="21"/>
              </w:rPr>
              <w:t>：公司近三年分季度归母净利润及增速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3" w:history="1">
            <w:r>
              <w:rPr>
                <w:spacing w:val="-7"/>
                <w:sz w:val="21"/>
                <w:szCs w:val="21"/>
              </w:rPr>
              <w:t>图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sz w:val="21"/>
                <w:szCs w:val="21"/>
              </w:rPr>
              <w:t>6</w:t>
            </w:r>
            <w:r>
              <w:rPr>
                <w:spacing w:val="-7"/>
                <w:sz w:val="21"/>
                <w:szCs w:val="21"/>
              </w:rPr>
              <w:t>：公司分产品收入情况（亿元）</w:t>
            </w:r>
            <w:r>
              <w:rPr>
                <w:spacing w:val="2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1" w:line="198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4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7</w:t>
            </w:r>
            <w:r>
              <w:rPr>
                <w:spacing w:val="-2"/>
                <w:sz w:val="21"/>
                <w:szCs w:val="21"/>
              </w:rPr>
              <w:t>：公司各产品收入占主营业务收入比重（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%</w:t>
            </w:r>
            <w:r>
              <w:rPr>
                <w:spacing w:val="-2"/>
                <w:sz w:val="21"/>
                <w:szCs w:val="21"/>
              </w:rPr>
              <w:t>）</w:t>
            </w:r>
            <w:r>
              <w:rPr>
                <w:spacing w:val="-6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86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5" w:history="1">
            <w:r>
              <w:rPr>
                <w:spacing w:val="-7"/>
                <w:sz w:val="21"/>
                <w:szCs w:val="21"/>
              </w:rPr>
              <w:t>图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sz w:val="21"/>
                <w:szCs w:val="21"/>
              </w:rPr>
              <w:t>8</w:t>
            </w:r>
            <w:r>
              <w:rPr>
                <w:spacing w:val="-7"/>
                <w:sz w:val="21"/>
                <w:szCs w:val="21"/>
              </w:rPr>
              <w:t>：公司分地区收入情况（亿元）</w:t>
            </w:r>
            <w:r>
              <w:rPr>
                <w:spacing w:val="2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1" w:line="198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6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9</w:t>
            </w:r>
            <w:r>
              <w:rPr>
                <w:spacing w:val="-2"/>
                <w:sz w:val="21"/>
                <w:szCs w:val="21"/>
              </w:rPr>
              <w:t>：公司各地区收入占主营业务收入比重（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%</w:t>
            </w:r>
            <w:r>
              <w:rPr>
                <w:spacing w:val="-2"/>
                <w:sz w:val="21"/>
                <w:szCs w:val="21"/>
              </w:rPr>
              <w:t>）</w:t>
            </w:r>
            <w:r>
              <w:rPr>
                <w:spacing w:val="-6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86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7" w:history="1">
            <w:r>
              <w:rPr>
                <w:spacing w:val="-7"/>
                <w:sz w:val="21"/>
                <w:szCs w:val="21"/>
              </w:rPr>
              <w:t>图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sz w:val="21"/>
                <w:szCs w:val="21"/>
              </w:rPr>
              <w:t>10</w:t>
            </w:r>
            <w:r>
              <w:rPr>
                <w:spacing w:val="-7"/>
                <w:sz w:val="21"/>
                <w:szCs w:val="21"/>
              </w:rPr>
              <w:t>：公司分渠道收入情况（亿元）</w:t>
            </w:r>
            <w:r>
              <w:rPr>
                <w:spacing w:val="2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2" w:line="198" w:lineRule="auto"/>
            <w:ind w:left="3005"/>
            <w:rPr>
              <w:rFonts w:ascii="Arial" w:eastAsia="Arial" w:hAnsi="Arial" w:cs="Arial"/>
              <w:sz w:val="21"/>
              <w:szCs w:val="21"/>
            </w:rPr>
            <w:sectPr>
              <w:headerReference w:type="default" r:id="rId14"/>
              <w:footerReference w:type="default" r:id="rId15"/>
              <w:pgSz w:w="11907" w:h="16839"/>
              <w:pgMar w:top="1320" w:right="1056" w:bottom="1625" w:left="568" w:header="573" w:footer="1219" w:gutter="0"/>
              <w:pgNumType w:start="7"/>
              <w:cols w:space="708"/>
            </w:sectPr>
          </w:pPr>
          <w:hyperlink w:anchor="bookmark28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11</w:t>
            </w:r>
            <w:r>
              <w:rPr>
                <w:spacing w:val="-3"/>
                <w:sz w:val="21"/>
                <w:szCs w:val="21"/>
              </w:rPr>
              <w:t>：公司分渠道收入占主营业务收入比重（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%</w:t>
            </w:r>
            <w:r>
              <w:rPr>
                <w:spacing w:val="-4"/>
                <w:sz w:val="21"/>
                <w:szCs w:val="21"/>
              </w:rPr>
              <w:t>）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136173073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197"/>
            </w:tabs>
            <w:spacing w:before="86" w:line="198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29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12</w:t>
            </w:r>
            <w:r>
              <w:rPr>
                <w:spacing w:val="-4"/>
                <w:sz w:val="21"/>
                <w:szCs w:val="21"/>
              </w:rPr>
              <w:t>：公司毛利率及净利率情况（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%</w:t>
            </w:r>
            <w:r>
              <w:rPr>
                <w:spacing w:val="-4"/>
                <w:sz w:val="21"/>
                <w:szCs w:val="21"/>
              </w:rPr>
              <w:t>）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88" w:line="198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0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13</w:t>
            </w:r>
            <w:r>
              <w:rPr>
                <w:spacing w:val="-4"/>
                <w:sz w:val="21"/>
                <w:szCs w:val="21"/>
              </w:rPr>
              <w:t>：公司期间费用率情况（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%</w:t>
            </w:r>
            <w:r>
              <w:rPr>
                <w:spacing w:val="-4"/>
                <w:sz w:val="21"/>
                <w:szCs w:val="21"/>
              </w:rPr>
              <w:t>）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86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1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14</w:t>
            </w:r>
            <w:r>
              <w:rPr>
                <w:spacing w:val="-4"/>
                <w:sz w:val="21"/>
                <w:szCs w:val="21"/>
              </w:rPr>
              <w:t>：我国预制菜行业市场规模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2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15</w:t>
            </w:r>
            <w:r>
              <w:rPr>
                <w:spacing w:val="-4"/>
                <w:sz w:val="21"/>
                <w:szCs w:val="21"/>
              </w:rPr>
              <w:t>：我国冷库总容量和冷藏车保有量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197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3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16</w:t>
            </w:r>
            <w:r>
              <w:rPr>
                <w:spacing w:val="-4"/>
                <w:sz w:val="21"/>
                <w:szCs w:val="21"/>
              </w:rPr>
              <w:t>：中国冷库总量有加速扩充趋势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4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17</w:t>
            </w:r>
            <w:r>
              <w:rPr>
                <w:spacing w:val="-3"/>
                <w:sz w:val="21"/>
                <w:szCs w:val="21"/>
              </w:rPr>
              <w:t>：我国城镇及农村居民人均可支配收入情况</w:t>
            </w:r>
            <w:r>
              <w:rPr>
                <w:spacing w:val="-5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5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18</w:t>
            </w:r>
            <w:r>
              <w:rPr>
                <w:spacing w:val="-4"/>
                <w:sz w:val="21"/>
                <w:szCs w:val="21"/>
              </w:rPr>
              <w:t>：我国居民人均食品烟酒消费支出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217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6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19</w:t>
            </w:r>
            <w:r>
              <w:rPr>
                <w:spacing w:val="-4"/>
                <w:sz w:val="21"/>
                <w:szCs w:val="21"/>
              </w:rPr>
              <w:t>：我国平均家庭规模变化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10</w:t>
            </w:r>
          </w:hyperlink>
        </w:p>
      </w:sdtContent>
    </w:sdt>
    <w:p>
      <w:pPr>
        <w:spacing w:line="217" w:lineRule="auto"/>
        <w:rPr>
          <w:rFonts w:ascii="Arial" w:eastAsia="Arial" w:hAnsi="Arial" w:cs="Arial"/>
          <w:sz w:val="21"/>
          <w:szCs w:val="21"/>
        </w:rPr>
        <w:sectPr>
          <w:headerReference w:type="default" r:id="rId16"/>
          <w:footerReference w:type="default" r:id="rId17"/>
          <w:type w:val="nextPage"/>
          <w:pgSz w:w="11907" w:h="16839"/>
          <w:pgMar w:top="1320" w:right="1056" w:bottom="1625" w:left="568" w:header="573" w:footer="1219" w:gutter="0"/>
          <w:pgNumType w:start="8"/>
          <w:cols w:space="708"/>
          <w:titlePg w:val="0"/>
        </w:sectPr>
      </w:pPr>
    </w:p>
    <w:p>
      <w:pPr>
        <w:spacing w:line="362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118578855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199"/>
            </w:tabs>
            <w:spacing w:before="68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7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20</w:t>
            </w:r>
            <w:r>
              <w:rPr>
                <w:spacing w:val="-2"/>
                <w:sz w:val="21"/>
                <w:szCs w:val="21"/>
              </w:rPr>
              <w:t>：我国人口年龄结构（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 xml:space="preserve">2020 </w:t>
            </w:r>
            <w:r>
              <w:rPr>
                <w:spacing w:val="-2"/>
                <w:sz w:val="21"/>
                <w:szCs w:val="21"/>
              </w:rPr>
              <w:t>年第七次人口普查）</w:t>
            </w:r>
            <w:r>
              <w:rPr>
                <w:spacing w:val="-5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8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  <w:r>
              <w:rPr>
                <w:spacing w:val="-3"/>
                <w:sz w:val="21"/>
                <w:szCs w:val="21"/>
              </w:rPr>
              <w:t>：我国餐饮行业收入及增速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39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22</w:t>
            </w:r>
            <w:r>
              <w:rPr>
                <w:spacing w:val="-2"/>
                <w:sz w:val="21"/>
                <w:szCs w:val="21"/>
              </w:rPr>
              <w:t>：我国连锁餐饮企业门店数量及增速</w:t>
            </w:r>
            <w:r>
              <w:rPr>
                <w:spacing w:val="-5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0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23</w:t>
            </w:r>
            <w:r>
              <w:rPr>
                <w:spacing w:val="-4"/>
                <w:sz w:val="21"/>
                <w:szCs w:val="21"/>
              </w:rPr>
              <w:t>：我国餐饮连锁化率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1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24</w:t>
            </w:r>
            <w:r>
              <w:rPr>
                <w:spacing w:val="-3"/>
                <w:sz w:val="21"/>
                <w:szCs w:val="21"/>
              </w:rPr>
              <w:t>：我国外卖餐饮市场规模及增速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2" w:history="1">
            <w:r>
              <w:rPr>
                <w:spacing w:val="-2"/>
                <w:sz w:val="21"/>
                <w:szCs w:val="21"/>
              </w:rPr>
              <w:t>图</w:t>
            </w:r>
            <w:r>
              <w:rPr>
                <w:spacing w:val="-46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25</w:t>
            </w:r>
            <w:r>
              <w:rPr>
                <w:spacing w:val="-2"/>
                <w:sz w:val="21"/>
                <w:szCs w:val="21"/>
              </w:rPr>
              <w:t>：公司设计产能、产量及产能利用率</w:t>
            </w:r>
            <w:r>
              <w:rPr>
                <w:spacing w:val="-5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3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26</w:t>
            </w:r>
            <w:r>
              <w:rPr>
                <w:spacing w:val="-4"/>
                <w:sz w:val="21"/>
                <w:szCs w:val="21"/>
              </w:rPr>
              <w:t>：直接材料占对应品类营业成本比重（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 xml:space="preserve">2022 </w:t>
            </w:r>
            <w:r>
              <w:rPr>
                <w:spacing w:val="-4"/>
                <w:sz w:val="21"/>
                <w:szCs w:val="21"/>
              </w:rPr>
              <w:t>年）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4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27</w:t>
            </w:r>
            <w:r>
              <w:rPr>
                <w:spacing w:val="-3"/>
                <w:sz w:val="21"/>
                <w:szCs w:val="21"/>
              </w:rPr>
              <w:t>：直接材料占公司主营业务成本、收入比重（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 xml:space="preserve">2022 </w:t>
            </w:r>
            <w:r>
              <w:rPr>
                <w:spacing w:val="-3"/>
                <w:sz w:val="21"/>
                <w:szCs w:val="21"/>
              </w:rPr>
              <w:t>年）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5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28</w:t>
            </w:r>
            <w:r>
              <w:rPr>
                <w:spacing w:val="-4"/>
                <w:sz w:val="21"/>
                <w:szCs w:val="21"/>
              </w:rPr>
              <w:t>：冻牛肉进口价格走势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6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29</w:t>
            </w:r>
            <w:r>
              <w:rPr>
                <w:spacing w:val="-4"/>
                <w:sz w:val="21"/>
                <w:szCs w:val="21"/>
              </w:rPr>
              <w:t>：白条鸡批发价格走势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7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30</w:t>
            </w:r>
            <w:r>
              <w:rPr>
                <w:spacing w:val="-4"/>
                <w:sz w:val="21"/>
                <w:szCs w:val="21"/>
              </w:rPr>
              <w:t>：猪肉批发价格走势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8" w:history="1">
            <w:r>
              <w:rPr>
                <w:spacing w:val="-5"/>
                <w:sz w:val="21"/>
                <w:szCs w:val="21"/>
              </w:rPr>
              <w:t>图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sz w:val="21"/>
                <w:szCs w:val="21"/>
              </w:rPr>
              <w:t>31</w:t>
            </w:r>
            <w:r>
              <w:rPr>
                <w:spacing w:val="-5"/>
                <w:sz w:val="21"/>
                <w:szCs w:val="21"/>
              </w:rPr>
              <w:t>：公司品牌矩阵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49" w:history="1">
            <w:r>
              <w:rPr>
                <w:spacing w:val="-4"/>
                <w:sz w:val="21"/>
                <w:szCs w:val="21"/>
              </w:rPr>
              <w:t>图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32</w:t>
            </w:r>
            <w:r>
              <w:rPr>
                <w:spacing w:val="-4"/>
                <w:sz w:val="21"/>
                <w:szCs w:val="21"/>
              </w:rPr>
              <w:t>：公司销售模式示意图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0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33</w:t>
            </w:r>
            <w:r>
              <w:rPr>
                <w:spacing w:val="-3"/>
                <w:sz w:val="21"/>
                <w:szCs w:val="21"/>
              </w:rPr>
              <w:t>：公司零售门店渠道收入情况</w:t>
            </w:r>
            <w:r>
              <w:rPr>
                <w:spacing w:val="-5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1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34</w:t>
            </w:r>
            <w:r>
              <w:rPr>
                <w:spacing w:val="-3"/>
                <w:sz w:val="21"/>
                <w:szCs w:val="21"/>
              </w:rPr>
              <w:t>：公司批发渠道收入情况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2" w:history="1">
            <w:r>
              <w:rPr>
                <w:spacing w:val="-5"/>
                <w:sz w:val="21"/>
                <w:szCs w:val="21"/>
              </w:rPr>
              <w:t>图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sz w:val="21"/>
                <w:szCs w:val="21"/>
              </w:rPr>
              <w:t>35</w:t>
            </w:r>
            <w:r>
              <w:rPr>
                <w:spacing w:val="-5"/>
                <w:sz w:val="21"/>
                <w:szCs w:val="21"/>
              </w:rPr>
              <w:t>：公司门店数量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3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36</w:t>
            </w:r>
            <w:r>
              <w:rPr>
                <w:spacing w:val="-3"/>
                <w:sz w:val="21"/>
                <w:szCs w:val="21"/>
              </w:rPr>
              <w:t>：公司门店单店收入情况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4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37</w:t>
            </w:r>
            <w:r>
              <w:rPr>
                <w:spacing w:val="-3"/>
                <w:sz w:val="21"/>
                <w:szCs w:val="21"/>
              </w:rPr>
              <w:t>：公司批发渠道经销商数量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5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38</w:t>
            </w:r>
            <w:r>
              <w:rPr>
                <w:spacing w:val="-3"/>
                <w:sz w:val="21"/>
                <w:szCs w:val="21"/>
              </w:rPr>
              <w:t>：公司单个经销商收入情况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218" w:lineRule="auto"/>
            <w:ind w:left="3005"/>
            <w:rPr>
              <w:rFonts w:ascii="Arial" w:eastAsia="Arial" w:hAnsi="Arial" w:cs="Arial"/>
              <w:sz w:val="21"/>
              <w:szCs w:val="21"/>
            </w:rPr>
          </w:pPr>
          <w:hyperlink w:anchor="bookmark56" w:history="1">
            <w:r>
              <w:rPr>
                <w:spacing w:val="-3"/>
                <w:sz w:val="21"/>
                <w:szCs w:val="21"/>
              </w:rPr>
              <w:t>图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39</w:t>
            </w:r>
            <w:r>
              <w:rPr>
                <w:spacing w:val="-3"/>
                <w:sz w:val="21"/>
                <w:szCs w:val="21"/>
              </w:rPr>
              <w:t>：公司直销及其他渠道收入情况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20</w:t>
            </w:r>
          </w:hyperlink>
        </w:p>
        <w:p>
          <w:pPr>
            <w:spacing w:line="42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197"/>
            </w:tabs>
            <w:spacing w:before="68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57" w:history="1">
            <w:r>
              <w:rPr>
                <w:spacing w:val="-3"/>
                <w:sz w:val="21"/>
                <w:szCs w:val="21"/>
              </w:rPr>
              <w:t>表</w:t>
            </w:r>
            <w:r>
              <w:rPr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1</w:t>
            </w:r>
            <w:r>
              <w:rPr>
                <w:spacing w:val="-3"/>
                <w:sz w:val="21"/>
                <w:szCs w:val="21"/>
              </w:rPr>
              <w:t>：公司发展历程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10"/>
                <w:w w:val="132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58" w:history="1"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2</w:t>
            </w:r>
            <w:r>
              <w:rPr>
                <w:spacing w:val="-1"/>
                <w:sz w:val="21"/>
                <w:szCs w:val="21"/>
              </w:rPr>
              <w:t>：预制菜行业竞争特点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59" w:history="1">
            <w:r>
              <w:rPr>
                <w:spacing w:val="-3"/>
                <w:sz w:val="21"/>
                <w:szCs w:val="21"/>
              </w:rPr>
              <w:t>表</w:t>
            </w:r>
            <w:r>
              <w:rPr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3</w:t>
            </w:r>
            <w:r>
              <w:rPr>
                <w:spacing w:val="-3"/>
                <w:sz w:val="21"/>
                <w:szCs w:val="21"/>
              </w:rPr>
              <w:t>：公司</w:t>
            </w:r>
            <w:r>
              <w:rPr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 xml:space="preserve">IPO </w:t>
            </w:r>
            <w:r>
              <w:rPr>
                <w:spacing w:val="-3"/>
                <w:sz w:val="21"/>
                <w:szCs w:val="21"/>
              </w:rPr>
              <w:t>募集资金投向情况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13</w:t>
            </w:r>
          </w:hyperlink>
        </w:p>
        <w:p>
          <w:pPr>
            <w:pStyle w:val="BodyText"/>
            <w:spacing w:before="100" w:line="186" w:lineRule="auto"/>
            <w:ind w:left="2974"/>
            <w:rPr>
              <w:sz w:val="21"/>
              <w:szCs w:val="21"/>
            </w:rPr>
          </w:pPr>
          <w:hyperlink w:anchor="bookmark60" w:history="1"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4</w:t>
            </w:r>
            <w:r>
              <w:rPr>
                <w:spacing w:val="-1"/>
                <w:sz w:val="21"/>
                <w:szCs w:val="21"/>
              </w:rPr>
              <w:t>：公司年产</w:t>
            </w:r>
            <w:r>
              <w:rPr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5</w:t>
            </w:r>
            <w:r>
              <w:rPr>
                <w:rFonts w:ascii="Arial" w:eastAsia="Arial" w:hAnsi="Arial" w:cs="Arial"/>
                <w:spacing w:val="30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千吨的食品用发酵菌液及年产</w:t>
            </w:r>
            <w:r>
              <w:rPr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5</w:t>
            </w:r>
            <w:r>
              <w:rPr>
                <w:rFonts w:ascii="Arial" w:eastAsia="Arial" w:hAnsi="Arial" w:cs="Arial"/>
                <w:spacing w:val="30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万吨发酵调理食品项目概况</w:t>
            </w:r>
          </w:hyperlink>
        </w:p>
        <w:p>
          <w:pPr>
            <w:tabs>
              <w:tab w:val="right" w:leader="dot" w:pos="10199"/>
            </w:tabs>
            <w:spacing w:before="128" w:line="152" w:lineRule="exact"/>
            <w:ind w:left="3022"/>
            <w:rPr>
              <w:rFonts w:ascii="Arial" w:eastAsia="Arial" w:hAnsi="Arial" w:cs="Arial"/>
              <w:sz w:val="21"/>
              <w:szCs w:val="21"/>
            </w:rPr>
          </w:pPr>
          <w:hyperlink w:anchor="bookmark61" w:history="1">
            <w:r>
              <w:rPr>
                <w:rFonts w:ascii="Arial" w:eastAsia="Arial" w:hAnsi="Arial" w:cs="Arial"/>
                <w:position w:val="-3"/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position w:val="-3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32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62" w:history="1"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5</w:t>
            </w:r>
            <w:r>
              <w:rPr>
                <w:spacing w:val="-1"/>
                <w:sz w:val="21"/>
                <w:szCs w:val="21"/>
              </w:rPr>
              <w:t>：公司部分代表性产品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63" w:history="1"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6</w:t>
            </w:r>
            <w:r>
              <w:rPr>
                <w:spacing w:val="-1"/>
                <w:sz w:val="21"/>
                <w:szCs w:val="21"/>
              </w:rPr>
              <w:t>：公司经销店模式和加盟店模式的主要差异及特征</w:t>
            </w:r>
            <w:r>
              <w:rPr>
                <w:spacing w:val="-48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19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0" w:line="186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64" w:history="1">
            <w:r>
              <w:rPr>
                <w:spacing w:val="-2"/>
                <w:sz w:val="21"/>
                <w:szCs w:val="21"/>
              </w:rPr>
              <w:t>表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7</w:t>
            </w:r>
            <w:r>
              <w:rPr>
                <w:spacing w:val="-2"/>
                <w:sz w:val="21"/>
                <w:szCs w:val="21"/>
              </w:rPr>
              <w:t>：味知香收入拆分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199"/>
            </w:tabs>
            <w:spacing w:before="101" w:line="221" w:lineRule="auto"/>
            <w:ind w:left="2974"/>
            <w:rPr>
              <w:rFonts w:ascii="Arial" w:eastAsia="Arial" w:hAnsi="Arial" w:cs="Arial"/>
              <w:sz w:val="21"/>
              <w:szCs w:val="21"/>
            </w:rPr>
          </w:pPr>
          <w:hyperlink w:anchor="bookmark65" w:history="1">
            <w:r>
              <w:rPr>
                <w:spacing w:val="-1"/>
                <w:sz w:val="21"/>
                <w:szCs w:val="21"/>
              </w:rPr>
              <w:t>表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8</w:t>
            </w:r>
            <w:r>
              <w:rPr>
                <w:spacing w:val="-1"/>
                <w:sz w:val="21"/>
                <w:szCs w:val="21"/>
              </w:rPr>
              <w:t>：可比公司估值</w:t>
            </w:r>
            <w:r>
              <w:rPr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pacing w:val="24"/>
                <w:sz w:val="21"/>
                <w:szCs w:val="21"/>
              </w:rPr>
              <w:t>22</w:t>
            </w:r>
          </w:hyperlink>
        </w:p>
      </w:sdtContent>
    </w:sdt>
    <w:p>
      <w:pPr>
        <w:spacing w:line="221" w:lineRule="auto"/>
        <w:rPr>
          <w:rFonts w:ascii="Arial" w:eastAsia="Arial" w:hAnsi="Arial" w:cs="Arial"/>
          <w:sz w:val="21"/>
          <w:szCs w:val="21"/>
        </w:rPr>
        <w:sectPr>
          <w:headerReference w:type="default" r:id="rId18"/>
          <w:footerReference w:type="default" r:id="rId19"/>
          <w:pgSz w:w="11907" w:h="16839"/>
          <w:pgMar w:top="1320" w:right="1056" w:bottom="1625" w:left="568" w:header="573" w:footer="1219" w:gutter="0"/>
          <w:pgNumType w:start="9"/>
          <w:cols w:space="708"/>
        </w:sectPr>
      </w:pPr>
    </w:p>
    <w:p>
      <w:pPr>
        <w:spacing w:line="441" w:lineRule="auto"/>
        <w:rPr>
          <w:rFonts w:ascii="Arial"/>
          <w:sz w:val="21"/>
        </w:rPr>
      </w:pPr>
      <w:r>
        <w:pict>
          <v:rect id="_x0000_s1033" style="width:382.75pt;height:1pt;margin-top:553.39pt;margin-left:156.02pt;mso-position-horizontal-relative:page;mso-position-vertical-relative:page;position:absolute;z-index:251660288" o:allowincell="f" filled="t" fillcolor="black" stroked="f"/>
        </w:pict>
      </w:r>
      <w:r>
        <w:pict>
          <v:rect id="_x0000_s1034" style="width:382.75pt;height:1pt;margin-top:703.3pt;margin-left:156.02pt;mso-position-horizontal-relative:page;mso-position-vertical-relative:page;position:absolute;z-index:251659264" o:allowincell="f" filled="t" fillcolor="black" stroked="f"/>
        </w:pict>
      </w:r>
    </w:p>
    <w:p>
      <w:pPr>
        <w:pStyle w:val="BodyText"/>
        <w:spacing w:before="97" w:line="214" w:lineRule="auto"/>
        <w:ind w:left="2575"/>
        <w:outlineLvl w:val="0"/>
        <w:rPr>
          <w:sz w:val="30"/>
          <w:szCs w:val="30"/>
        </w:rPr>
      </w:pPr>
      <w:bookmarkStart w:id="0" w:name="bookmark1"/>
      <w:bookmarkEnd w:id="0"/>
      <w:bookmarkStart w:id="1" w:name="bookmark2"/>
      <w:bookmarkEnd w:id="1"/>
      <w:r>
        <w:rPr>
          <w:rFonts w:ascii="Arial" w:eastAsia="Arial" w:hAnsi="Arial" w:cs="Arial"/>
          <w:b/>
          <w:bCs/>
          <w:color w:val="0B4DA2"/>
          <w:spacing w:val="-9"/>
          <w:sz w:val="30"/>
          <w:szCs w:val="30"/>
        </w:rPr>
        <w:t>1.</w:t>
      </w:r>
      <w:r>
        <w:rPr>
          <w:color w:val="0B4DA2"/>
          <w:spacing w:val="-9"/>
          <w:sz w:val="30"/>
          <w:szCs w:val="30"/>
          <w14:textOutline w14:w="5442">
            <w14:solidFill>
              <w14:srgbClr w14:val="0B4DA2"/>
            </w14:solidFill>
            <w14:prstDash w14:val="solid"/>
            <w14:miter w14:lim="10"/>
          </w14:textOutline>
        </w:rPr>
        <w:t>味知香：</w:t>
      </w:r>
      <w:r>
        <w:rPr>
          <w:color w:val="0B4DA2"/>
          <w:spacing w:val="-9"/>
          <w:sz w:val="30"/>
          <w:szCs w:val="30"/>
        </w:rPr>
        <w:t xml:space="preserve"> </w:t>
      </w:r>
      <w:r>
        <w:rPr>
          <w:color w:val="0B4DA2"/>
          <w:spacing w:val="-9"/>
          <w:sz w:val="30"/>
          <w:szCs w:val="30"/>
          <w14:textOutline w14:w="5442">
            <w14:solidFill>
              <w14:srgbClr w14:val="0B4DA2"/>
            </w14:solidFill>
            <w14:prstDash w14:val="solid"/>
            <w14:miter w14:lim="10"/>
          </w14:textOutline>
        </w:rPr>
        <w:t>立足长三角的预制菜行家</w:t>
      </w:r>
    </w:p>
    <w:p>
      <w:pPr>
        <w:pStyle w:val="BodyText"/>
        <w:spacing w:before="270" w:line="212" w:lineRule="auto"/>
        <w:ind w:left="2570"/>
        <w:outlineLvl w:val="1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2E74B5"/>
          <w:spacing w:val="-8"/>
          <w:sz w:val="24"/>
          <w:szCs w:val="24"/>
        </w:rPr>
        <w:t xml:space="preserve">1.1 </w:t>
      </w:r>
      <w:r>
        <w:rPr>
          <w:color w:val="2E74B5"/>
          <w:spacing w:val="-8"/>
          <w:sz w:val="24"/>
          <w:szCs w:val="24"/>
          <w14:textOutline w14:w="4354">
            <w14:solidFill>
              <w14:srgbClr w14:val="2E74B5"/>
            </w14:solidFill>
            <w14:prstDash w14:val="solid"/>
            <w14:miter w14:lim="10"/>
          </w14:textOutline>
        </w:rPr>
        <w:t>半成品菜资深企业，</w:t>
      </w:r>
      <w:r>
        <w:rPr>
          <w:color w:val="2E74B5"/>
          <w:spacing w:val="-8"/>
          <w:sz w:val="24"/>
          <w:szCs w:val="24"/>
        </w:rPr>
        <w:t xml:space="preserve"> </w:t>
      </w:r>
      <w:r>
        <w:rPr>
          <w:color w:val="2E74B5"/>
          <w:spacing w:val="-8"/>
          <w:sz w:val="24"/>
          <w:szCs w:val="24"/>
          <w14:textOutline w14:w="4354">
            <w14:solidFill>
              <w14:srgbClr w14:val="2E74B5"/>
            </w14:solidFill>
            <w14:prstDash w14:val="solid"/>
            <w14:miter w14:lim="10"/>
          </w14:textOutline>
        </w:rPr>
        <w:t>控制权稳定</w:t>
      </w:r>
    </w:p>
    <w:p>
      <w:pPr>
        <w:pStyle w:val="BodyText"/>
        <w:spacing w:before="169" w:line="267" w:lineRule="auto"/>
        <w:ind w:left="2562" w:right="216"/>
        <w:jc w:val="both"/>
        <w:rPr>
          <w:sz w:val="21"/>
          <w:szCs w:val="21"/>
        </w:rPr>
      </w:pP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味知香，立足长三角的预制菜行家。</w:t>
      </w:r>
      <w:r>
        <w:rPr>
          <w:spacing w:val="-6"/>
          <w:sz w:val="21"/>
          <w:szCs w:val="21"/>
        </w:rPr>
        <w:t>苏州市味知香食品股份有限公司成立于</w:t>
      </w:r>
      <w:r>
        <w:rPr>
          <w:spacing w:val="-36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 xml:space="preserve">2008 </w:t>
      </w:r>
      <w:r>
        <w:rPr>
          <w:spacing w:val="-6"/>
          <w:sz w:val="21"/>
          <w:szCs w:val="21"/>
        </w:rPr>
        <w:t>年，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并于</w:t>
      </w:r>
      <w:r>
        <w:rPr>
          <w:spacing w:val="-2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2021</w:t>
      </w:r>
      <w:r>
        <w:rPr>
          <w:rFonts w:ascii="Arial" w:eastAsia="Arial" w:hAnsi="Arial" w:cs="Arial"/>
          <w:spacing w:val="2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年在上交所上市。公司专注预制菜领域，拥有“</w:t>
      </w:r>
      <w:r>
        <w:rPr>
          <w:spacing w:val="-4"/>
          <w:sz w:val="21"/>
          <w:szCs w:val="21"/>
        </w:rPr>
        <w:t>味知香”“馔玉”两大核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心品牌，</w:t>
      </w:r>
      <w:r>
        <w:rPr>
          <w:rFonts w:ascii="Arial" w:eastAsia="Arial" w:hAnsi="Arial" w:cs="Arial"/>
          <w:spacing w:val="-7"/>
          <w:sz w:val="21"/>
          <w:szCs w:val="21"/>
        </w:rPr>
        <w:t>8</w:t>
      </w:r>
      <w:r>
        <w:rPr>
          <w:rFonts w:ascii="Arial" w:eastAsia="Arial" w:hAnsi="Arial" w:cs="Arial"/>
          <w:spacing w:val="42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大产品线，</w:t>
      </w:r>
      <w:r>
        <w:rPr>
          <w:spacing w:val="-2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7"/>
          <w:sz w:val="21"/>
          <w:szCs w:val="21"/>
        </w:rPr>
        <w:t>300</w:t>
      </w:r>
      <w:r>
        <w:rPr>
          <w:rFonts w:ascii="Arial" w:eastAsia="Arial" w:hAnsi="Arial" w:cs="Arial"/>
          <w:spacing w:val="25"/>
          <w:w w:val="10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余种产品，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致力于为各个家庭提供营养健康的美食方案，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为顾客提供健康、方便、美味的半成品菜产品。</w:t>
      </w:r>
      <w:r>
        <w:rPr>
          <w:spacing w:val="-4"/>
          <w:sz w:val="21"/>
          <w:szCs w:val="21"/>
        </w:rPr>
        <w:t>公司深耕江浙沪区域，构建了以农贸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市场为主的连锁加盟生态圈，</w:t>
      </w:r>
      <w:r>
        <w:rPr>
          <w:spacing w:val="-4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并逐渐向外围市场辐射。公司以其严格的质量管控、优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良的产品品质和持续的品牌建设，打造健康、美味的品牌</w:t>
      </w:r>
      <w:r>
        <w:rPr>
          <w:spacing w:val="-4"/>
          <w:sz w:val="21"/>
          <w:szCs w:val="21"/>
        </w:rPr>
        <w:t>形象，在市场上树立了良好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的口碑。</w:t>
      </w:r>
    </w:p>
    <w:p>
      <w:pPr>
        <w:pStyle w:val="BodyText"/>
        <w:spacing w:before="185" w:line="225" w:lineRule="auto"/>
        <w:ind w:left="223"/>
        <w:rPr>
          <w:sz w:val="19"/>
          <w:szCs w:val="19"/>
        </w:rPr>
      </w:pPr>
      <w:bookmarkStart w:id="2" w:name="bookmark57"/>
      <w:bookmarkEnd w:id="2"/>
      <w:r>
        <w:rPr>
          <w:color w:val="336FB4"/>
          <w:spacing w:val="7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表</w:t>
      </w:r>
      <w:r>
        <w:rPr>
          <w:color w:val="336FB4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7"/>
          <w:sz w:val="19"/>
          <w:szCs w:val="19"/>
        </w:rPr>
        <w:t>1</w:t>
      </w:r>
      <w:r>
        <w:rPr>
          <w:color w:val="336FB4"/>
          <w:spacing w:val="7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：公司发展历程</w:t>
      </w:r>
    </w:p>
    <w:p>
      <w:pPr>
        <w:spacing w:line="26" w:lineRule="exact"/>
      </w:pPr>
    </w:p>
    <w:tbl>
      <w:tblPr>
        <w:tblStyle w:val="TableNormal1"/>
        <w:tblW w:w="10369" w:type="dxa"/>
        <w:tblInd w:w="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94"/>
        <w:gridCol w:w="8075"/>
      </w:tblGrid>
      <w:tr>
        <w:tblPrEx>
          <w:tblW w:w="10369" w:type="dxa"/>
          <w:tblInd w:w="1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2294" w:type="dxa"/>
            <w:tcBorders>
              <w:top w:val="single" w:sz="6" w:space="0" w:color="000000"/>
            </w:tcBorders>
            <w:shd w:val="clear" w:color="auto" w:fill="0B4DA2"/>
            <w:vAlign w:val="top"/>
          </w:tcPr>
          <w:p>
            <w:pPr>
              <w:pStyle w:val="TableText"/>
              <w:spacing w:before="79" w:line="220" w:lineRule="auto"/>
              <w:ind w:left="1056"/>
              <w:rPr>
                <w:sz w:val="16"/>
                <w:szCs w:val="16"/>
              </w:rPr>
            </w:pPr>
            <w:r>
              <w:rPr>
                <w:color w:val="FFFFFF"/>
                <w:spacing w:val="-4"/>
                <w:sz w:val="16"/>
                <w:szCs w:val="16"/>
                <w14:textOutline w14:w="291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时间</w:t>
            </w:r>
          </w:p>
        </w:tc>
        <w:tc>
          <w:tcPr>
            <w:tcW w:w="8075" w:type="dxa"/>
            <w:tcBorders>
              <w:top w:val="single" w:sz="6" w:space="0" w:color="000000"/>
            </w:tcBorders>
            <w:shd w:val="clear" w:color="auto" w:fill="0B4DA2"/>
            <w:vAlign w:val="top"/>
          </w:tcPr>
          <w:p>
            <w:pPr>
              <w:pStyle w:val="TableText"/>
              <w:spacing w:before="79" w:line="218" w:lineRule="auto"/>
              <w:ind w:left="3727"/>
              <w:rPr>
                <w:sz w:val="16"/>
                <w:szCs w:val="16"/>
              </w:rPr>
            </w:pPr>
            <w:r>
              <w:rPr>
                <w:color w:val="FFFFFF"/>
                <w:spacing w:val="-2"/>
                <w:sz w:val="16"/>
                <w:szCs w:val="16"/>
                <w14:textOutline w14:w="291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重大事件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0"/>
        </w:trPr>
        <w:tc>
          <w:tcPr>
            <w:tcW w:w="2294" w:type="dxa"/>
            <w:vAlign w:val="top"/>
          </w:tcPr>
          <w:p>
            <w:pPr>
              <w:pStyle w:val="TableText"/>
              <w:spacing w:before="75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2021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5" w:line="220" w:lineRule="auto"/>
              <w:ind w:left="11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公司在</w:t>
            </w:r>
            <w:r>
              <w:rPr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A </w:t>
            </w:r>
            <w:r>
              <w:rPr>
                <w:spacing w:val="-1"/>
                <w:sz w:val="16"/>
                <w:szCs w:val="16"/>
              </w:rPr>
              <w:t>股主板上市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3"/>
        </w:trPr>
        <w:tc>
          <w:tcPr>
            <w:tcW w:w="2294" w:type="dxa"/>
            <w:vAlign w:val="top"/>
          </w:tcPr>
          <w:p>
            <w:pPr>
              <w:pStyle w:val="TableText"/>
              <w:spacing w:before="77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2020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7" w:line="218" w:lineRule="auto"/>
              <w:ind w:left="12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荣获中食冷优秀会员杰出贡献奖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2"/>
        </w:trPr>
        <w:tc>
          <w:tcPr>
            <w:tcW w:w="2294" w:type="dxa"/>
            <w:vAlign w:val="top"/>
          </w:tcPr>
          <w:p>
            <w:pPr>
              <w:pStyle w:val="TableText"/>
              <w:spacing w:before="76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2019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7" w:line="220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申报</w:t>
            </w:r>
            <w:r>
              <w:rPr>
                <w:spacing w:val="-2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IPO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1"/>
        </w:trPr>
        <w:tc>
          <w:tcPr>
            <w:tcW w:w="2294" w:type="dxa"/>
            <w:vAlign w:val="top"/>
          </w:tcPr>
          <w:p>
            <w:pPr>
              <w:pStyle w:val="TableText"/>
              <w:spacing w:before="76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2017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6" w:line="218" w:lineRule="auto"/>
              <w:ind w:left="12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荣获全国主食加工示范企业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3"/>
        </w:trPr>
        <w:tc>
          <w:tcPr>
            <w:tcW w:w="2294" w:type="dxa"/>
            <w:vAlign w:val="top"/>
          </w:tcPr>
          <w:p>
            <w:pPr>
              <w:pStyle w:val="TableText"/>
              <w:spacing w:before="77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2016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8" w:line="215" w:lineRule="auto"/>
              <w:ind w:left="12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荣获苏州市质量奖、中国连锁新锐奖、江苏省食品行业优秀品牌企业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2"/>
        </w:trPr>
        <w:tc>
          <w:tcPr>
            <w:tcW w:w="2294" w:type="dxa"/>
            <w:vAlign w:val="top"/>
          </w:tcPr>
          <w:p>
            <w:pPr>
              <w:pStyle w:val="TableText"/>
              <w:spacing w:before="76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2015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7" w:line="215" w:lineRule="auto"/>
              <w:ind w:left="11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打造</w:t>
            </w:r>
            <w:r>
              <w:rPr>
                <w:spacing w:val="-2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2.0 </w:t>
            </w:r>
            <w:r>
              <w:rPr>
                <w:spacing w:val="-2"/>
                <w:sz w:val="16"/>
                <w:szCs w:val="16"/>
              </w:rPr>
              <w:t>版本品牌旗舰店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1"/>
        </w:trPr>
        <w:tc>
          <w:tcPr>
            <w:tcW w:w="2294" w:type="dxa"/>
            <w:vAlign w:val="top"/>
          </w:tcPr>
          <w:p>
            <w:pPr>
              <w:pStyle w:val="TableText"/>
              <w:spacing w:before="76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2014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6" w:line="216" w:lineRule="auto"/>
              <w:ind w:left="1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荣获江苏省著名商标、长三角地区名优食品、苏</w:t>
            </w:r>
            <w:r>
              <w:rPr>
                <w:spacing w:val="-1"/>
                <w:sz w:val="16"/>
                <w:szCs w:val="16"/>
              </w:rPr>
              <w:t>州市知名商标、苏州市农业产业化龙头企业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2"/>
        </w:trPr>
        <w:tc>
          <w:tcPr>
            <w:tcW w:w="2294" w:type="dxa"/>
            <w:vAlign w:val="top"/>
          </w:tcPr>
          <w:p>
            <w:pPr>
              <w:pStyle w:val="TableText"/>
              <w:spacing w:before="77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2013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7" w:line="216" w:lineRule="auto"/>
              <w:ind w:left="1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导入卓越绩效管理体系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1"/>
        </w:trPr>
        <w:tc>
          <w:tcPr>
            <w:tcW w:w="2294" w:type="dxa"/>
            <w:vAlign w:val="top"/>
          </w:tcPr>
          <w:p>
            <w:pPr>
              <w:pStyle w:val="TableText"/>
              <w:spacing w:before="77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2012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8" w:line="215" w:lineRule="auto"/>
              <w:ind w:left="11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味知香速冻调制食品荣获苏州名牌产品证书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09"/>
        </w:trPr>
        <w:tc>
          <w:tcPr>
            <w:tcW w:w="2294" w:type="dxa"/>
            <w:vAlign w:val="top"/>
          </w:tcPr>
          <w:p>
            <w:pPr>
              <w:pStyle w:val="TableText"/>
              <w:spacing w:before="78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2011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78" w:line="218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建立江南大学教学科研实习基地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14"/>
        </w:trPr>
        <w:tc>
          <w:tcPr>
            <w:tcW w:w="2294" w:type="dxa"/>
            <w:vAlign w:val="top"/>
          </w:tcPr>
          <w:p>
            <w:pPr>
              <w:pStyle w:val="TableText"/>
              <w:spacing w:before="82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2010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vAlign w:val="top"/>
          </w:tcPr>
          <w:p>
            <w:pPr>
              <w:pStyle w:val="TableText"/>
              <w:spacing w:before="82" w:line="218" w:lineRule="auto"/>
              <w:ind w:left="12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荣获中国食品安全年会食品安全示范单位</w:t>
            </w:r>
          </w:p>
        </w:tc>
      </w:tr>
      <w:tr>
        <w:tblPrEx>
          <w:tblW w:w="10369" w:type="dxa"/>
          <w:tblInd w:w="115" w:type="dxa"/>
          <w:tblLayout w:type="fixed"/>
        </w:tblPrEx>
        <w:trPr>
          <w:trHeight w:val="321"/>
        </w:trPr>
        <w:tc>
          <w:tcPr>
            <w:tcW w:w="229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0" w:line="218" w:lineRule="auto"/>
              <w:ind w:left="926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2008 </w:t>
            </w:r>
            <w:r>
              <w:rPr>
                <w:spacing w:val="-1"/>
                <w:sz w:val="16"/>
                <w:szCs w:val="16"/>
              </w:rPr>
              <w:t>年</w:t>
            </w:r>
          </w:p>
        </w:tc>
        <w:tc>
          <w:tcPr>
            <w:tcW w:w="807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2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苏州市味知香公司成立</w:t>
            </w:r>
          </w:p>
        </w:tc>
      </w:tr>
    </w:tbl>
    <w:p>
      <w:pPr>
        <w:pStyle w:val="BodyText"/>
        <w:spacing w:before="87" w:line="228" w:lineRule="auto"/>
        <w:ind w:left="232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资料来源：公司官网、国元证券研究所整理</w:t>
      </w:r>
    </w:p>
    <w:p>
      <w:pPr>
        <w:pStyle w:val="BodyText"/>
        <w:spacing w:before="236" w:line="244" w:lineRule="auto"/>
        <w:ind w:left="2553" w:right="273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公司控制权稳定。</w:t>
      </w:r>
      <w:r>
        <w:rPr>
          <w:spacing w:val="-2"/>
          <w:sz w:val="21"/>
          <w:szCs w:val="21"/>
        </w:rPr>
        <w:t>公司实际控制人为董事长、总经理夏靖先生，截至</w:t>
      </w:r>
      <w:r>
        <w:rPr>
          <w:spacing w:val="-3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23H1</w:t>
      </w:r>
      <w:r>
        <w:rPr>
          <w:rFonts w:ascii="Arial" w:eastAsia="Arial" w:hAnsi="Arial" w:cs="Arial"/>
          <w:spacing w:val="-3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，通过直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接和间接方式合计控制公司</w:t>
      </w:r>
      <w:r>
        <w:rPr>
          <w:spacing w:val="-4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62.25%</w:t>
      </w:r>
      <w:r>
        <w:rPr>
          <w:spacing w:val="-3"/>
          <w:sz w:val="21"/>
          <w:szCs w:val="21"/>
        </w:rPr>
        <w:t>的股权，无股权质押，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控制权稳定。</w:t>
      </w:r>
    </w:p>
    <w:p>
      <w:pPr>
        <w:pStyle w:val="BodyText"/>
        <w:spacing w:before="192" w:line="224" w:lineRule="auto"/>
        <w:ind w:left="2583"/>
        <w:rPr>
          <w:sz w:val="19"/>
          <w:szCs w:val="19"/>
        </w:rPr>
      </w:pPr>
      <w:bookmarkStart w:id="3" w:name="bookmark18"/>
      <w:bookmarkEnd w:id="3"/>
      <w:r>
        <w:rPr>
          <w:color w:val="336FB4"/>
          <w:spacing w:val="5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图</w:t>
      </w:r>
      <w:r>
        <w:rPr>
          <w:color w:val="336FB4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5"/>
          <w:sz w:val="19"/>
          <w:szCs w:val="19"/>
        </w:rPr>
        <w:t>1</w:t>
      </w:r>
      <w:r>
        <w:rPr>
          <w:color w:val="336FB4"/>
          <w:spacing w:val="5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：公司实际控制人情况（截至</w:t>
      </w:r>
      <w:r>
        <w:rPr>
          <w:color w:val="336FB4"/>
          <w:spacing w:val="-3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5"/>
          <w:sz w:val="19"/>
          <w:szCs w:val="19"/>
        </w:rPr>
        <w:t>23H1</w:t>
      </w:r>
      <w:r>
        <w:rPr>
          <w:color w:val="336FB4"/>
          <w:spacing w:val="5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）</w:t>
      </w:r>
    </w:p>
    <w:p>
      <w:pPr>
        <w:spacing w:line="312" w:lineRule="auto"/>
        <w:rPr>
          <w:rFonts w:ascii="Arial"/>
          <w:sz w:val="21"/>
        </w:rPr>
        <w:sectPr>
          <w:headerReference w:type="default" r:id="rId20"/>
          <w:footerReference w:type="default" r:id="rId21"/>
          <w:pgSz w:w="11907" w:h="16839"/>
          <w:pgMar w:top="1320" w:right="852" w:bottom="1625" w:left="568" w:header="573" w:footer="1219" w:gutter="0"/>
          <w:pgNumType w:start="10"/>
          <w:cols w:space="708"/>
        </w:sectPr>
      </w:pPr>
    </w:p>
    <w:p>
      <w:pPr>
        <w:spacing w:before="1" w:line="2450" w:lineRule="exact"/>
        <w:ind w:firstLine="3722"/>
      </w:pPr>
      <w:r>
        <w:rPr>
          <w:position w:val="-49"/>
        </w:rPr>
        <w:drawing>
          <wp:inline distT="0" distB="0" distL="0" distR="0">
            <wp:extent cx="3092276" cy="155575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92276" cy="1555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42" w:line="230" w:lineRule="auto"/>
        <w:ind w:left="2558"/>
        <w:rPr>
          <w:sz w:val="13"/>
          <w:szCs w:val="13"/>
        </w:rPr>
      </w:pPr>
      <w:r>
        <w:rPr>
          <w:color w:val="4D4D4F"/>
          <w:spacing w:val="5"/>
          <w:sz w:val="13"/>
          <w:szCs w:val="13"/>
        </w:rPr>
        <w:t>来源：</w:t>
      </w:r>
      <w:r>
        <w:rPr>
          <w:color w:val="4D4D4F"/>
          <w:spacing w:val="5"/>
          <w:sz w:val="13"/>
          <w:szCs w:val="13"/>
        </w:rPr>
        <w:t xml:space="preserve"> </w:t>
      </w:r>
      <w:r>
        <w:rPr>
          <w:color w:val="4D4D4F"/>
          <w:spacing w:val="5"/>
          <w:sz w:val="13"/>
          <w:szCs w:val="13"/>
        </w:rPr>
        <w:t>公司公告、国元证券研究所整理</w:t>
      </w:r>
    </w:p>
    <w:p>
      <w:pPr>
        <w:spacing w:line="230" w:lineRule="auto"/>
        <w:rPr>
          <w:sz w:val="13"/>
          <w:szCs w:val="13"/>
        </w:rPr>
        <w:sectPr>
          <w:headerReference w:type="default" r:id="rId23"/>
          <w:footerReference w:type="default" r:id="rId24"/>
          <w:type w:val="nextPage"/>
          <w:pgSz w:w="11907" w:h="16839"/>
          <w:pgMar w:top="1320" w:right="852" w:bottom="1625" w:left="568" w:header="573" w:footer="1219" w:gutter="0"/>
          <w:pgNumType w:start="11"/>
          <w:cols w:space="708"/>
          <w:titlePg w:val="0"/>
        </w:sectPr>
      </w:pPr>
    </w:p>
    <w:p>
      <w:pPr>
        <w:spacing w:line="336" w:lineRule="auto"/>
        <w:rPr>
          <w:rFonts w:ascii="Arial"/>
          <w:sz w:val="21"/>
        </w:rPr>
      </w:pPr>
      <w:r>
        <w:pict>
          <v:shape id="_x0000_s1035" style="width:510.35pt;height:1pt;margin-top:268.73pt;margin-left:28.32pt;mso-position-horizontal-relative:page;mso-position-vertical-relative:page;position:absolute;z-index:251664384" coordorigin="0,0" coordsize="10207,20" o:allowincell="f" path="m,19l4978,19l4978,l,l,19xem4978,19l4997,19l4997,l4978,l4978,19xem4997,19l5228,19l5228,l4997,l4997,19xem5228,19l5247,19l5247,l5228,l5228,19xem5247,19l10206,19l10206,l5247,l5247,19xe" filled="t" fillcolor="black" stroked="f"/>
        </w:pict>
      </w:r>
      <w:r>
        <w:pict>
          <v:shape id="_x0000_s1036" style="width:510.35pt;height:1pt;margin-top:431.69pt;margin-left:28.32pt;mso-position-horizontal-relative:page;mso-position-vertical-relative:page;position:absolute;z-index:251661312" coordorigin="0,0" coordsize="10207,20" o:allowincell="f" path="m,19l4978,19l4978,l,l,19xem4978,19l4997,19l4997,l4978,l4978,19xem4997,19l5228,19l5228,l4997,l4997,19xem5228,19l5247,19l5247,l5228,l5228,19xem5247,19l10206,19l10206,l5247,l5247,19xe" filled="t" fillcolor="black" stroked="f"/>
        </w:pict>
      </w:r>
      <w:r>
        <w:pict>
          <v:shape id="_x0000_s1037" style="width:510.35pt;height:1pt;margin-top:491.47pt;margin-left:28.32pt;mso-position-horizontal-relative:page;mso-position-vertical-relative:page;position:absolute;z-index:251662336" coordorigin="0,0" coordsize="10207,20" o:allowincell="f" path="m,19l4978,19l4978,l,l,19xem4978,19l4997,19l4997,l4978,l4978,19xem4997,19l5228,19l5228,l4997,l4997,19xem5228,19l5247,19l5247,l5228,l5228,19xem5247,19l10206,19l10206,l5247,l5247,19xe" filled="t" fillcolor="black" stroked="f"/>
        </w:pict>
      </w:r>
      <w:r>
        <w:pict>
          <v:shape id="_x0000_s1038" style="width:510.35pt;height:1pt;margin-top:661.06pt;margin-left:28.32pt;mso-position-horizontal-relative:page;mso-position-vertical-relative:page;position:absolute;z-index:251663360" coordorigin="0,0" coordsize="10207,20" o:allowincell="f" path="m,19l4978,19l4978,l,l,19xem4978,19l4997,19l4997,l4978,l4978,19xem4997,19l5228,19l5228,l4997,l4997,19xem5228,19l5247,19l5247,l5228,l5228,19xem5247,19l10206,19l10206,l5247,l5247,19xe" filled="t" fillcolor="black" stroked="f"/>
        </w:pict>
      </w:r>
    </w:p>
    <w:p>
      <w:pPr>
        <w:pStyle w:val="BodyText"/>
        <w:spacing w:before="78" w:line="212" w:lineRule="auto"/>
        <w:ind w:left="2977"/>
        <w:outlineLvl w:val="1"/>
        <w:rPr>
          <w:sz w:val="24"/>
          <w:szCs w:val="24"/>
        </w:rPr>
      </w:pPr>
      <w:bookmarkStart w:id="4" w:name="bookmark3"/>
      <w:bookmarkEnd w:id="4"/>
      <w:r>
        <w:rPr>
          <w:rFonts w:ascii="Arial" w:eastAsia="Arial" w:hAnsi="Arial" w:cs="Arial"/>
          <w:b/>
          <w:bCs/>
          <w:color w:val="2E74B5"/>
          <w:spacing w:val="-8"/>
          <w:sz w:val="24"/>
          <w:szCs w:val="24"/>
        </w:rPr>
        <w:t xml:space="preserve">1.2 </w:t>
      </w:r>
      <w:r>
        <w:rPr>
          <w:color w:val="2E74B5"/>
          <w:spacing w:val="-8"/>
          <w:sz w:val="24"/>
          <w:szCs w:val="24"/>
          <w14:textOutline w14:w="4354">
            <w14:solidFill>
              <w14:srgbClr w14:val="2E74B5"/>
            </w14:solidFill>
            <w14:prstDash w14:val="solid"/>
            <w14:miter w14:lim="10"/>
          </w14:textOutline>
        </w:rPr>
        <w:t>收入业绩暂时承压，</w:t>
      </w:r>
      <w:r>
        <w:rPr>
          <w:color w:val="2E74B5"/>
          <w:spacing w:val="21"/>
          <w:sz w:val="24"/>
          <w:szCs w:val="24"/>
        </w:rPr>
        <w:t xml:space="preserve"> </w:t>
      </w:r>
      <w:r>
        <w:rPr>
          <w:color w:val="2E74B5"/>
          <w:spacing w:val="-8"/>
          <w:sz w:val="24"/>
          <w:szCs w:val="24"/>
          <w14:textOutline w14:w="4354">
            <w14:solidFill>
              <w14:srgbClr w14:val="2E74B5"/>
            </w14:solidFill>
            <w14:prstDash w14:val="solid"/>
            <w14:miter w14:lim="10"/>
          </w14:textOutline>
        </w:rPr>
        <w:t>成本压力缓解</w:t>
      </w:r>
    </w:p>
    <w:p>
      <w:pPr>
        <w:pStyle w:val="BodyText"/>
        <w:spacing w:before="173" w:line="213" w:lineRule="auto"/>
        <w:ind w:left="2959"/>
        <w:rPr>
          <w:sz w:val="21"/>
          <w:szCs w:val="21"/>
        </w:rPr>
      </w:pP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</w:t>
      </w:r>
      <w:r>
        <w:rPr>
          <w:spacing w:val="-3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1"/>
          <w:szCs w:val="21"/>
        </w:rPr>
        <w:t xml:space="preserve">18-22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年稳健成长，</w:t>
      </w:r>
      <w:r>
        <w:rPr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1"/>
          <w:szCs w:val="21"/>
        </w:rPr>
        <w:t xml:space="preserve">23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年收入、业绩暂时承压。</w:t>
      </w:r>
      <w:r>
        <w:rPr>
          <w:rFonts w:ascii="Arial" w:eastAsia="Arial" w:hAnsi="Arial" w:cs="Arial"/>
          <w:spacing w:val="-7"/>
          <w:sz w:val="21"/>
          <w:szCs w:val="21"/>
        </w:rPr>
        <w:t xml:space="preserve">18-21 </w:t>
      </w:r>
      <w:r>
        <w:rPr>
          <w:spacing w:val="-7"/>
          <w:sz w:val="21"/>
          <w:szCs w:val="21"/>
        </w:rPr>
        <w:t>年，公司</w:t>
      </w:r>
      <w:r>
        <w:rPr>
          <w:spacing w:val="-8"/>
          <w:sz w:val="21"/>
          <w:szCs w:val="21"/>
        </w:rPr>
        <w:t>收入快速增长，</w:t>
      </w:r>
    </w:p>
    <w:p>
      <w:pPr>
        <w:pStyle w:val="BodyText"/>
        <w:spacing w:before="69" w:line="267" w:lineRule="auto"/>
        <w:ind w:left="2964" w:firstLine="16"/>
        <w:rPr>
          <w:sz w:val="21"/>
          <w:szCs w:val="21"/>
        </w:rPr>
      </w:pPr>
      <w:r>
        <w:rPr>
          <w:spacing w:val="-5"/>
          <w:sz w:val="21"/>
          <w:szCs w:val="21"/>
        </w:rPr>
        <w:t>营业总收入</w:t>
      </w:r>
      <w:r>
        <w:rPr>
          <w:spacing w:val="-3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CAGR</w:t>
      </w:r>
      <w:r>
        <w:rPr>
          <w:rFonts w:ascii="Arial" w:eastAsia="Arial" w:hAnsi="Arial" w:cs="Arial"/>
          <w:spacing w:val="2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为</w:t>
      </w:r>
      <w:r>
        <w:rPr>
          <w:spacing w:val="-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17.97%</w:t>
      </w:r>
      <w:r>
        <w:rPr>
          <w:spacing w:val="-5"/>
          <w:sz w:val="21"/>
          <w:szCs w:val="21"/>
        </w:rPr>
        <w:t>，</w:t>
      </w:r>
      <w:r>
        <w:rPr>
          <w:rFonts w:ascii="Arial" w:eastAsia="Arial" w:hAnsi="Arial" w:cs="Arial"/>
          <w:spacing w:val="-5"/>
          <w:sz w:val="21"/>
          <w:szCs w:val="21"/>
        </w:rPr>
        <w:t>1</w:t>
      </w:r>
      <w:r>
        <w:rPr>
          <w:rFonts w:ascii="Arial" w:eastAsia="Arial" w:hAnsi="Arial" w:cs="Arial"/>
          <w:spacing w:val="-6"/>
          <w:sz w:val="21"/>
          <w:szCs w:val="21"/>
        </w:rPr>
        <w:t xml:space="preserve">8-20 </w:t>
      </w:r>
      <w:r>
        <w:rPr>
          <w:spacing w:val="-6"/>
          <w:sz w:val="21"/>
          <w:szCs w:val="21"/>
        </w:rPr>
        <w:t>年，</w:t>
      </w:r>
      <w:r>
        <w:rPr>
          <w:spacing w:val="-3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公司业绩与收入保持同步增长，</w:t>
      </w:r>
      <w:r>
        <w:rPr>
          <w:spacing w:val="-26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21</w:t>
      </w:r>
      <w:r>
        <w:rPr>
          <w:rFonts w:ascii="Arial" w:eastAsia="Arial" w:hAnsi="Arial" w:cs="Arial"/>
          <w:spacing w:val="1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年因</w:t>
      </w:r>
      <w:r>
        <w:rPr>
          <w:spacing w:val="-6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原材料价格大幅上涨、上市致期间费用增加等因素影响，归母净利增速低于</w:t>
      </w:r>
      <w:r>
        <w:rPr>
          <w:spacing w:val="-5"/>
          <w:sz w:val="21"/>
          <w:szCs w:val="21"/>
        </w:rPr>
        <w:t>收入增速；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22</w:t>
      </w:r>
      <w:r>
        <w:rPr>
          <w:rFonts w:ascii="Arial" w:eastAsia="Arial" w:hAnsi="Arial" w:cs="Arial"/>
          <w:spacing w:val="3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年华东地区消费场景受损严重叠加原材料价格高位影响，公司总营收、归母净利</w:t>
      </w:r>
      <w:r>
        <w:rPr>
          <w:spacing w:val="-1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均个位数增长，分别为</w:t>
      </w:r>
      <w:r>
        <w:rPr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7.98 </w:t>
      </w:r>
      <w:r>
        <w:rPr>
          <w:spacing w:val="-4"/>
          <w:sz w:val="21"/>
          <w:szCs w:val="21"/>
        </w:rPr>
        <w:t>亿元、</w:t>
      </w:r>
      <w:r>
        <w:rPr>
          <w:rFonts w:ascii="Arial" w:eastAsia="Arial" w:hAnsi="Arial" w:cs="Arial"/>
          <w:spacing w:val="-4"/>
          <w:sz w:val="21"/>
          <w:szCs w:val="21"/>
        </w:rPr>
        <w:t xml:space="preserve">1.43 </w:t>
      </w:r>
      <w:r>
        <w:rPr>
          <w:spacing w:val="-4"/>
          <w:sz w:val="21"/>
          <w:szCs w:val="21"/>
        </w:rPr>
        <w:t>亿元，对应增速</w:t>
      </w:r>
      <w:r>
        <w:rPr>
          <w:spacing w:val="-5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>4.40%</w:t>
      </w:r>
      <w:r>
        <w:rPr>
          <w:spacing w:val="-4"/>
          <w:sz w:val="21"/>
          <w:szCs w:val="21"/>
        </w:rPr>
        <w:t>、</w:t>
      </w:r>
      <w:r>
        <w:rPr>
          <w:rFonts w:ascii="Arial" w:eastAsia="Arial" w:hAnsi="Arial" w:cs="Arial"/>
          <w:spacing w:val="-4"/>
          <w:sz w:val="21"/>
          <w:szCs w:val="21"/>
        </w:rPr>
        <w:t>7.95%</w:t>
      </w:r>
      <w:r>
        <w:rPr>
          <w:spacing w:val="-5"/>
          <w:sz w:val="21"/>
          <w:szCs w:val="21"/>
        </w:rPr>
        <w:t>。进入</w:t>
      </w:r>
      <w:r>
        <w:rPr>
          <w:spacing w:val="-4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 xml:space="preserve">23 </w:t>
      </w:r>
      <w:r>
        <w:rPr>
          <w:spacing w:val="-5"/>
          <w:sz w:val="21"/>
          <w:szCs w:val="21"/>
        </w:rPr>
        <w:t>年</w:t>
      </w:r>
      <w:r>
        <w:rPr>
          <w:spacing w:val="-5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以来，受餐饮场景放开后家庭烹饪频次降低</w:t>
      </w:r>
      <w:r>
        <w:rPr>
          <w:spacing w:val="-4"/>
          <w:sz w:val="21"/>
          <w:szCs w:val="21"/>
        </w:rPr>
        <w:t>、消费复苏低于预期、消费信心低迷等因</w:t>
      </w:r>
      <w:r>
        <w:rPr>
          <w:spacing w:val="-4"/>
          <w:sz w:val="21"/>
          <w:szCs w:val="21"/>
        </w:rPr>
        <w:t xml:space="preserve">  </w:t>
      </w:r>
      <w:r>
        <w:rPr>
          <w:sz w:val="21"/>
          <w:szCs w:val="21"/>
        </w:rPr>
        <w:t>素影响，公司收入业绩暂时承压，</w:t>
      </w:r>
      <w:r>
        <w:rPr>
          <w:rFonts w:ascii="Arial" w:eastAsia="Arial" w:hAnsi="Arial" w:cs="Arial"/>
          <w:sz w:val="21"/>
          <w:szCs w:val="21"/>
        </w:rPr>
        <w:t>23Q1-3</w:t>
      </w:r>
      <w:r>
        <w:rPr>
          <w:sz w:val="21"/>
          <w:szCs w:val="21"/>
        </w:rPr>
        <w:t>，公司实现总营收</w:t>
      </w:r>
      <w:r>
        <w:rPr>
          <w:spacing w:val="-21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6</w:t>
      </w:r>
      <w:r>
        <w:rPr>
          <w:rFonts w:ascii="Arial" w:eastAsia="Arial" w:hAnsi="Arial" w:cs="Arial"/>
          <w:spacing w:val="-1"/>
          <w:sz w:val="21"/>
          <w:szCs w:val="21"/>
        </w:rPr>
        <w:t>.19</w:t>
      </w:r>
      <w:r>
        <w:rPr>
          <w:rFonts w:ascii="Arial" w:eastAsia="Arial" w:hAnsi="Arial" w:cs="Arial"/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亿元（</w:t>
      </w:r>
      <w:r>
        <w:rPr>
          <w:rFonts w:ascii="Arial" w:eastAsia="Arial" w:hAnsi="Arial" w:cs="Arial"/>
          <w:spacing w:val="-1"/>
          <w:sz w:val="21"/>
          <w:szCs w:val="21"/>
        </w:rPr>
        <w:t>+1.92%</w:t>
      </w:r>
      <w:r>
        <w:rPr>
          <w:spacing w:val="-37"/>
          <w:sz w:val="21"/>
          <w:szCs w:val="21"/>
        </w:rPr>
        <w:t>），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实现归母净利</w:t>
      </w:r>
      <w:r>
        <w:rPr>
          <w:spacing w:val="-29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 xml:space="preserve">1.07 </w:t>
      </w:r>
      <w:r>
        <w:rPr>
          <w:spacing w:val="-5"/>
          <w:sz w:val="21"/>
          <w:szCs w:val="21"/>
        </w:rPr>
        <w:t>亿元（</w:t>
      </w:r>
      <w:r>
        <w:rPr>
          <w:rFonts w:ascii="Arial" w:eastAsia="Arial" w:hAnsi="Arial" w:cs="Arial"/>
          <w:spacing w:val="-5"/>
          <w:sz w:val="21"/>
          <w:szCs w:val="21"/>
        </w:rPr>
        <w:t>-2.90%</w:t>
      </w:r>
      <w:r>
        <w:rPr>
          <w:spacing w:val="-5"/>
          <w:sz w:val="21"/>
          <w:szCs w:val="21"/>
        </w:rPr>
        <w:t>）。分季度看，</w:t>
      </w:r>
      <w:r>
        <w:rPr>
          <w:rFonts w:ascii="Arial" w:eastAsia="Arial" w:hAnsi="Arial" w:cs="Arial"/>
          <w:spacing w:val="-5"/>
          <w:sz w:val="21"/>
          <w:szCs w:val="21"/>
        </w:rPr>
        <w:t xml:space="preserve">23Q3 </w:t>
      </w:r>
      <w:r>
        <w:rPr>
          <w:spacing w:val="-5"/>
          <w:sz w:val="21"/>
          <w:szCs w:val="21"/>
        </w:rPr>
        <w:t>承压较严重，总营收、归母净</w:t>
      </w:r>
      <w:r>
        <w:rPr>
          <w:spacing w:val="-6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利分别同比</w:t>
      </w:r>
      <w:r>
        <w:rPr>
          <w:rFonts w:ascii="Arial" w:eastAsia="Arial" w:hAnsi="Arial" w:cs="Arial"/>
          <w:spacing w:val="-1"/>
          <w:sz w:val="21"/>
          <w:szCs w:val="21"/>
        </w:rPr>
        <w:t>-11.89%</w:t>
      </w:r>
      <w:r>
        <w:rPr>
          <w:spacing w:val="-1"/>
          <w:sz w:val="21"/>
          <w:szCs w:val="21"/>
        </w:rPr>
        <w:t>、</w:t>
      </w:r>
      <w:r>
        <w:rPr>
          <w:rFonts w:ascii="Arial" w:eastAsia="Arial" w:hAnsi="Arial" w:cs="Arial"/>
          <w:spacing w:val="-1"/>
          <w:sz w:val="21"/>
          <w:szCs w:val="21"/>
        </w:rPr>
        <w:t>-18.76%</w:t>
      </w:r>
      <w:r>
        <w:rPr>
          <w:spacing w:val="-1"/>
          <w:sz w:val="21"/>
          <w:szCs w:val="21"/>
        </w:rPr>
        <w:t>。</w:t>
      </w:r>
    </w:p>
    <w:p>
      <w:pPr>
        <w:pStyle w:val="BodyText"/>
        <w:spacing w:before="188" w:line="228" w:lineRule="auto"/>
        <w:ind w:left="436"/>
        <w:rPr>
          <w:sz w:val="19"/>
          <w:szCs w:val="19"/>
        </w:rPr>
      </w:pPr>
      <w:bookmarkStart w:id="5" w:name="bookmark19"/>
      <w:bookmarkEnd w:id="5"/>
      <w:bookmarkStart w:id="6" w:name="bookmark20"/>
      <w:bookmarkEnd w:id="6"/>
      <w:r>
        <w:rPr>
          <w:color w:val="336FB4"/>
          <w:spacing w:val="6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图</w:t>
      </w:r>
      <w:r>
        <w:rPr>
          <w:color w:val="336FB4"/>
          <w:spacing w:val="-3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6"/>
          <w:sz w:val="19"/>
          <w:szCs w:val="19"/>
        </w:rPr>
        <w:t>2</w:t>
      </w:r>
      <w:r>
        <w:rPr>
          <w:color w:val="336FB4"/>
          <w:spacing w:val="6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：公司营业总收入及增速</w:t>
      </w:r>
      <w:r>
        <w:rPr>
          <w:color w:val="336FB4"/>
          <w:spacing w:val="6"/>
          <w:sz w:val="19"/>
          <w:szCs w:val="19"/>
        </w:rPr>
        <w:t xml:space="preserve">                           </w:t>
      </w:r>
      <w:r>
        <w:rPr>
          <w:color w:val="336FB4"/>
          <w:spacing w:val="6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图</w:t>
      </w:r>
      <w:r>
        <w:rPr>
          <w:color w:val="336FB4"/>
          <w:spacing w:val="-32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6"/>
          <w:sz w:val="19"/>
          <w:szCs w:val="19"/>
        </w:rPr>
        <w:t>3</w:t>
      </w:r>
      <w:r>
        <w:rPr>
          <w:color w:val="336FB4"/>
          <w:spacing w:val="5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：公司归母净利润及增速</w:t>
      </w:r>
    </w:p>
    <w:p>
      <w:pPr>
        <w:spacing w:before="136"/>
      </w:pPr>
    </w:p>
    <w:p>
      <w:pPr>
        <w:sectPr>
          <w:headerReference w:type="default" r:id="rId25"/>
          <w:footerReference w:type="default" r:id="rId26"/>
          <w:pgSz w:w="11907" w:h="16839"/>
          <w:pgMar w:top="1320" w:right="954" w:bottom="1625" w:left="162" w:header="573" w:footer="1219" w:gutter="0"/>
          <w:pgNumType w:start="12"/>
          <w:cols w:num="1" w:space="708" w:equalWidth="0">
            <w:col w:w="10790" w:space="0"/>
          </w:cols>
        </w:sectPr>
      </w:pPr>
    </w:p>
    <w:p>
      <w:pPr>
        <w:spacing w:line="365" w:lineRule="auto"/>
        <w:rPr>
          <w:rFonts w:ascii="Arial"/>
          <w:sz w:val="21"/>
        </w:rPr>
      </w:pPr>
    </w:p>
    <w:p>
      <w:pPr>
        <w:spacing w:before="38" w:line="205" w:lineRule="auto"/>
        <w:ind w:right="12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9</w:t>
      </w:r>
    </w:p>
    <w:p>
      <w:pPr>
        <w:spacing w:before="96" w:line="205" w:lineRule="auto"/>
        <w:ind w:right="13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8</w:t>
      </w:r>
    </w:p>
    <w:p>
      <w:pPr>
        <w:spacing w:before="97" w:line="202" w:lineRule="auto"/>
        <w:ind w:right="12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7</w:t>
      </w:r>
    </w:p>
    <w:p>
      <w:pPr>
        <w:spacing w:before="96" w:line="205" w:lineRule="auto"/>
        <w:ind w:right="13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6</w:t>
      </w:r>
    </w:p>
    <w:p>
      <w:pPr>
        <w:spacing w:before="98" w:line="202" w:lineRule="auto"/>
        <w:ind w:right="12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5</w:t>
      </w:r>
    </w:p>
    <w:p>
      <w:pPr>
        <w:spacing w:before="96" w:line="204" w:lineRule="auto"/>
        <w:ind w:right="13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3"/>
          <w:sz w:val="13"/>
          <w:szCs w:val="13"/>
        </w:rPr>
        <w:t>4</w:t>
      </w:r>
    </w:p>
    <w:p>
      <w:pPr>
        <w:spacing w:before="96" w:line="205" w:lineRule="auto"/>
        <w:ind w:right="12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3</w:t>
      </w:r>
    </w:p>
    <w:p>
      <w:pPr>
        <w:spacing w:before="96" w:line="205" w:lineRule="auto"/>
        <w:ind w:right="13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1"/>
          <w:sz w:val="13"/>
          <w:szCs w:val="13"/>
        </w:rPr>
        <w:t>2</w:t>
      </w:r>
    </w:p>
    <w:p>
      <w:pPr>
        <w:spacing w:before="96" w:line="205" w:lineRule="auto"/>
        <w:ind w:right="3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1</w:t>
      </w:r>
    </w:p>
    <w:p>
      <w:pPr>
        <w:spacing w:before="95" w:line="205" w:lineRule="auto"/>
        <w:ind w:right="12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z w:val="13"/>
          <w:szCs w:val="1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239" w:lineRule="auto"/>
        <w:ind w:left="417"/>
        <w:rPr>
          <w:sz w:val="13"/>
          <w:szCs w:val="13"/>
        </w:rPr>
      </w:pPr>
      <w:r>
        <w:rPr>
          <w:color w:val="595959"/>
          <w:sz w:val="13"/>
          <w:szCs w:val="13"/>
        </w:rPr>
        <w:drawing>
          <wp:inline distT="0" distB="0" distL="0" distR="0">
            <wp:extent cx="252984" cy="5333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984" cy="5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7"/>
          <w:sz w:val="13"/>
          <w:szCs w:val="13"/>
        </w:rPr>
        <w:t xml:space="preserve"> </w:t>
      </w:r>
      <w:r>
        <w:rPr>
          <w:color w:val="595959"/>
          <w:spacing w:val="3"/>
          <w:sz w:val="13"/>
          <w:szCs w:val="13"/>
        </w:rPr>
        <w:t>营业总收入（亿元）</w:t>
      </w:r>
      <w:r>
        <w:rPr>
          <w:color w:val="595959"/>
          <w:spacing w:val="11"/>
          <w:sz w:val="13"/>
          <w:szCs w:val="13"/>
        </w:rPr>
        <w:t xml:space="preserve">    </w:t>
      </w:r>
      <w:r>
        <w:rPr>
          <w:position w:val="3"/>
          <w:sz w:val="13"/>
          <w:szCs w:val="13"/>
        </w:rPr>
        <w:drawing>
          <wp:inline distT="0" distB="0" distL="0" distR="0">
            <wp:extent cx="263651" cy="1981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0"/>
          <w:sz w:val="13"/>
          <w:szCs w:val="13"/>
        </w:rPr>
        <w:t xml:space="preserve"> </w:t>
      </w:r>
      <w:r>
        <w:rPr>
          <w:color w:val="595959"/>
          <w:spacing w:val="3"/>
          <w:sz w:val="13"/>
          <w:szCs w:val="13"/>
        </w:rPr>
        <w:t>增速（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%</w:t>
      </w:r>
      <w:r>
        <w:rPr>
          <w:color w:val="595959"/>
          <w:spacing w:val="3"/>
          <w:sz w:val="13"/>
          <w:szCs w:val="13"/>
        </w:rPr>
        <w:t>，右）</w:t>
      </w:r>
    </w:p>
    <w:p>
      <w:pPr>
        <w:spacing w:before="13"/>
      </w:pPr>
    </w:p>
    <w:tbl>
      <w:tblPr>
        <w:tblStyle w:val="TableNormal2"/>
        <w:tblW w:w="3906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4"/>
        <w:gridCol w:w="433"/>
        <w:gridCol w:w="200"/>
        <w:gridCol w:w="449"/>
        <w:gridCol w:w="200"/>
        <w:gridCol w:w="449"/>
        <w:gridCol w:w="201"/>
        <w:gridCol w:w="448"/>
        <w:gridCol w:w="321"/>
        <w:gridCol w:w="203"/>
        <w:gridCol w:w="324"/>
        <w:gridCol w:w="432"/>
        <w:gridCol w:w="122"/>
      </w:tblGrid>
      <w:tr>
        <w:tblPrEx>
          <w:tblW w:w="3906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4"/>
        </w:trPr>
        <w:tc>
          <w:tcPr>
            <w:tcW w:w="124" w:type="dxa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spacing w:before="223" w:line="1579" w:lineRule="exact"/>
            </w:pPr>
            <w:r>
              <w:rPr>
                <w:position w:val="-31"/>
              </w:rPr>
              <w:pict>
                <v:shape id="_x0000_i1039" style="width:2.2pt;height:79pt;mso-position-horizontal-relative:char;mso-position-vertical-relative:line" coordorigin="0,0" coordsize="44,1580" path="m,1572l43,1572m,1348l43,1348m,1125l43,1125m,902l43,902m,679l43,679m,456l43,456m,230l43,230m,7l43,7e" filled="f" strokecolor="black" strokeweight="0.72pt">
                  <w10:wrap type="none"/>
                </v:shape>
              </w:pict>
            </w:r>
          </w:p>
        </w:tc>
        <w:tc>
          <w:tcPr>
            <w:tcW w:w="433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37" w:line="205" w:lineRule="auto"/>
              <w:ind w:left="70"/>
              <w:rPr>
                <w:rFonts w:ascii="Arial" w:eastAsia="Arial" w:hAnsi="Arial" w:cs="Arial"/>
                <w:sz w:val="13"/>
                <w:szCs w:val="13"/>
              </w:rPr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64388</wp:posOffset>
                  </wp:positionH>
                  <wp:positionV relativeFrom="paragraph">
                    <wp:posOffset>-308818</wp:posOffset>
                  </wp:positionV>
                  <wp:extent cx="2194560" cy="1132331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132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color w:val="404040"/>
                <w:spacing w:val="3"/>
                <w:sz w:val="13"/>
                <w:szCs w:val="13"/>
              </w:rPr>
              <w:t>4.66</w:t>
            </w:r>
          </w:p>
          <w:p>
            <w:pPr>
              <w:spacing w:before="82" w:line="1035" w:lineRule="exact"/>
              <w:ind w:firstLine="94"/>
            </w:pPr>
            <w:r>
              <w:rPr>
                <w:position w:val="-22"/>
              </w:rPr>
              <w:pict>
                <v:shape id="_x0000_i1040" style="width:10.95pt;height:52.45pt;mso-position-horizontal-relative:char;mso-position-vertical-relative:line" coordorigin="0,0" coordsize="218,1049" path="m7,7l211,7l211,1048m7,1048l7,7e" filled="f" strokecolor="#0b4da2" strokeweight="0.72pt">
                  <w10:wrap type="none"/>
                </v:shape>
              </w:pict>
            </w:r>
          </w:p>
        </w:tc>
        <w:tc>
          <w:tcPr>
            <w:tcW w:w="20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1" style="width:0.75pt;height:2.05pt;margin-top:98.88pt;margin-left:-5.58pt;mso-position-horizontal-relative:right-margin-area;mso-position-vertical-relative:top-margin-area;position:absolute;z-index:251676672" filled="t" fillcolor="black" stroked="f"/>
              </w:pic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38" w:line="205" w:lineRule="auto"/>
              <w:ind w:left="9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2"/>
                <w:sz w:val="13"/>
                <w:szCs w:val="13"/>
              </w:rPr>
              <w:t>5.42</w:t>
            </w:r>
          </w:p>
          <w:p>
            <w:pPr>
              <w:spacing w:before="84" w:line="1203" w:lineRule="exact"/>
              <w:ind w:firstLine="111"/>
            </w:pPr>
            <w:r>
              <w:rPr>
                <w:position w:val="-25"/>
              </w:rPr>
              <w:pict>
                <v:shape id="_x0000_i1042" style="width:10.95pt;height:60.85pt;mso-position-horizontal-relative:char;mso-position-vertical-relative:line" coordorigin="0,0" coordsize="218,1216" path="m7,7l211,7l211,1216m7,1216l7,7e" filled="f" strokecolor="#0b4da2" strokeweight="0.72pt">
                  <w10:wrap type="none"/>
                </v:shape>
              </w:pict>
            </w:r>
          </w:p>
        </w:tc>
        <w:tc>
          <w:tcPr>
            <w:tcW w:w="20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3" style="width:0.75pt;height:2.05pt;margin-top:98.88pt;margin-left:-5.51pt;mso-position-horizontal-relative:right-margin-area;mso-position-vertical-relative:top-margin-area;position:absolute;z-index:251675648" filled="t" fillcolor="black" stroked="f"/>
              </w:pic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37" w:line="205" w:lineRule="auto"/>
              <w:ind w:left="9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2"/>
                <w:sz w:val="13"/>
                <w:szCs w:val="13"/>
              </w:rPr>
              <w:t>6.22</w:t>
            </w:r>
          </w:p>
          <w:p>
            <w:pPr>
              <w:spacing w:before="82" w:line="1384" w:lineRule="exact"/>
              <w:ind w:firstLine="113"/>
            </w:pPr>
            <w:r>
              <w:rPr>
                <w:position w:val="-29"/>
              </w:rPr>
              <w:pict>
                <v:shape id="_x0000_i1044" style="width:10.95pt;height:69.85pt;mso-position-horizontal-relative:char;mso-position-vertical-relative:line" coordorigin="0,0" coordsize="218,1396" path="m7,7l211,7l211,1396m7,1396l7,7e" filled="f" strokecolor="#0b4da2" strokeweight="0.72pt">
                  <w10:wrap type="none"/>
                </v:shape>
              </w:pict>
            </w:r>
          </w:p>
        </w:tc>
        <w:tc>
          <w:tcPr>
            <w:tcW w:w="20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5" style="width:0.75pt;height:2.05pt;margin-top:98.88pt;margin-left:-5.49pt;mso-position-horizontal-relative:right-margin-area;mso-position-vertical-relative:top-margin-area;position:absolute;z-index:251673600" filled="t" fillcolor="black" stroked="f"/>
              </w:pict>
            </w:r>
          </w:p>
        </w:tc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>
            <w:pPr>
              <w:spacing w:before="91" w:line="205" w:lineRule="auto"/>
              <w:ind w:left="9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2"/>
                <w:sz w:val="13"/>
                <w:szCs w:val="13"/>
              </w:rPr>
              <w:t>7.65</w:t>
            </w:r>
          </w:p>
          <w:p>
            <w:pPr>
              <w:spacing w:before="83" w:line="1702" w:lineRule="exact"/>
              <w:ind w:firstLine="113"/>
            </w:pPr>
            <w:r>
              <w:rPr>
                <w:position w:val="-35"/>
              </w:rPr>
              <w:pict>
                <v:shape id="_x0000_i1046" style="width:10.95pt;height:85.8pt;mso-position-horizontal-relative:char;mso-position-vertical-relative:line" coordorigin="0,0" coordsize="218,1716" path="m7,7l211,7l211,1715m7,1715l7,7e" filled="f" strokecolor="#0b4da2" strokeweight="0.72pt">
                  <w10:wrap type="none"/>
                </v:shape>
              </w:pict>
            </w:r>
          </w:p>
        </w:tc>
        <w:tc>
          <w:tcPr>
            <w:tcW w:w="321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7" style="width:0.75pt;height:2.05pt;margin-top:98.88pt;margin-left:-11.17pt;mso-position-horizontal-relative:right-margin-area;mso-position-vertical-relative:top-margin-area;position:absolute;z-index:251674624" filled="t" fillcolor="black" stroked="f"/>
              </w:pict>
            </w:r>
          </w:p>
        </w:tc>
        <w:tc>
          <w:tcPr>
            <w:tcW w:w="203" w:type="dxa"/>
            <w:tcBorders>
              <w:bottom w:val="single" w:sz="4" w:space="0" w:color="0B4DA2"/>
            </w:tcBorders>
            <w:vAlign w:val="top"/>
          </w:tcPr>
          <w:p>
            <w:pPr>
              <w:spacing w:before="17" w:line="205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-16"/>
                <w:w w:val="96"/>
                <w:sz w:val="13"/>
                <w:szCs w:val="13"/>
              </w:rPr>
              <w:t>7</w:t>
            </w:r>
            <w:r>
              <w:rPr>
                <w:rFonts w:ascii="Arial" w:eastAsia="Arial" w:hAnsi="Arial" w:cs="Arial"/>
                <w:color w:val="404040"/>
                <w:spacing w:val="-15"/>
                <w:w w:val="96"/>
                <w:sz w:val="13"/>
                <w:szCs w:val="13"/>
              </w:rPr>
              <w:t>.9</w:t>
            </w:r>
            <w:r>
              <w:rPr>
                <w:rFonts w:ascii="Arial" w:eastAsia="Arial" w:hAnsi="Arial" w:cs="Arial"/>
                <w:color w:val="404040"/>
                <w:spacing w:val="-6"/>
                <w:w w:val="96"/>
                <w:sz w:val="13"/>
                <w:szCs w:val="13"/>
              </w:rPr>
              <w:t>8</w:t>
            </w:r>
          </w:p>
        </w:tc>
        <w:tc>
          <w:tcPr>
            <w:tcW w:w="324" w:type="dxa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8" style="width:0.75pt;height:2.05pt;margin-top:98.88pt;margin-left:-5.25pt;mso-position-horizontal-relative:right-margin-area;mso-position-vertical-relative:top-margin-area;position:absolute;z-index:251672576" filled="t" fillcolor="black" stroked="f"/>
              </w:pic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37" w:line="205" w:lineRule="auto"/>
              <w:ind w:left="9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2"/>
                <w:sz w:val="13"/>
                <w:szCs w:val="13"/>
              </w:rPr>
              <w:t>6.19</w:t>
            </w:r>
          </w:p>
          <w:p>
            <w:pPr>
              <w:spacing w:before="83" w:line="1377" w:lineRule="exact"/>
              <w:ind w:firstLine="118"/>
            </w:pPr>
            <w:r>
              <w:rPr>
                <w:position w:val="-28"/>
              </w:rPr>
              <w:pict>
                <v:shape id="_x0000_i1049" style="width:10.95pt;height:69.5pt;mso-position-horizontal-relative:char;mso-position-vertical-relative:line" coordorigin="0,0" coordsize="218,1390" path="m7,7l211,7l211,1389m7,1389l7,7e" filled="f" strokecolor="#0b4da2" strokeweight="0.72pt">
                  <w10:wrap type="none"/>
                </v:shape>
              </w:pict>
            </w:r>
          </w:p>
        </w:tc>
        <w:tc>
          <w:tcPr>
            <w:tcW w:w="122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1452" w:lineRule="exact"/>
              <w:ind w:firstLine="79"/>
            </w:pPr>
            <w:r>
              <w:rPr>
                <w:position w:val="-29"/>
              </w:rPr>
              <w:pict>
                <v:shape id="_x0000_i1050" style="width:2.05pt;height:72.6pt;mso-position-horizontal-relative:char;mso-position-vertical-relative:line" coordorigin="0,0" coordsize="40,1451" path="m,1444l40,1444m,1156l40,1156m,868l40,868m,580l40,580m,295l40,295m,7l40,7e" filled="f" strokecolor="black" strokeweight="0.72pt">
                  <w10:wrap type="none"/>
                </v:shape>
              </w:pict>
            </w:r>
          </w:p>
        </w:tc>
      </w:tr>
      <w:tr>
        <w:tblPrEx>
          <w:tblW w:w="3906" w:type="dxa"/>
          <w:tblInd w:w="5" w:type="dxa"/>
          <w:tblLayout w:type="fixed"/>
        </w:tblPrEx>
        <w:trPr>
          <w:trHeight w:val="1771"/>
        </w:trPr>
        <w:tc>
          <w:tcPr>
            <w:tcW w:w="12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" w:type="dxa"/>
            <w:tcBorders>
              <w:top w:val="single" w:sz="4" w:space="0" w:color="0B4DA2"/>
              <w:left w:val="single" w:sz="4" w:space="0" w:color="0B4DA2"/>
              <w:bottom w:val="single" w:sz="4" w:space="0" w:color="0B4DA2"/>
              <w:right w:val="single" w:sz="4" w:space="0" w:color="0B4DA2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2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5" w:line="175" w:lineRule="auto"/>
        <w:ind w:left="18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2018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 xml:space="preserve">     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2019</w:t>
      </w:r>
      <w:r>
        <w:rPr>
          <w:rFonts w:ascii="Arial" w:eastAsia="Arial" w:hAnsi="Arial" w:cs="Arial"/>
          <w:color w:val="595959"/>
          <w:spacing w:val="2"/>
          <w:sz w:val="13"/>
          <w:szCs w:val="13"/>
        </w:rPr>
        <w:t xml:space="preserve">     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2020</w:t>
      </w:r>
      <w:r>
        <w:rPr>
          <w:rFonts w:ascii="Arial" w:eastAsia="Arial" w:hAnsi="Arial" w:cs="Arial"/>
          <w:color w:val="595959"/>
          <w:spacing w:val="2"/>
          <w:sz w:val="13"/>
          <w:szCs w:val="13"/>
        </w:rPr>
        <w:t xml:space="preserve">     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2021</w:t>
      </w:r>
      <w:r>
        <w:rPr>
          <w:rFonts w:ascii="Arial" w:eastAsia="Arial" w:hAnsi="Arial" w:cs="Arial"/>
          <w:color w:val="595959"/>
          <w:spacing w:val="2"/>
          <w:sz w:val="13"/>
          <w:szCs w:val="13"/>
        </w:rPr>
        <w:t xml:space="preserve">     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2022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 xml:space="preserve"> 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2023Q1-3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38" w:line="287" w:lineRule="exact"/>
        <w:ind w:left="1"/>
        <w:rPr>
          <w:rFonts w:ascii="Arial" w:eastAsia="Arial" w:hAnsi="Arial" w:cs="Arial"/>
          <w:sz w:val="13"/>
          <w:szCs w:val="13"/>
        </w:rPr>
      </w:pPr>
      <w:r>
        <w:pict>
          <v:shape id="_x0000_s1051" type="#_x0000_t202" style="width:11.5pt;height:108.7pt;margin-top:0.94pt;margin-left:49.37pt;position:absolute;z-index:251669504" filled="f" stroked="f">
            <o:lock v:ext="edit" aspectratio="f"/>
            <v:textbox inset="0,0,0,0">
              <w:txbxContent>
                <w:p>
                  <w:pPr>
                    <w:tabs>
                      <w:tab w:val="left" w:pos="145"/>
                    </w:tabs>
                    <w:spacing w:before="18" w:line="403" w:lineRule="auto"/>
                    <w:ind w:left="20" w:right="20" w:firstLine="9"/>
                    <w:jc w:val="right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"/>
                      <w:sz w:val="13"/>
                      <w:szCs w:val="13"/>
                    </w:rPr>
                    <w:t>1.6</w:t>
                  </w:r>
                  <w:r>
                    <w:rPr>
                      <w:rFonts w:ascii="Arial" w:eastAsia="Arial" w:hAnsi="Arial" w:cs="Arial"/>
                      <w:color w:val="595959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2"/>
                      <w:sz w:val="13"/>
                      <w:szCs w:val="13"/>
                    </w:rPr>
                    <w:t>1.4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2"/>
                      <w:sz w:val="13"/>
                      <w:szCs w:val="13"/>
                    </w:rPr>
                    <w:t>1.2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z w:val="13"/>
                      <w:szCs w:val="13"/>
                    </w:rPr>
                    <w:tab/>
                  </w:r>
                  <w:r>
                    <w:rPr>
                      <w:rFonts w:ascii="Arial" w:eastAsia="Arial" w:hAnsi="Arial" w:cs="Arial"/>
                      <w:color w:val="595959"/>
                      <w:spacing w:val="-10"/>
                      <w:sz w:val="13"/>
                      <w:szCs w:val="13"/>
                    </w:rPr>
                    <w:t>1</w:t>
                  </w:r>
                  <w:r>
                    <w:rPr>
                      <w:rFonts w:ascii="Arial" w:eastAsia="Arial" w:hAnsi="Arial" w:cs="Arial"/>
                      <w:color w:val="595959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2"/>
                      <w:sz w:val="13"/>
                      <w:szCs w:val="13"/>
                    </w:rPr>
                    <w:t>0.8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2"/>
                      <w:sz w:val="13"/>
                      <w:szCs w:val="13"/>
                    </w:rPr>
                    <w:t>0.6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2"/>
                      <w:sz w:val="13"/>
                      <w:szCs w:val="13"/>
                    </w:rPr>
                    <w:t>0.4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2"/>
                      <w:sz w:val="13"/>
                      <w:szCs w:val="13"/>
                    </w:rPr>
                    <w:t>0.2</w:t>
                  </w:r>
                </w:p>
                <w:p>
                  <w:pPr>
                    <w:spacing w:line="204" w:lineRule="auto"/>
                    <w:ind w:left="136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595959"/>
          <w:spacing w:val="4"/>
          <w:position w:val="13"/>
          <w:sz w:val="13"/>
          <w:szCs w:val="13"/>
        </w:rPr>
        <w:t>35%</w:t>
      </w:r>
    </w:p>
    <w:p>
      <w:pPr>
        <w:spacing w:line="207" w:lineRule="auto"/>
        <w:ind w:left="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30%</w:t>
      </w:r>
    </w:p>
    <w:p>
      <w:pPr>
        <w:spacing w:before="158" w:line="207" w:lineRule="auto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5"/>
          <w:sz w:val="13"/>
          <w:szCs w:val="13"/>
        </w:rPr>
        <w:t>25%</w:t>
      </w:r>
    </w:p>
    <w:p>
      <w:pPr>
        <w:spacing w:before="159" w:line="207" w:lineRule="auto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5"/>
          <w:sz w:val="13"/>
          <w:szCs w:val="13"/>
        </w:rPr>
        <w:t>20%</w:t>
      </w:r>
    </w:p>
    <w:p>
      <w:pPr>
        <w:spacing w:before="158" w:line="207" w:lineRule="auto"/>
        <w:ind w:left="1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1"/>
          <w:sz w:val="13"/>
          <w:szCs w:val="13"/>
        </w:rPr>
        <w:t>15%</w:t>
      </w:r>
    </w:p>
    <w:p>
      <w:pPr>
        <w:spacing w:before="158" w:line="207" w:lineRule="auto"/>
        <w:ind w:left="1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1"/>
          <w:sz w:val="13"/>
          <w:szCs w:val="13"/>
        </w:rPr>
        <w:t>10%</w:t>
      </w:r>
    </w:p>
    <w:p>
      <w:pPr>
        <w:spacing w:before="159" w:line="207" w:lineRule="auto"/>
        <w:ind w:left="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3"/>
          <w:sz w:val="13"/>
          <w:szCs w:val="13"/>
        </w:rPr>
        <w:t>5%</w:t>
      </w:r>
    </w:p>
    <w:p>
      <w:pPr>
        <w:spacing w:before="158" w:line="207" w:lineRule="auto"/>
        <w:ind w:left="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3"/>
          <w:sz w:val="13"/>
          <w:szCs w:val="13"/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239" w:lineRule="auto"/>
        <w:ind w:left="300"/>
        <w:rPr>
          <w:sz w:val="13"/>
          <w:szCs w:val="13"/>
        </w:rPr>
      </w:pPr>
      <w:r>
        <w:rPr>
          <w:color w:val="595959"/>
          <w:sz w:val="13"/>
          <w:szCs w:val="13"/>
        </w:rPr>
        <w:drawing>
          <wp:inline distT="0" distB="0" distL="0" distR="0">
            <wp:extent cx="252983" cy="5333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2983" cy="5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6"/>
          <w:sz w:val="13"/>
          <w:szCs w:val="13"/>
        </w:rPr>
        <w:t xml:space="preserve"> </w:t>
      </w:r>
      <w:r>
        <w:rPr>
          <w:color w:val="595959"/>
          <w:spacing w:val="3"/>
          <w:sz w:val="13"/>
          <w:szCs w:val="13"/>
        </w:rPr>
        <w:t>归母净利润（亿元）</w:t>
      </w:r>
      <w:r>
        <w:rPr>
          <w:color w:val="595959"/>
          <w:spacing w:val="11"/>
          <w:sz w:val="13"/>
          <w:szCs w:val="13"/>
        </w:rPr>
        <w:t xml:space="preserve">    </w:t>
      </w:r>
      <w:r>
        <w:rPr>
          <w:position w:val="3"/>
          <w:sz w:val="13"/>
          <w:szCs w:val="13"/>
        </w:rPr>
        <w:drawing>
          <wp:inline distT="0" distB="0" distL="0" distR="0">
            <wp:extent cx="263652" cy="1981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3652" cy="1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0"/>
          <w:sz w:val="13"/>
          <w:szCs w:val="13"/>
        </w:rPr>
        <w:t xml:space="preserve"> </w:t>
      </w:r>
      <w:r>
        <w:rPr>
          <w:color w:val="595959"/>
          <w:spacing w:val="3"/>
          <w:sz w:val="13"/>
          <w:szCs w:val="13"/>
        </w:rPr>
        <w:t>增速（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%</w:t>
      </w:r>
      <w:r>
        <w:rPr>
          <w:color w:val="595959"/>
          <w:spacing w:val="3"/>
          <w:sz w:val="13"/>
          <w:szCs w:val="13"/>
        </w:rPr>
        <w:t>，右）</w:t>
      </w:r>
    </w:p>
    <w:p>
      <w:pPr>
        <w:spacing w:before="13"/>
      </w:pPr>
    </w:p>
    <w:tbl>
      <w:tblPr>
        <w:tblStyle w:val="TableNormal2"/>
        <w:tblW w:w="37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743"/>
      </w:tblGrid>
      <w:tr>
        <w:tblPrEx>
          <w:tblW w:w="374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5"/>
        </w:trPr>
        <w:tc>
          <w:tcPr>
            <w:tcW w:w="3743" w:type="dxa"/>
            <w:tcBorders>
              <w:bottom w:val="nil"/>
            </w:tcBorders>
            <w:vAlign w:val="top"/>
          </w:tcPr>
          <w:p>
            <w:pPr>
              <w:spacing w:line="95" w:lineRule="exact"/>
              <w:ind w:left="268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position w:val="-2"/>
                <w:sz w:val="13"/>
                <w:szCs w:val="13"/>
              </w:rPr>
              <w:t>1.43</w:t>
            </w:r>
          </w:p>
        </w:tc>
      </w:tr>
      <w:tr>
        <w:tblPrEx>
          <w:tblW w:w="3743" w:type="dxa"/>
          <w:tblInd w:w="5" w:type="dxa"/>
          <w:tblLayout w:type="fixed"/>
        </w:tblPrEx>
        <w:trPr>
          <w:trHeight w:val="1895"/>
        </w:trPr>
        <w:tc>
          <w:tcPr>
            <w:tcW w:w="3743" w:type="dxa"/>
            <w:tcBorders>
              <w:top w:val="nil"/>
            </w:tcBorders>
            <w:vAlign w:val="top"/>
          </w:tcPr>
          <w:p>
            <w:pPr>
              <w:spacing w:before="12" w:line="163" w:lineRule="auto"/>
              <w:ind w:left="2059"/>
              <w:rPr>
                <w:rFonts w:ascii="Arial" w:eastAsia="Arial" w:hAnsi="Arial" w:cs="Arial"/>
                <w:sz w:val="13"/>
                <w:szCs w:val="13"/>
              </w:rPr>
            </w:pPr>
            <w:r>
              <w:pict>
                <v:shape id="_x0000_s1052" style="width:157.35pt;height:81.7pt;margin-top:2.2pt;margin-left:14.62pt;position:absolute;z-index:-251649024" coordorigin="0,0" coordsize="3147,1633" path="m15,273c223,452,431,852,638,809c846,766,1053,-69,1261,15c1469,100,1677,1111,1884,1318c2092,1524,2300,1205,2507,1255c2715,1305,2923,1497,3130,1618e" filled="f" strokecolor="#f9b90f" strokeweight="1.56pt">
                  <v:stroke endcap="round"/>
                </v:shape>
              </w:pict>
            </w: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133857</wp:posOffset>
                  </wp:positionH>
                  <wp:positionV relativeFrom="paragraph">
                    <wp:posOffset>67024</wp:posOffset>
                  </wp:positionV>
                  <wp:extent cx="2103120" cy="1138427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0" cy="1138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053" style="width:166.35pt;height:90pt;margin-top:4.93pt;margin-left:-176.47pt;mso-position-horizontal-relative:right-margin-area;mso-position-vertical-relative:top-margin-area;position:absolute;z-index:251668480" coordorigin="0,0" coordsize="3327,1800" filled="f" stroked="f">
                  <v:shape id="_x0000_s1054" style="width:208;height:1800;left:2493;position:absolute" coordorigin="0,0" coordsize="208,1800" path="m7,7l201,7l201,1799m7,1799l7,7e" filled="f" strokecolor="#0b4da2" strokeweight="0.72pt"/>
                  <v:shape id="_x0000_s1055" style="width:208;height:1676;left:1869;position:absolute;top:124" coordorigin="0,0" coordsize="208,1676" path="m7,7l201,7l201,1675m7,1675l7,7e" filled="f" strokecolor="#0b4da2" strokeweight="0.72pt"/>
                  <v:shape id="_x0000_s1056" style="width:212;height:1575;left:1245;position:absolute;top:225" coordorigin="0,0" coordsize="212,1575" path="m7,7l204,7l204,1574m7,1574l7,7e" filled="f" strokecolor="#0b4da2" strokeweight="0.72pt"/>
                  <v:shape id="_x0000_s1057" style="width:212;height:1348;left:3115;position:absolute;top:451" coordorigin="0,0" coordsize="212,1348" path="m7,7l203,7l203,1348m7,1348l7,7e" filled="f" strokecolor="#0b4da2" strokeweight="0.72pt"/>
                  <v:shape id="_x0000_s1058" style="width:212;height:1085;left:621;position:absolute;top:715" coordorigin="0,0" coordsize="212,1085" path="m7,7l203,7l203,1084m7,1084l7,7e" filled="f" strokecolor="#0b4da2" strokeweight="0.72pt"/>
                  <v:shape id="_x0000_s1059" style="width:208;height:898;position:absolute;top:902" coordorigin="0,0" coordsize="208,898" path="m7,7l201,7l201,897m7,897l7,7e" filled="f" strokecolor="#0b4da2" strokeweight="0.72pt"/>
                  <v:rect id="_x0000_s1060" style="width:15;height:40;left:2901;position:absolute;top:1759" filled="t" fillcolor="black" stroked="f"/>
                  <v:rect id="_x0000_s1061" style="width:15;height:40;left:1032;position:absolute;top:1759" filled="t" fillcolor="black" stroked="f"/>
                  <v:rect id="_x0000_s1062" style="width:15;height:40;left:1655;position:absolute;top:1759" filled="t" fillcolor="black" stroked="f"/>
                  <v:rect id="_x0000_s1063" style="width:15;height:40;left:2277;position:absolute;top:1759" filled="t" fillcolor="black" stroked="f"/>
                  <v:rect id="_x0000_s1064" style="width:15;height:40;left:407;position:absolute;top:1759" filled="t" fillcolor="black" stroked="f"/>
                </v:group>
              </w:pict>
            </w:r>
            <w:r>
              <w:pict>
                <v:shape id="_x0000_s1065" style="width:2.05pt;height:76pt;margin-top:6.85pt;margin-left:-186.79pt;mso-position-horizontal-relative:right-margin-area;mso-position-vertical-relative:top-margin-area;position:absolute;z-index:251670528" coordorigin="0,0" coordsize="40,1520" path="m,1512l40,1512m,1260l40,1260m,1010l40,1010m,758l40,758m,508l40,508m,256l40,256m,7l40,7e" filled="f" strokecolor="black" strokeweight="0.72pt"/>
              </w:pict>
            </w:r>
            <w:r>
              <w:pict>
                <v:shape id="_x0000_s1066" style="width:2.2pt;height:67.6pt;margin-top:11.05pt;margin-left:-1.99pt;mso-position-horizontal-relative:right-margin-area;mso-position-vertical-relative:top-margin-area;position:absolute;z-index:251671552" coordorigin="0,0" coordsize="44,1351" path="m,1344l43,1344m,1010l43,1010m,674l43,674m,340l43,340m,7l43,7e" filled="f" strokecolor="black" strokeweight="0.72pt"/>
              </w:pict>
            </w:r>
            <w:r>
              <w:rPr>
                <w:rFonts w:ascii="Arial" w:eastAsia="Arial" w:hAnsi="Arial" w:cs="Arial"/>
                <w:color w:val="404040"/>
                <w:sz w:val="13"/>
                <w:szCs w:val="13"/>
              </w:rPr>
              <w:t>1.33</w:t>
            </w:r>
          </w:p>
          <w:p>
            <w:pPr>
              <w:spacing w:line="204" w:lineRule="auto"/>
              <w:ind w:left="14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z w:val="13"/>
                <w:szCs w:val="13"/>
              </w:rPr>
              <w:t>1.25</w:t>
            </w:r>
          </w:p>
          <w:p>
            <w:pPr>
              <w:spacing w:before="97" w:line="205" w:lineRule="auto"/>
              <w:ind w:left="330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z w:val="13"/>
                <w:szCs w:val="13"/>
              </w:rPr>
              <w:t>1.07</w:t>
            </w:r>
          </w:p>
          <w:p>
            <w:pPr>
              <w:spacing w:before="135" w:line="205" w:lineRule="auto"/>
              <w:ind w:left="80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2"/>
                <w:sz w:val="13"/>
                <w:szCs w:val="13"/>
              </w:rPr>
              <w:t>0.86</w:t>
            </w:r>
          </w:p>
          <w:p>
            <w:pPr>
              <w:spacing w:before="60" w:line="205" w:lineRule="auto"/>
              <w:ind w:left="17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404040"/>
                <w:spacing w:val="2"/>
                <w:sz w:val="13"/>
                <w:szCs w:val="13"/>
              </w:rPr>
              <w:t>0.71</w:t>
            </w:r>
          </w:p>
        </w:tc>
      </w:tr>
    </w:tbl>
    <w:p>
      <w:pPr>
        <w:spacing w:before="104" w:line="184" w:lineRule="auto"/>
        <w:ind w:left="167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2018        2019        2020        2021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 xml:space="preserve">    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2022</w:t>
      </w:r>
      <w:r>
        <w:rPr>
          <w:rFonts w:ascii="Arial" w:eastAsia="Arial" w:hAnsi="Arial" w:cs="Arial"/>
          <w:color w:val="595959"/>
          <w:spacing w:val="5"/>
          <w:sz w:val="13"/>
          <w:szCs w:val="13"/>
        </w:rPr>
        <w:t xml:space="preserve">    </w:t>
      </w:r>
      <w:r>
        <w:rPr>
          <w:rFonts w:ascii="Arial" w:eastAsia="Arial" w:hAnsi="Arial" w:cs="Arial"/>
          <w:color w:val="595959"/>
          <w:spacing w:val="4"/>
          <w:sz w:val="13"/>
          <w:szCs w:val="13"/>
        </w:rPr>
        <w:t>2023Q1-3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38" w:line="334" w:lineRule="exact"/>
        <w:ind w:left="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position w:val="17"/>
          <w:sz w:val="13"/>
          <w:szCs w:val="13"/>
        </w:rPr>
        <w:t>50%</w:t>
      </w:r>
    </w:p>
    <w:p>
      <w:pPr>
        <w:spacing w:line="207" w:lineRule="auto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5"/>
          <w:sz w:val="13"/>
          <w:szCs w:val="13"/>
        </w:rPr>
        <w:t>40%</w:t>
      </w:r>
    </w:p>
    <w:p>
      <w:pPr>
        <w:spacing w:before="205" w:line="207" w:lineRule="auto"/>
        <w:ind w:left="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30%</w:t>
      </w:r>
    </w:p>
    <w:p>
      <w:pPr>
        <w:spacing w:before="206" w:line="207" w:lineRule="auto"/>
        <w:ind w:left="2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5"/>
          <w:sz w:val="13"/>
          <w:szCs w:val="13"/>
        </w:rPr>
        <w:t>20%</w:t>
      </w:r>
    </w:p>
    <w:p>
      <w:pPr>
        <w:spacing w:before="205" w:line="207" w:lineRule="auto"/>
        <w:ind w:left="1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1"/>
          <w:sz w:val="13"/>
          <w:szCs w:val="13"/>
        </w:rPr>
        <w:t>10%</w:t>
      </w:r>
    </w:p>
    <w:p>
      <w:pPr>
        <w:spacing w:before="206" w:line="207" w:lineRule="auto"/>
        <w:ind w:left="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3"/>
          <w:sz w:val="13"/>
          <w:szCs w:val="13"/>
        </w:rPr>
        <w:t>0%</w:t>
      </w:r>
    </w:p>
    <w:p>
      <w:pPr>
        <w:spacing w:before="205" w:line="207" w:lineRule="auto"/>
        <w:ind w:left="2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-10%</w:t>
      </w:r>
    </w:p>
    <w:p>
      <w:pPr>
        <w:spacing w:line="207" w:lineRule="auto"/>
        <w:rPr>
          <w:rFonts w:ascii="Arial" w:eastAsia="Arial" w:hAnsi="Arial" w:cs="Arial"/>
          <w:sz w:val="13"/>
          <w:szCs w:val="13"/>
        </w:rPr>
        <w:sectPr>
          <w:headerReference w:type="default" r:id="rId33"/>
          <w:footerReference w:type="default" r:id="rId34"/>
          <w:type w:val="continuous"/>
          <w:pgSz w:w="11907" w:h="16839"/>
          <w:pgMar w:top="1320" w:right="954" w:bottom="1625" w:left="162" w:header="573" w:footer="1219" w:gutter="0"/>
          <w:pgNumType w:start="13"/>
          <w:cols w:num="5" w:space="708" w:equalWidth="0">
            <w:col w:w="734" w:space="100"/>
            <w:col w:w="3936" w:space="100"/>
            <w:col w:w="1210" w:space="100"/>
            <w:col w:w="3771" w:space="100"/>
            <w:col w:w="741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42" w:line="230" w:lineRule="auto"/>
        <w:ind w:left="415"/>
        <w:rPr>
          <w:sz w:val="13"/>
          <w:szCs w:val="13"/>
        </w:rPr>
      </w:pPr>
      <w:r>
        <w:rPr>
          <w:color w:val="4D4D4F"/>
          <w:spacing w:val="5"/>
          <w:sz w:val="13"/>
          <w:szCs w:val="13"/>
        </w:rPr>
        <w:t>资料来源：</w:t>
      </w:r>
      <w:r>
        <w:rPr>
          <w:color w:val="4D4D4F"/>
          <w:spacing w:val="-37"/>
          <w:sz w:val="13"/>
          <w:szCs w:val="13"/>
        </w:rPr>
        <w:t xml:space="preserve"> </w:t>
      </w:r>
      <w:r>
        <w:rPr>
          <w:rFonts w:ascii="Arial" w:eastAsia="Arial" w:hAnsi="Arial" w:cs="Arial"/>
          <w:color w:val="4D4D4F"/>
          <w:sz w:val="13"/>
          <w:szCs w:val="13"/>
        </w:rPr>
        <w:t>Ifind</w:t>
      </w:r>
      <w:r>
        <w:rPr>
          <w:color w:val="4D4D4F"/>
          <w:spacing w:val="5"/>
          <w:sz w:val="13"/>
          <w:szCs w:val="13"/>
        </w:rPr>
        <w:t>、国元证券研究所整理</w:t>
      </w:r>
      <w:r>
        <w:rPr>
          <w:color w:val="4D4D4F"/>
          <w:spacing w:val="5"/>
          <w:sz w:val="13"/>
          <w:szCs w:val="13"/>
        </w:rPr>
        <w:t xml:space="preserve">                                          </w:t>
      </w:r>
      <w:r>
        <w:rPr>
          <w:color w:val="4D4D4F"/>
          <w:spacing w:val="5"/>
          <w:sz w:val="13"/>
          <w:szCs w:val="13"/>
        </w:rPr>
        <w:t>资料来源：</w:t>
      </w:r>
      <w:r>
        <w:rPr>
          <w:color w:val="4D4D4F"/>
          <w:spacing w:val="-38"/>
          <w:sz w:val="13"/>
          <w:szCs w:val="13"/>
        </w:rPr>
        <w:t xml:space="preserve"> </w:t>
      </w:r>
      <w:r>
        <w:rPr>
          <w:rFonts w:ascii="Arial" w:eastAsia="Arial" w:hAnsi="Arial" w:cs="Arial"/>
          <w:color w:val="4D4D4F"/>
          <w:sz w:val="13"/>
          <w:szCs w:val="13"/>
        </w:rPr>
        <w:t>Ifind</w:t>
      </w:r>
      <w:r>
        <w:rPr>
          <w:rFonts w:ascii="Arial" w:eastAsia="Arial" w:hAnsi="Arial" w:cs="Arial"/>
          <w:color w:val="4D4D4F"/>
          <w:spacing w:val="-21"/>
          <w:sz w:val="13"/>
          <w:szCs w:val="13"/>
        </w:rPr>
        <w:t xml:space="preserve"> </w:t>
      </w:r>
      <w:r>
        <w:rPr>
          <w:color w:val="4D4D4F"/>
          <w:spacing w:val="5"/>
          <w:sz w:val="13"/>
          <w:szCs w:val="13"/>
        </w:rPr>
        <w:t>、</w:t>
      </w:r>
      <w:r>
        <w:rPr>
          <w:color w:val="4D4D4F"/>
          <w:spacing w:val="-35"/>
          <w:sz w:val="13"/>
          <w:szCs w:val="13"/>
        </w:rPr>
        <w:t xml:space="preserve"> </w:t>
      </w:r>
      <w:r>
        <w:rPr>
          <w:color w:val="4D4D4F"/>
          <w:spacing w:val="5"/>
          <w:sz w:val="13"/>
          <w:szCs w:val="13"/>
        </w:rPr>
        <w:t>国元证券</w:t>
      </w:r>
      <w:r>
        <w:rPr>
          <w:color w:val="4D4D4F"/>
          <w:spacing w:val="4"/>
          <w:sz w:val="13"/>
          <w:szCs w:val="13"/>
        </w:rPr>
        <w:t>研究所整理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62" w:line="226" w:lineRule="auto"/>
        <w:ind w:left="436"/>
        <w:rPr>
          <w:sz w:val="19"/>
          <w:szCs w:val="19"/>
        </w:rPr>
      </w:pPr>
      <w:bookmarkStart w:id="7" w:name="bookmark21"/>
      <w:bookmarkEnd w:id="7"/>
      <w:bookmarkStart w:id="8" w:name="bookmark22"/>
      <w:bookmarkEnd w:id="8"/>
      <w:r>
        <w:rPr>
          <w:color w:val="336FB4"/>
          <w:spacing w:val="8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图</w:t>
      </w:r>
      <w:r>
        <w:rPr>
          <w:color w:val="336FB4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8"/>
          <w:sz w:val="19"/>
          <w:szCs w:val="19"/>
        </w:rPr>
        <w:t>4</w:t>
      </w:r>
      <w:r>
        <w:rPr>
          <w:color w:val="336FB4"/>
          <w:spacing w:val="8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：公司近三年分季度营业总收入及增速</w:t>
      </w:r>
      <w:r>
        <w:rPr>
          <w:color w:val="336FB4"/>
          <w:spacing w:val="3"/>
          <w:sz w:val="19"/>
          <w:szCs w:val="19"/>
        </w:rPr>
        <w:t xml:space="preserve">               </w:t>
      </w:r>
      <w:r>
        <w:rPr>
          <w:color w:val="336FB4"/>
          <w:spacing w:val="8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图</w:t>
      </w:r>
      <w:r>
        <w:rPr>
          <w:color w:val="336FB4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336FB4"/>
          <w:spacing w:val="8"/>
          <w:sz w:val="19"/>
          <w:szCs w:val="19"/>
        </w:rPr>
        <w:t>5</w:t>
      </w:r>
      <w:r>
        <w:rPr>
          <w:color w:val="336FB4"/>
          <w:spacing w:val="8"/>
          <w:sz w:val="19"/>
          <w:szCs w:val="19"/>
          <w14:textOutline w14:w="3614">
            <w14:solidFill>
              <w14:srgbClr w14:val="336FB4"/>
            </w14:solidFill>
            <w14:prstDash w14:val="solid"/>
            <w14:miter w14:lim="10"/>
          </w14:textOutline>
        </w:rPr>
        <w:t>：公司近三年分季度归母净利润及增速</w:t>
      </w:r>
    </w:p>
    <w:p>
      <w:pPr>
        <w:spacing w:before="184"/>
      </w:pPr>
    </w:p>
    <w:p>
      <w:pPr>
        <w:sectPr>
          <w:headerReference w:type="default" r:id="rId35"/>
          <w:footerReference w:type="default" r:id="rId36"/>
          <w:type w:val="continuous"/>
          <w:pgSz w:w="11907" w:h="16839"/>
          <w:pgMar w:top="1320" w:right="954" w:bottom="1625" w:left="162" w:header="573" w:footer="1219" w:gutter="0"/>
          <w:pgNumType w:start="14"/>
          <w:cols w:num="1" w:space="708" w:equalWidth="0">
            <w:col w:w="10790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38" w:line="465" w:lineRule="auto"/>
        <w:ind w:left="646" w:right="13"/>
        <w:jc w:val="both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3"/>
          <w:sz w:val="13"/>
          <w:szCs w:val="13"/>
        </w:rPr>
        <w:t>2.5</w:t>
      </w:r>
      <w:r>
        <w:rPr>
          <w:rFonts w:ascii="Arial" w:eastAsia="Arial" w:hAnsi="Arial" w:cs="Arial"/>
          <w:color w:val="595959"/>
          <w:sz w:val="13"/>
          <w:szCs w:val="13"/>
        </w:rPr>
        <w:t xml:space="preserve"> 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2.0</w:t>
      </w:r>
      <w:r>
        <w:rPr>
          <w:rFonts w:ascii="Arial" w:eastAsia="Arial" w:hAnsi="Arial" w:cs="Arial"/>
          <w:color w:val="595959"/>
          <w:sz w:val="13"/>
          <w:szCs w:val="13"/>
        </w:rPr>
        <w:t xml:space="preserve"> 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1.5</w:t>
      </w:r>
      <w:r>
        <w:rPr>
          <w:rFonts w:ascii="Arial" w:eastAsia="Arial" w:hAnsi="Arial" w:cs="Arial"/>
          <w:color w:val="595959"/>
          <w:sz w:val="13"/>
          <w:szCs w:val="13"/>
        </w:rPr>
        <w:t xml:space="preserve"> 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1.0</w:t>
      </w:r>
      <w:r>
        <w:rPr>
          <w:rFonts w:ascii="Arial" w:eastAsia="Arial" w:hAnsi="Arial" w:cs="Arial"/>
          <w:color w:val="595959"/>
          <w:sz w:val="13"/>
          <w:szCs w:val="13"/>
        </w:rPr>
        <w:t xml:space="preserve"> 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0.5</w:t>
      </w:r>
      <w:r>
        <w:rPr>
          <w:rFonts w:ascii="Arial" w:eastAsia="Arial" w:hAnsi="Arial" w:cs="Arial"/>
          <w:color w:val="595959"/>
          <w:sz w:val="13"/>
          <w:szCs w:val="13"/>
        </w:rPr>
        <w:t xml:space="preserve"> </w:t>
      </w:r>
      <w:r>
        <w:rPr>
          <w:rFonts w:ascii="Arial" w:eastAsia="Arial" w:hAnsi="Arial" w:cs="Arial"/>
          <w:color w:val="595959"/>
          <w:spacing w:val="3"/>
          <w:sz w:val="13"/>
          <w:szCs w:val="13"/>
        </w:rPr>
        <w:t>0.0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2"/>
        <w:tblW w:w="3272" w:type="dxa"/>
        <w:tblInd w:w="2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35"/>
        <w:gridCol w:w="1637"/>
      </w:tblGrid>
      <w:tr>
        <w:tblPrEx>
          <w:tblW w:w="3272" w:type="dxa"/>
          <w:tblInd w:w="2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97"/>
        </w:trPr>
        <w:tc>
          <w:tcPr>
            <w:tcW w:w="1635" w:type="dxa"/>
            <w:vAlign w:val="top"/>
          </w:tcPr>
          <w:p>
            <w:pPr>
              <w:pStyle w:val="TableText"/>
              <w:tabs>
                <w:tab w:val="left" w:pos="6"/>
              </w:tabs>
              <w:spacing w:line="325" w:lineRule="auto"/>
              <w:ind w:firstLine="7"/>
              <w:jc w:val="both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drawing>
                <wp:inline distT="0" distB="0" distL="0" distR="0">
                  <wp:extent cx="54678" cy="52468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78" cy="52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595959"/>
                <w:spacing w:val="8"/>
                <w:sz w:val="13"/>
                <w:szCs w:val="13"/>
              </w:rPr>
              <w:t>21</w:t>
            </w:r>
            <w:r>
              <w:rPr>
                <w:color w:val="595959"/>
                <w:spacing w:val="8"/>
                <w:sz w:val="13"/>
                <w:szCs w:val="13"/>
              </w:rPr>
              <w:t>年单季总营收（亿元）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tab/>
            </w: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drawing>
                <wp:inline distT="0" distB="0" distL="0" distR="0">
                  <wp:extent cx="54789" cy="53968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89" cy="53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595959"/>
                <w:spacing w:val="8"/>
                <w:sz w:val="13"/>
                <w:szCs w:val="13"/>
              </w:rPr>
              <w:t>23</w:t>
            </w:r>
            <w:r>
              <w:rPr>
                <w:color w:val="595959"/>
                <w:spacing w:val="8"/>
                <w:sz w:val="13"/>
                <w:szCs w:val="13"/>
              </w:rPr>
              <w:t>年单季总营收（亿元）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drawing>
                <wp:inline distT="0" distB="0" distL="0" distR="0">
                  <wp:extent cx="62272" cy="61464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72" cy="61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595959"/>
                <w:spacing w:val="7"/>
                <w:sz w:val="13"/>
                <w:szCs w:val="13"/>
              </w:rPr>
              <w:t>22</w:t>
            </w:r>
            <w:r>
              <w:rPr>
                <w:color w:val="595959"/>
                <w:spacing w:val="7"/>
                <w:sz w:val="13"/>
                <w:szCs w:val="13"/>
              </w:rPr>
              <w:t>单季同比（</w:t>
            </w:r>
            <w:r>
              <w:rPr>
                <w:rFonts w:ascii="Arial" w:eastAsia="Arial" w:hAnsi="Arial" w:cs="Arial"/>
                <w:color w:val="595959"/>
                <w:spacing w:val="7"/>
                <w:sz w:val="13"/>
                <w:szCs w:val="13"/>
              </w:rPr>
              <w:t>%</w:t>
            </w:r>
            <w:r>
              <w:rPr>
                <w:color w:val="595959"/>
                <w:spacing w:val="7"/>
                <w:sz w:val="13"/>
                <w:szCs w:val="13"/>
              </w:rPr>
              <w:t>，右）</w:t>
            </w:r>
          </w:p>
        </w:tc>
        <w:tc>
          <w:tcPr>
            <w:tcW w:w="1637" w:type="dxa"/>
            <w:vAlign w:val="top"/>
          </w:tcPr>
          <w:p>
            <w:pPr>
              <w:pStyle w:val="TableText"/>
              <w:spacing w:before="1" w:line="313" w:lineRule="auto"/>
              <w:ind w:left="59" w:firstLine="9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drawing>
                <wp:inline distT="0" distB="0" distL="0" distR="0">
                  <wp:extent cx="52680" cy="53166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80" cy="53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595959"/>
                <w:spacing w:val="3"/>
                <w:sz w:val="13"/>
                <w:szCs w:val="13"/>
              </w:rPr>
              <w:t>22</w:t>
            </w:r>
            <w:r>
              <w:rPr>
                <w:color w:val="595959"/>
                <w:spacing w:val="3"/>
                <w:sz w:val="13"/>
                <w:szCs w:val="13"/>
              </w:rPr>
              <w:t>年单季总营收（亿元）</w:t>
            </w:r>
            <w:r>
              <w:rPr>
                <w:color w:val="595959"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drawing>
                <wp:inline distT="0" distB="0" distL="0" distR="0">
                  <wp:extent cx="59996" cy="62281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96" cy="62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595959"/>
                <w:spacing w:val="3"/>
                <w:sz w:val="13"/>
                <w:szCs w:val="13"/>
              </w:rPr>
              <w:t>21</w:t>
            </w:r>
            <w:r>
              <w:rPr>
                <w:color w:val="595959"/>
                <w:spacing w:val="3"/>
                <w:sz w:val="13"/>
                <w:szCs w:val="13"/>
              </w:rPr>
              <w:t>单季同比（</w:t>
            </w:r>
            <w:r>
              <w:rPr>
                <w:rFonts w:ascii="Arial" w:eastAsia="Arial" w:hAnsi="Arial" w:cs="Arial"/>
                <w:color w:val="595959"/>
                <w:spacing w:val="3"/>
                <w:sz w:val="13"/>
                <w:szCs w:val="13"/>
              </w:rPr>
              <w:t>%</w:t>
            </w:r>
            <w:r>
              <w:rPr>
                <w:color w:val="595959"/>
                <w:spacing w:val="3"/>
                <w:sz w:val="13"/>
                <w:szCs w:val="13"/>
              </w:rPr>
              <w:t>，右）</w:t>
            </w:r>
          </w:p>
          <w:p>
            <w:pPr>
              <w:pStyle w:val="TableText"/>
              <w:spacing w:before="106" w:line="197" w:lineRule="auto"/>
              <w:ind w:left="59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595959"/>
                <w:sz w:val="13"/>
                <w:szCs w:val="13"/>
              </w:rPr>
              <w:drawing>
                <wp:inline distT="0" distB="0" distL="0" distR="0">
                  <wp:extent cx="62483" cy="5827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3" cy="5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595959"/>
                <w:spacing w:val="8"/>
                <w:sz w:val="13"/>
                <w:szCs w:val="13"/>
              </w:rPr>
              <w:t>23</w:t>
            </w:r>
            <w:r>
              <w:rPr>
                <w:color w:val="595959"/>
                <w:spacing w:val="8"/>
                <w:sz w:val="13"/>
                <w:szCs w:val="13"/>
              </w:rPr>
              <w:t>单季同比（</w:t>
            </w:r>
            <w:r>
              <w:rPr>
                <w:rFonts w:ascii="Arial" w:eastAsia="Arial" w:hAnsi="Arial" w:cs="Arial"/>
                <w:color w:val="595959"/>
                <w:spacing w:val="8"/>
                <w:sz w:val="13"/>
                <w:szCs w:val="13"/>
              </w:rPr>
              <w:t>%</w:t>
            </w:r>
            <w:r>
              <w:rPr>
                <w:color w:val="595959"/>
                <w:spacing w:val="8"/>
                <w:sz w:val="13"/>
                <w:szCs w:val="13"/>
              </w:rPr>
              <w:t>，右）</w:t>
            </w: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before="1" w:line="1608" w:lineRule="exact"/>
      </w:pPr>
      <w:r>
        <w:rPr>
          <w:position w:val="-32"/>
        </w:rPr>
        <w:drawing>
          <wp:inline distT="0" distB="0" distL="0" distR="0">
            <wp:extent cx="2383535" cy="1021079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83535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75" w:lineRule="auto"/>
        <w:ind w:left="386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2"/>
          <w:sz w:val="13"/>
          <w:szCs w:val="13"/>
        </w:rPr>
        <w:t xml:space="preserve">Q1                    Q2                    Q3         </w:t>
      </w:r>
      <w:r>
        <w:rPr>
          <w:rFonts w:ascii="Arial" w:eastAsia="Arial" w:hAnsi="Arial" w:cs="Arial"/>
          <w:color w:val="595959"/>
          <w:spacing w:val="1"/>
          <w:sz w:val="13"/>
          <w:szCs w:val="13"/>
        </w:rPr>
        <w:t xml:space="preserve">           Q4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38" w:line="266" w:lineRule="exact"/>
        <w:ind w:left="5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5"/>
          <w:position w:val="11"/>
          <w:sz w:val="13"/>
          <w:szCs w:val="13"/>
        </w:rPr>
        <w:t>40%</w:t>
      </w:r>
    </w:p>
    <w:p>
      <w:pPr>
        <w:spacing w:line="207" w:lineRule="auto"/>
        <w:ind w:left="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30%</w:t>
      </w:r>
    </w:p>
    <w:p>
      <w:pPr>
        <w:spacing w:before="136" w:line="207" w:lineRule="auto"/>
        <w:ind w:left="7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5"/>
          <w:sz w:val="13"/>
          <w:szCs w:val="13"/>
        </w:rPr>
        <w:t>20%</w:t>
      </w:r>
    </w:p>
    <w:p>
      <w:pPr>
        <w:spacing w:before="137" w:line="207" w:lineRule="auto"/>
        <w:ind w:left="18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1"/>
          <w:sz w:val="13"/>
          <w:szCs w:val="13"/>
        </w:rPr>
        <w:t>10%</w:t>
      </w:r>
    </w:p>
    <w:p>
      <w:pPr>
        <w:spacing w:before="137" w:line="207" w:lineRule="auto"/>
        <w:ind w:left="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3"/>
          <w:sz w:val="13"/>
          <w:szCs w:val="13"/>
        </w:rPr>
        <w:t>0%</w:t>
      </w:r>
    </w:p>
    <w:p>
      <w:pPr>
        <w:spacing w:before="136" w:line="266" w:lineRule="exact"/>
        <w:ind w:left="7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position w:val="11"/>
          <w:sz w:val="13"/>
          <w:szCs w:val="13"/>
        </w:rPr>
        <w:t>-10%</w:t>
      </w:r>
    </w:p>
    <w:p>
      <w:pPr>
        <w:spacing w:line="207" w:lineRule="auto"/>
        <w:ind w:left="7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595959"/>
          <w:spacing w:val="4"/>
          <w:sz w:val="13"/>
          <w:szCs w:val="13"/>
        </w:rPr>
        <w:t>-20%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  <w:r>
        <w:rPr>
          <w:rFonts w:ascii="Arial"/>
          <w:sz w:val="2"/>
        </w:rPr>
        <w:br/>
      </w:r>
      <w:r>
        <w:rPr>
          <w:rFonts w:ascii="Arial"/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https://d.book118.com/328123035016006031</w:t>
        </w:r>
      </w:hyperlink>
    </w:p>
    <w:p>
      <w:pPr>
        <w:spacing w:line="14" w:lineRule="auto"/>
        <w:rPr>
          <w:rFonts w:ascii="Arial"/>
          <w:sz w:val="2"/>
        </w:rPr>
      </w:pPr>
    </w:p>
    <w:sectPr>
      <w:headerReference w:type="default" r:id="rId45"/>
      <w:footerReference w:type="default" r:id="rId46"/>
      <w:type w:val="continuous"/>
      <w:pgSz w:w="11907" w:h="16839"/>
      <w:pgMar w:top="1320" w:right="954" w:bottom="1625" w:left="162" w:header="573" w:footer="1219" w:gutter="0"/>
      <w:pgNumType w:start="15"/>
      <w:cols w:num="6" w:space="708" w:equalWidth="0">
        <w:col w:w="852" w:space="100"/>
        <w:col w:w="3765" w:space="100"/>
        <w:col w:w="720" w:space="0"/>
        <w:col w:w="720" w:space="0"/>
        <w:col w:w="3694" w:space="100"/>
        <w:col w:w="7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49" style="width:541.95pt;height:1.45pt;mso-position-horizontal-relative:char;mso-position-vertical-relative:line" coordorigin="0,0" coordsize="10839,29" path="m,28l5103,28l5103,l,l,28xem5103,28l5132,28l5132,l5103,l5103,28xem5132,28l10838,28l10838,l5132,l5132,28xe" filled="t" fillcolor="black" stroked="f">
          <w10:wrap type="none"/>
        </v:shape>
      </w:pict>
    </w:r>
  </w:p>
  <w:p>
    <w:pPr>
      <w:pStyle w:val="BodyText"/>
      <w:spacing w:line="212" w:lineRule="auto"/>
      <w:ind w:left="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6pt;height:11.15pt;margin-top:0.88pt;margin-left:502.66pt;position:absolute;z-index:251658240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1 /</w:t>
                </w:r>
                <w:r>
                  <w:rPr>
                    <w:rFonts w:ascii="Arial" w:eastAsia="Arial" w:hAnsi="Arial" w:cs="Arial"/>
                    <w:b/>
                    <w:bCs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51" style="width:541.95pt;height:1.45pt;mso-position-horizontal-relative:char;mso-position-vertical-relative:line" coordorigin="0,0" coordsize="10839,29" path="m,28l5103,28l5103,l,l,28xem5103,28l5132,28l5132,l5103,l5103,28xem5132,28l10838,28l10838,l5132,l5132,28xe" filled="t" fillcolor="black" stroked="f">
          <w10:wrap type="none"/>
        </v:shape>
      </w:pict>
    </w:r>
  </w:p>
  <w:p>
    <w:pPr>
      <w:pStyle w:val="BodyText"/>
      <w:spacing w:line="212" w:lineRule="auto"/>
      <w:ind w:left="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6pt;height:11.15pt;margin-top:0.88pt;margin-left:502.66pt;position:absolute;z-index:251659264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1 /</w:t>
                </w:r>
                <w:r>
                  <w:rPr>
                    <w:rFonts w:ascii="Arial" w:eastAsia="Arial" w:hAnsi="Arial" w:cs="Arial"/>
                    <w:b/>
                    <w:bCs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53" style="width:541.95pt;height:1.45pt;mso-position-horizontal-relative:char;mso-position-vertical-relative:line" coordorigin="0,0" coordsize="10839,29" path="m,28l5103,28l5103,l,l,28xem5103,28l5132,28l5132,l5103,l5103,28xem5132,28l10838,28l10838,l5132,l5132,28xe" filled="t" fillcolor="black" stroked="f">
          <w10:wrap type="none"/>
        </v:shape>
      </w:pict>
    </w:r>
  </w:p>
  <w:p>
    <w:pPr>
      <w:pStyle w:val="BodyText"/>
      <w:spacing w:line="212" w:lineRule="auto"/>
      <w:ind w:left="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6pt;height:11.15pt;margin-top:0.88pt;margin-left:502.66pt;position:absolute;z-index:251660288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1 /</w:t>
                </w:r>
                <w:r>
                  <w:rPr>
                    <w:rFonts w:ascii="Arial" w:eastAsia="Arial" w:hAnsi="Arial" w:cs="Arial"/>
                    <w:b/>
                    <w:bCs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55" style="width:541.95pt;height:1.45pt;mso-position-horizontal-relative:char;mso-position-vertical-relative:line" coordorigin="0,0" coordsize="10839,29" path="m,28l5103,28l5103,l,l,28xem5103,28l5132,28l5132,l5103,l5103,28xem5132,28l10838,28l10838,l5132,l5132,28xe" filled="t" fillcolor="black" stroked="f">
          <w10:wrap type="none"/>
        </v:shape>
      </w:pict>
    </w:r>
  </w:p>
  <w:p>
    <w:pPr>
      <w:pStyle w:val="BodyText"/>
      <w:spacing w:line="212" w:lineRule="auto"/>
      <w:ind w:left="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6pt;height:11.15pt;margin-top:0.88pt;margin-left:502.66pt;position:absolute;z-index:251661312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1 /</w:t>
                </w:r>
                <w:r>
                  <w:rPr>
                    <w:rFonts w:ascii="Arial" w:eastAsia="Arial" w:hAnsi="Arial" w:cs="Arial"/>
                    <w:b/>
                    <w:bCs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57" style="width:541.95pt;height:1.45pt;mso-position-horizontal-relative:char;mso-position-vertical-relative:line" coordorigin="0,0" coordsize="10839,29" path="m,28l5103,28l5103,l,l,28xem5103,28l5132,28l5132,l5103,l5103,28xem5132,28l10838,28l10838,l5132,l5132,28xe" filled="t" fillcolor="black" stroked="f">
          <w10:wrap type="none"/>
        </v:shape>
      </w:pict>
    </w:r>
  </w:p>
  <w:p>
    <w:pPr>
      <w:pStyle w:val="BodyText"/>
      <w:spacing w:line="212" w:lineRule="auto"/>
      <w:ind w:left="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1.6pt;height:11.15pt;margin-top:0.88pt;margin-left:502.66pt;position:absolute;z-index:251662336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1 /</w:t>
                </w:r>
                <w:r>
                  <w:rPr>
                    <w:rFonts w:ascii="Arial" w:eastAsia="Arial" w:hAnsi="Arial" w:cs="Arial"/>
                    <w:b/>
                    <w:bCs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59" style="width:541.95pt;height:1.45pt;mso-position-horizontal-relative:char;mso-position-vertical-relative:line" coordorigin="0,0" coordsize="10839,29" path="m,28l5103,28l5103,l,l,28xem5103,28l5132,28l5132,l5103,l5103,28xem5132,28l10838,28l10838,l5132,l5132,28xe" filled="t" fillcolor="black" stroked="f">
          <w10:wrap type="none"/>
        </v:shape>
      </w:pict>
    </w:r>
  </w:p>
  <w:p>
    <w:pPr>
      <w:pStyle w:val="BodyText"/>
      <w:spacing w:line="212" w:lineRule="auto"/>
      <w:ind w:left="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6pt;height:11.15pt;margin-top:0.88pt;margin-left:502.66pt;position:absolute;z-index:251663360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1 /</w:t>
                </w:r>
                <w:r>
                  <w:rPr>
                    <w:rFonts w:ascii="Arial" w:eastAsia="Arial" w:hAnsi="Arial" w:cs="Arial"/>
                    <w:b/>
                    <w:bCs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3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64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1.9pt;height:11.15pt;margin-top:0.88pt;margin-left:472.46pt;position:absolute;z-index:251664384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 /</w:t>
                </w:r>
                <w:r>
                  <w:rPr>
                    <w:rFonts w:ascii="Arial" w:eastAsia="Arial" w:hAnsi="Arial" w:cs="Arial"/>
                    <w:b/>
                    <w:bCs/>
                    <w:spacing w:val="7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69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1.9pt;height:11.15pt;margin-top:0.88pt;margin-left:472.46pt;position:absolute;z-index:251665408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 /</w:t>
                </w:r>
                <w:r>
                  <w:rPr>
                    <w:rFonts w:ascii="Arial" w:eastAsia="Arial" w:hAnsi="Arial" w:cs="Arial"/>
                    <w:b/>
                    <w:bCs/>
                    <w:spacing w:val="7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71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1.8pt;height:11.15pt;margin-top:0.88pt;margin-left:472.57pt;position:absolute;z-index:251666432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3 /</w:t>
                </w:r>
                <w:r>
                  <w:rPr>
                    <w:rFonts w:ascii="Arial" w:eastAsia="Arial" w:hAnsi="Arial" w:cs="Arial"/>
                    <w:b/>
                    <w:bCs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79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.95pt;height:11.15pt;margin-top:0.88pt;margin-left:472.41pt;position:absolute;z-index:251667456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4 /</w:t>
                </w:r>
                <w:r>
                  <w:rPr>
                    <w:rFonts w:ascii="Arial" w:eastAsia="Arial" w:hAnsi="Arial" w:cs="Arial"/>
                    <w:b/>
                    <w:bCs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</w:pPr>
    <w:r>
      <w:pict>
        <v:shape id="_x0000_i2084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1.95pt;height:11.15pt;margin-top:0.88pt;margin-left:472.41pt;position:absolute;z-index:251668480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4 /</w:t>
                </w:r>
                <w:r>
                  <w:rPr>
                    <w:rFonts w:ascii="Arial" w:eastAsia="Arial" w:hAnsi="Arial" w:cs="Arial"/>
                    <w:b/>
                    <w:bCs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  <w:ind w:firstLine="406"/>
    </w:pPr>
    <w:r>
      <w:pict>
        <v:shape id="_x0000_i2089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412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1.75pt;height:11.15pt;margin-top:0.88pt;margin-left:492.95pt;position:absolute;z-index:251669504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5 /</w:t>
                </w:r>
                <w:r>
                  <w:rPr>
                    <w:rFonts w:ascii="Arial" w:eastAsia="Arial" w:hAnsi="Arial" w:cs="Arial"/>
                    <w:b/>
                    <w:bCs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  <w:ind w:firstLine="406"/>
    </w:pPr>
    <w:r>
      <w:pict>
        <v:shape id="_x0000_i2094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412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1.75pt;height:11.15pt;margin-top:0.88pt;margin-left:492.95pt;position:absolute;z-index:251670528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5 /</w:t>
                </w:r>
                <w:r>
                  <w:rPr>
                    <w:rFonts w:ascii="Arial" w:eastAsia="Arial" w:hAnsi="Arial" w:cs="Arial"/>
                    <w:b/>
                    <w:bCs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  <w:ind w:firstLine="406"/>
    </w:pPr>
    <w:r>
      <w:pict>
        <v:shape id="_x0000_i2099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412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1.75pt;height:11.15pt;margin-top:0.88pt;margin-left:492.95pt;position:absolute;z-index:251671552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5 /</w:t>
                </w:r>
                <w:r>
                  <w:rPr>
                    <w:rFonts w:ascii="Arial" w:eastAsia="Arial" w:hAnsi="Arial" w:cs="Arial"/>
                    <w:b/>
                    <w:bCs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9" w:line="28" w:lineRule="exact"/>
      <w:ind w:firstLine="406"/>
    </w:pPr>
    <w:r>
      <w:pict>
        <v:shape id="_x0000_i2104" style="width:514.1pt;height:1.45pt;mso-position-horizontal-relative:char;mso-position-vertical-relative:line" coordorigin="0,0" coordsize="10281,29" path="m,28l5388,28l5388,l,l,28xem5388,28l5417,28l5417,l5388,l5388,28xem5417,28l10281,28l10281,l5417,l5417,28xe" filled="t" fillcolor="black" stroked="f">
          <w10:wrap type="none"/>
        </v:shape>
      </w:pict>
    </w:r>
  </w:p>
  <w:p>
    <w:pPr>
      <w:pStyle w:val="BodyText"/>
      <w:spacing w:line="212" w:lineRule="auto"/>
      <w:ind w:left="412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1.75pt;height:11.15pt;margin-top:0.88pt;margin-left:492.95pt;position:absolute;z-index:251672576" filled="f" stroked="f">
          <o:lock v:ext="edit" aspectratio="f"/>
          <v:textbox inset="0,0,0,0">
            <w:txbxContent>
              <w:p>
                <w:pPr>
                  <w:spacing w:before="20" w:line="238" w:lineRule="auto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5 /</w:t>
                </w:r>
                <w:r>
                  <w:rPr>
                    <w:rFonts w:ascii="Arial" w:eastAsia="Arial" w:hAnsi="Arial" w:cs="Arial"/>
                    <w:b/>
                    <w:bCs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spacing w:val="-2"/>
                    <w:sz w:val="16"/>
                    <w:szCs w:val="16"/>
                  </w:rPr>
                  <w:t>24</w:t>
                </w:r>
              </w:p>
            </w:txbxContent>
          </v:textbox>
        </v:shape>
      </w:pict>
    </w:r>
    <w:r>
      <w:rPr>
        <w:spacing w:val="-1"/>
      </w:rPr>
      <w:t>请务必阅读正文之后的免责条款部分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7785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32"/>
    </w:pPr>
    <w:r>
      <w:rPr>
        <w:position w:val="-1"/>
      </w:rPr>
      <w:pict>
        <v:group id="_x0000_i2061" style="width:508.4pt;height:1.6pt;mso-position-horizontal-relative:char;mso-position-vertical-relative:line" coordorigin="0,0" coordsize="10167,32" filled="f" stroked="f">
          <v:shape id="_x0000_s2062" style="width:2697;height:32;position:absolute" coordorigin="0,0" coordsize="2697,32" path="m,15l2697,15e" filled="f" strokecolor="#ffb900" strokeweight="1.56pt">
            <v:stroke joinstyle="miter"/>
          </v:shape>
          <v:shape id="_x0000_s2063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7785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92488026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488026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32"/>
    </w:pPr>
    <w:r>
      <w:rPr>
        <w:position w:val="-1"/>
      </w:rPr>
      <w:pict>
        <v:group id="_x0000_i2066" style="width:508.4pt;height:1.6pt;mso-position-horizontal-relative:char;mso-position-vertical-relative:line" coordorigin="0,0" coordsize="10167,32" filled="f" stroked="f">
          <v:shape id="_x0000_s2067" style="width:2697;height:32;position:absolute" coordorigin="0,0" coordsize="2697,32" path="m,15l2697,15e" filled="f" strokecolor="#ffb900" strokeweight="1.56pt">
            <v:stroke joinstyle="miter"/>
          </v:shape>
          <v:shape id="_x0000_s2068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7785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10455817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5817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32"/>
    </w:pPr>
    <w:r>
      <w:rPr>
        <w:position w:val="-1"/>
      </w:rPr>
      <w:pict>
        <v:group id="_x0000_i2073" style="width:508.4pt;height:1.6pt;mso-position-horizontal-relative:char;mso-position-vertical-relative:line" coordorigin="0,0" coordsize="10167,32" filled="f" stroked="f">
          <v:shape id="_x0000_s2074" style="width:2697;height:32;position:absolute" coordorigin="0,0" coordsize="2697,32" path="m,15l2697,15e" filled="f" strokecolor="#ffb900" strokeweight="1.56pt">
            <v:stroke joinstyle="miter"/>
          </v:shape>
          <v:shape id="_x0000_s2075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7785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32"/>
    </w:pPr>
    <w:r>
      <w:rPr>
        <w:position w:val="-1"/>
      </w:rPr>
      <w:pict>
        <v:group id="_x0000_i2076" style="width:508.4pt;height:1.6pt;mso-position-horizontal-relative:char;mso-position-vertical-relative:line" coordorigin="0,0" coordsize="10167,32" filled="f" stroked="f">
          <v:shape id="_x0000_s2077" style="width:2697;height:32;position:absolute" coordorigin="0,0" coordsize="2697,32" path="m,15l2697,15e" filled="f" strokecolor="#ffb900" strokeweight="1.56pt">
            <v:stroke joinstyle="miter"/>
          </v:shape>
          <v:shape id="_x0000_s2078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7785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124219805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198057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32"/>
    </w:pPr>
    <w:r>
      <w:rPr>
        <w:position w:val="-1"/>
      </w:rPr>
      <w:pict>
        <v:group id="_x0000_i2081" style="width:508.4pt;height:1.6pt;mso-position-horizontal-relative:char;mso-position-vertical-relative:line" coordorigin="0,0" coordsize="10167,32" filled="f" stroked="f">
          <v:shape id="_x0000_s2082" style="width:2697;height:32;position:absolute" coordorigin="0,0" coordsize="2697,32" path="m,15l2697,15e" filled="f" strokecolor="#ffb900" strokeweight="1.56pt">
            <v:stroke joinstyle="miter"/>
          </v:shape>
          <v:shape id="_x0000_s2083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8192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439"/>
    </w:pPr>
    <w:r>
      <w:rPr>
        <w:position w:val="-1"/>
      </w:rPr>
      <w:pict>
        <v:group id="_x0000_i2086" style="width:508.4pt;height:1.6pt;mso-position-horizontal-relative:char;mso-position-vertical-relative:line" coordorigin="0,0" coordsize="10167,32" filled="f" stroked="f">
          <v:shape id="_x0000_s2087" style="width:2697;height:32;position:absolute" coordorigin="0,0" coordsize="2697,32" path="m,15l2697,15e" filled="f" strokecolor="#ffb900" strokeweight="1.56pt">
            <v:stroke joinstyle="miter"/>
          </v:shape>
          <v:shape id="_x0000_s2088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8192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138220243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20243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439"/>
    </w:pPr>
    <w:r>
      <w:rPr>
        <w:position w:val="-1"/>
      </w:rPr>
      <w:pict>
        <v:group id="_x0000_i2091" style="width:508.4pt;height:1.6pt;mso-position-horizontal-relative:char;mso-position-vertical-relative:line" coordorigin="0,0" coordsize="10167,32" filled="f" stroked="f">
          <v:shape id="_x0000_s2092" style="width:2697;height:32;position:absolute" coordorigin="0,0" coordsize="2697,32" path="m,15l2697,15e" filled="f" strokecolor="#ffb900" strokeweight="1.56pt">
            <v:stroke joinstyle="miter"/>
          </v:shape>
          <v:shape id="_x0000_s2093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8192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209539952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39952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439"/>
    </w:pPr>
    <w:r>
      <w:rPr>
        <w:position w:val="-1"/>
      </w:rPr>
      <w:pict>
        <v:group id="_x0000_i2096" style="width:508.4pt;height:1.6pt;mso-position-horizontal-relative:char;mso-position-vertical-relative:line" coordorigin="0,0" coordsize="10167,32" filled="f" stroked="f">
          <v:shape id="_x0000_s2097" style="width:2697;height:32;position:absolute" coordorigin="0,0" coordsize="2697,32" path="m,15l2697,15e" filled="f" strokecolor="#ffb900" strokeweight="1.56pt">
            <v:stroke joinstyle="miter"/>
          </v:shape>
          <v:shape id="_x0000_s2098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58" w:lineRule="exact"/>
      <w:ind w:firstLine="8192"/>
    </w:pPr>
    <w:r>
      <w:rPr>
        <w:position w:val="-9"/>
      </w:rPr>
      <w:drawing>
        <wp:inline distT="0" distB="0" distL="0" distR="0">
          <wp:extent cx="1533144" cy="291083"/>
          <wp:effectExtent l="0" t="0" r="0" b="0"/>
          <wp:docPr id="214657902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57902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33144" cy="291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55" w:lineRule="auto"/>
      <w:rPr>
        <w:rFonts w:ascii="Arial"/>
        <w:sz w:val="21"/>
      </w:rPr>
    </w:pPr>
  </w:p>
  <w:p>
    <w:pPr>
      <w:spacing w:line="21" w:lineRule="exact"/>
      <w:ind w:firstLine="439"/>
    </w:pPr>
    <w:r>
      <w:rPr>
        <w:position w:val="-1"/>
      </w:rPr>
      <w:pict>
        <v:group id="_x0000_i2101" style="width:508.4pt;height:1.6pt;mso-position-horizontal-relative:char;mso-position-vertical-relative:line" coordorigin="0,0" coordsize="10167,32" filled="f" stroked="f">
          <v:shape id="_x0000_s2102" style="width:2697;height:32;position:absolute" coordorigin="0,0" coordsize="2697,32" path="m,15l2697,15e" filled="f" strokecolor="#ffb900" strokeweight="1.56pt">
            <v:stroke joinstyle="miter"/>
          </v:shape>
          <v:shape id="_x0000_s2103" style="width:7552;height:32;left:2616;position:absolute" coordorigin="0,0" coordsize="7552,32" path="m,15l7551,15e" filled="f" strokecolor="#004d9c" strokeweight="1.56pt">
            <v:stroke joinstyle="miter"/>
          </v:shape>
          <w10:wrap type="none"/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footer" Target="footer6.xml" /><Relationship Id="rId14" Type="http://schemas.openxmlformats.org/officeDocument/2006/relationships/header" Target="header1.xml" /><Relationship Id="rId15" Type="http://schemas.openxmlformats.org/officeDocument/2006/relationships/footer" Target="footer7.xml" /><Relationship Id="rId16" Type="http://schemas.openxmlformats.org/officeDocument/2006/relationships/header" Target="header2.xml" /><Relationship Id="rId17" Type="http://schemas.openxmlformats.org/officeDocument/2006/relationships/footer" Target="footer8.xml" /><Relationship Id="rId18" Type="http://schemas.openxmlformats.org/officeDocument/2006/relationships/header" Target="header3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10.xml" /><Relationship Id="rId22" Type="http://schemas.openxmlformats.org/officeDocument/2006/relationships/image" Target="media/image6.png" /><Relationship Id="rId23" Type="http://schemas.openxmlformats.org/officeDocument/2006/relationships/header" Target="header5.xml" /><Relationship Id="rId24" Type="http://schemas.openxmlformats.org/officeDocument/2006/relationships/footer" Target="footer11.xml" /><Relationship Id="rId25" Type="http://schemas.openxmlformats.org/officeDocument/2006/relationships/header" Target="header6.xml" /><Relationship Id="rId26" Type="http://schemas.openxmlformats.org/officeDocument/2006/relationships/footer" Target="footer12.xml" /><Relationship Id="rId27" Type="http://schemas.openxmlformats.org/officeDocument/2006/relationships/image" Target="media/image7.png" /><Relationship Id="rId28" Type="http://schemas.openxmlformats.org/officeDocument/2006/relationships/image" Target="media/image8.pn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header" Target="header7.xml" /><Relationship Id="rId34" Type="http://schemas.openxmlformats.org/officeDocument/2006/relationships/footer" Target="footer13.xml" /><Relationship Id="rId35" Type="http://schemas.openxmlformats.org/officeDocument/2006/relationships/header" Target="header8.xml" /><Relationship Id="rId36" Type="http://schemas.openxmlformats.org/officeDocument/2006/relationships/footer" Target="footer14.xml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image" Target="media/image15.png" /><Relationship Id="rId4" Type="http://schemas.openxmlformats.org/officeDocument/2006/relationships/image" Target="media/image1.png" /><Relationship Id="rId40" Type="http://schemas.openxmlformats.org/officeDocument/2006/relationships/image" Target="media/image16.png" /><Relationship Id="rId41" Type="http://schemas.openxmlformats.org/officeDocument/2006/relationships/image" Target="media/image17.png" /><Relationship Id="rId42" Type="http://schemas.openxmlformats.org/officeDocument/2006/relationships/image" Target="media/image18.png" /><Relationship Id="rId43" Type="http://schemas.openxmlformats.org/officeDocument/2006/relationships/image" Target="media/image19.png" /><Relationship Id="rId44" Type="http://schemas.openxmlformats.org/officeDocument/2006/relationships/hyperlink" Target="https://d.book118.com/328123035016006031" TargetMode="External" /><Relationship Id="rId45" Type="http://schemas.openxmlformats.org/officeDocument/2006/relationships/header" Target="header9.xml" /><Relationship Id="rId46" Type="http://schemas.openxmlformats.org/officeDocument/2006/relationships/footer" Target="footer15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robinlll</dc:creator>
  <cp:revision>0</cp:revision>
  <dcterms:created xsi:type="dcterms:W3CDTF">2024-01-25T09:21:51Z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2024-01-25T09:28:41Z</vt:filetime>
  </property>
  <property fmtid="{D5CDD505-2E9C-101B-9397-08002B2CF9AE}" pid="3" name="CRO">
    <vt:lpwstr>wqlLaW5nc29mdCBQREYgdG8gV1BTIDkw</vt:lpwstr>
  </property>
</Properties>
</file>