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Style w:val="TableNormal"/>
        <w:tblW w:w="0" w:type="auto"/>
        <w:jc w:val="left"/>
        <w:tblInd w:w="2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80"/>
        <w:gridCol w:w="390"/>
        <w:gridCol w:w="396"/>
        <w:gridCol w:w="471"/>
        <w:gridCol w:w="500"/>
      </w:tblGrid>
      <w:tr>
        <w:tblPrEx>
          <w:tblW w:w="0" w:type="auto"/>
          <w:jc w:val="left"/>
          <w:tblInd w:w="2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1138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目录：</w:t>
            </w:r>
          </w:p>
          <w:p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b/>
                <w:spacing w:val="-13"/>
                <w:sz w:val="42"/>
              </w:rPr>
              <w:t xml:space="preserve">第一章：编制依据 </w:t>
            </w:r>
            <w:r>
              <w:rPr>
                <w:sz w:val="42"/>
              </w:rPr>
              <w:t>.....................................</w:t>
            </w:r>
          </w:p>
        </w:tc>
        <w:tc>
          <w:tcPr>
            <w:tcW w:w="3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3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39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971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80" w:type="dxa"/>
          </w:tcPr>
          <w:p>
            <w:pPr>
              <w:pStyle w:val="TableParagraph"/>
              <w:spacing w:before="199"/>
              <w:ind w:right="73"/>
              <w:jc w:val="right"/>
              <w:rPr>
                <w:sz w:val="42"/>
              </w:rPr>
            </w:pPr>
            <w:r>
              <w:rPr>
                <w:b/>
                <w:sz w:val="42"/>
              </w:rPr>
              <w:t>1、编制依据</w:t>
            </w:r>
            <w:r>
              <w:rPr>
                <w:sz w:val="42"/>
              </w:rPr>
              <w:t>： .....................................</w:t>
            </w:r>
          </w:p>
        </w:tc>
        <w:tc>
          <w:tcPr>
            <w:tcW w:w="390" w:type="dxa"/>
          </w:tcPr>
          <w:p>
            <w:pPr>
              <w:pStyle w:val="TableParagraph"/>
              <w:spacing w:before="199"/>
              <w:ind w:right="3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396" w:type="dxa"/>
          </w:tcPr>
          <w:p>
            <w:pPr>
              <w:pStyle w:val="TableParagraph"/>
              <w:spacing w:before="199"/>
              <w:ind w:right="7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971" w:type="dxa"/>
            <w:gridSpan w:val="2"/>
          </w:tcPr>
          <w:p>
            <w:pPr>
              <w:pStyle w:val="TableParagraph"/>
              <w:spacing w:before="199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80" w:type="dxa"/>
          </w:tcPr>
          <w:p>
            <w:pPr>
              <w:pStyle w:val="TableParagraph"/>
              <w:spacing w:before="199"/>
              <w:ind w:right="75"/>
              <w:jc w:val="right"/>
              <w:rPr>
                <w:sz w:val="42"/>
              </w:rPr>
            </w:pPr>
            <w:r>
              <w:rPr>
                <w:b/>
                <w:sz w:val="42"/>
              </w:rPr>
              <w:t xml:space="preserve">2、编制说明 </w:t>
            </w:r>
            <w:r>
              <w:rPr>
                <w:sz w:val="42"/>
              </w:rPr>
              <w:t>.......................................</w:t>
            </w:r>
          </w:p>
        </w:tc>
        <w:tc>
          <w:tcPr>
            <w:tcW w:w="390" w:type="dxa"/>
          </w:tcPr>
          <w:p>
            <w:pPr>
              <w:pStyle w:val="TableParagraph"/>
              <w:spacing w:before="199"/>
              <w:ind w:right="3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396" w:type="dxa"/>
          </w:tcPr>
          <w:p>
            <w:pPr>
              <w:pStyle w:val="TableParagraph"/>
              <w:spacing w:before="199"/>
              <w:ind w:right="7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971" w:type="dxa"/>
            <w:gridSpan w:val="2"/>
          </w:tcPr>
          <w:p>
            <w:pPr>
              <w:pStyle w:val="TableParagraph"/>
              <w:spacing w:before="199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80" w:type="dxa"/>
          </w:tcPr>
          <w:p>
            <w:pPr>
              <w:pStyle w:val="TableParagraph"/>
              <w:spacing w:before="199"/>
              <w:ind w:right="73"/>
              <w:jc w:val="right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第二章：工程概况 </w:t>
            </w:r>
            <w:r>
              <w:rPr>
                <w:sz w:val="42"/>
              </w:rPr>
              <w:t>.....................................</w:t>
            </w:r>
          </w:p>
        </w:tc>
        <w:tc>
          <w:tcPr>
            <w:tcW w:w="390" w:type="dxa"/>
          </w:tcPr>
          <w:p>
            <w:pPr>
              <w:pStyle w:val="TableParagraph"/>
              <w:spacing w:before="199"/>
              <w:ind w:right="3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396" w:type="dxa"/>
          </w:tcPr>
          <w:p>
            <w:pPr>
              <w:pStyle w:val="TableParagraph"/>
              <w:spacing w:before="199"/>
              <w:ind w:right="7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71" w:type="dxa"/>
            <w:gridSpan w:val="2"/>
          </w:tcPr>
          <w:p>
            <w:pPr>
              <w:pStyle w:val="TableParagraph"/>
              <w:spacing w:before="199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1380" w:type="dxa"/>
          </w:tcPr>
          <w:p>
            <w:pPr>
              <w:pStyle w:val="TableParagraph"/>
              <w:spacing w:before="199" w:line="459" w:lineRule="exact"/>
              <w:ind w:right="73"/>
              <w:jc w:val="right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第三章：施工部署 </w:t>
            </w:r>
            <w:r>
              <w:rPr>
                <w:sz w:val="42"/>
              </w:rPr>
              <w:t>.....................................</w:t>
            </w:r>
          </w:p>
        </w:tc>
        <w:tc>
          <w:tcPr>
            <w:tcW w:w="390" w:type="dxa"/>
          </w:tcPr>
          <w:p>
            <w:pPr>
              <w:pStyle w:val="TableParagraph"/>
              <w:spacing w:before="199" w:line="459" w:lineRule="exact"/>
              <w:ind w:right="3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396" w:type="dxa"/>
          </w:tcPr>
          <w:p>
            <w:pPr>
              <w:pStyle w:val="TableParagraph"/>
              <w:spacing w:before="199" w:line="459" w:lineRule="exact"/>
              <w:ind w:right="7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971" w:type="dxa"/>
            <w:gridSpan w:val="2"/>
          </w:tcPr>
          <w:p>
            <w:pPr>
              <w:pStyle w:val="TableParagraph"/>
              <w:spacing w:before="199" w:line="459" w:lineRule="exact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6"/>
          <w:jc w:val="left"/>
        </w:trPr>
        <w:tc>
          <w:tcPr>
            <w:tcW w:w="12166" w:type="dxa"/>
            <w:gridSpan w:val="3"/>
          </w:tcPr>
          <w:p>
            <w:pPr>
              <w:pStyle w:val="TableParagraph"/>
              <w:spacing w:before="9"/>
              <w:rPr>
                <w:rFonts w:ascii="Times New Roman"/>
                <w:sz w:val="39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b/>
                <w:spacing w:val="-10"/>
                <w:sz w:val="42"/>
              </w:rPr>
              <w:t xml:space="preserve">第四章:施工进度计划 </w:t>
            </w:r>
            <w:r>
              <w:rPr>
                <w:spacing w:val="-2"/>
                <w:sz w:val="42"/>
              </w:rPr>
              <w:t xml:space="preserve">................................. - </w:t>
            </w:r>
            <w:r>
              <w:rPr>
                <w:sz w:val="42"/>
              </w:rPr>
              <w:t>12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b/>
                <w:spacing w:val="-8"/>
                <w:sz w:val="42"/>
              </w:rPr>
              <w:t xml:space="preserve">第五章：施工现场平面布置 </w:t>
            </w:r>
            <w:r>
              <w:rPr>
                <w:spacing w:val="-3"/>
                <w:sz w:val="42"/>
              </w:rPr>
              <w:t xml:space="preserve">............................ - </w:t>
            </w:r>
            <w:r>
              <w:rPr>
                <w:sz w:val="42"/>
              </w:rPr>
              <w:t>16</w:t>
            </w:r>
          </w:p>
          <w:p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>
            <w:pPr>
              <w:pStyle w:val="TableParagraph"/>
              <w:tabs>
                <w:tab w:val="left" w:leader="dot" w:pos="11399"/>
              </w:tabs>
              <w:spacing w:before="1"/>
              <w:ind w:left="50"/>
              <w:rPr>
                <w:sz w:val="42"/>
              </w:rPr>
            </w:pPr>
            <w:r>
              <w:rPr>
                <w:b/>
                <w:sz w:val="42"/>
              </w:rPr>
              <w:t>第六章：现场临时用电</w:t>
              <w:tab/>
            </w:r>
            <w:r>
              <w:rPr>
                <w:sz w:val="42"/>
              </w:rPr>
              <w:t>..-</w:t>
            </w:r>
          </w:p>
        </w:tc>
        <w:tc>
          <w:tcPr>
            <w:tcW w:w="471" w:type="dxa"/>
          </w:tcPr>
          <w:p>
            <w:pPr>
              <w:pStyle w:val="TableParagraph"/>
              <w:spacing w:before="9"/>
              <w:rPr>
                <w:rFonts w:ascii="Times New Roman"/>
                <w:sz w:val="39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6" w:line="930" w:lineRule="atLeast"/>
              <w:ind w:left="75" w:right="-44" w:firstLine="55"/>
              <w:rPr>
                <w:sz w:val="42"/>
              </w:rPr>
            </w:pPr>
            <w:r>
              <w:rPr>
                <w:sz w:val="42"/>
              </w:rPr>
              <w:t>- 16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12166" w:type="dxa"/>
            <w:gridSpan w:val="3"/>
          </w:tcPr>
          <w:p>
            <w:pPr>
              <w:pStyle w:val="TableParagraph"/>
              <w:tabs>
                <w:tab w:val="left" w:leader="dot" w:pos="11399"/>
              </w:tabs>
              <w:spacing w:before="199"/>
              <w:ind w:left="50"/>
              <w:rPr>
                <w:sz w:val="42"/>
              </w:rPr>
            </w:pPr>
            <w:r>
              <w:rPr>
                <w:b/>
                <w:sz w:val="42"/>
              </w:rPr>
              <w:t>第七章：现场临时用水</w:t>
              <w:tab/>
            </w:r>
            <w:r>
              <w:rPr>
                <w:sz w:val="42"/>
              </w:rPr>
              <w:t>..-</w:t>
            </w:r>
          </w:p>
          <w:p>
            <w:pPr>
              <w:pStyle w:val="TableParagraph"/>
              <w:spacing w:before="6" w:line="930" w:lineRule="atLeast"/>
              <w:ind w:left="679" w:right="78" w:hanging="630"/>
              <w:rPr>
                <w:sz w:val="42"/>
              </w:rPr>
            </w:pPr>
            <w:r>
              <w:rPr>
                <w:b/>
                <w:spacing w:val="-6"/>
                <w:sz w:val="42"/>
              </w:rPr>
              <w:t xml:space="preserve">第八章：主要施工方法、技术措施 </w:t>
            </w:r>
            <w:r>
              <w:rPr>
                <w:spacing w:val="-4"/>
                <w:sz w:val="42"/>
              </w:rPr>
              <w:t xml:space="preserve">...................... - </w:t>
            </w:r>
            <w:r>
              <w:rPr>
                <w:spacing w:val="-9"/>
                <w:sz w:val="42"/>
              </w:rPr>
              <w:t xml:space="preserve">16 </w:t>
            </w:r>
            <w:r>
              <w:rPr>
                <w:b/>
                <w:spacing w:val="-17"/>
                <w:sz w:val="42"/>
              </w:rPr>
              <w:t xml:space="preserve">一、测量定位 </w:t>
            </w:r>
            <w:r>
              <w:rPr>
                <w:spacing w:val="-2"/>
                <w:sz w:val="42"/>
              </w:rPr>
              <w:t xml:space="preserve">..................................... - </w:t>
            </w:r>
            <w:r>
              <w:rPr>
                <w:spacing w:val="-9"/>
                <w:sz w:val="42"/>
              </w:rPr>
              <w:t>16</w:t>
            </w:r>
          </w:p>
        </w:tc>
        <w:tc>
          <w:tcPr>
            <w:tcW w:w="471" w:type="dxa"/>
          </w:tcPr>
          <w:p>
            <w:pPr>
              <w:pStyle w:val="TableParagraph"/>
              <w:spacing w:before="199"/>
              <w:ind w:left="75" w:right="-29"/>
              <w:rPr>
                <w:sz w:val="42"/>
              </w:rPr>
            </w:pPr>
            <w:r>
              <w:rPr>
                <w:sz w:val="42"/>
              </w:rPr>
              <w:t>16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500" w:type="dxa"/>
          </w:tcPr>
          <w:p>
            <w:pPr>
              <w:pStyle w:val="TableParagraph"/>
              <w:spacing w:before="199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6"/>
          <w:jc w:val="left"/>
        </w:trPr>
        <w:tc>
          <w:tcPr>
            <w:tcW w:w="12166" w:type="dxa"/>
            <w:gridSpan w:val="3"/>
          </w:tcPr>
          <w:p>
            <w:pPr>
              <w:pStyle w:val="TableParagraph"/>
              <w:spacing w:before="199"/>
              <w:ind w:right="78"/>
              <w:jc w:val="right"/>
              <w:rPr>
                <w:sz w:val="42"/>
              </w:rPr>
            </w:pPr>
            <w:r>
              <w:rPr>
                <w:b/>
                <w:spacing w:val="-17"/>
                <w:sz w:val="42"/>
              </w:rPr>
              <w:t xml:space="preserve">二、施工工艺 </w:t>
            </w:r>
            <w:r>
              <w:rPr>
                <w:spacing w:val="-2"/>
                <w:sz w:val="42"/>
              </w:rPr>
              <w:t xml:space="preserve">..................................... - </w:t>
            </w:r>
            <w:r>
              <w:rPr>
                <w:sz w:val="42"/>
              </w:rPr>
              <w:t>16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b/>
                <w:spacing w:val="-13"/>
                <w:sz w:val="42"/>
              </w:rPr>
              <w:t xml:space="preserve">第九章:雨季施工 </w:t>
            </w:r>
            <w:r>
              <w:rPr>
                <w:spacing w:val="-2"/>
                <w:sz w:val="42"/>
              </w:rPr>
              <w:t xml:space="preserve">..................................... - </w:t>
            </w:r>
            <w:r>
              <w:rPr>
                <w:sz w:val="42"/>
              </w:rPr>
              <w:t>19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b/>
                <w:spacing w:val="-4"/>
                <w:sz w:val="42"/>
              </w:rPr>
              <w:t xml:space="preserve">第十章:质量目标、质量保证体系及质量预控措 </w:t>
            </w:r>
            <w:r>
              <w:rPr>
                <w:spacing w:val="-9"/>
                <w:sz w:val="42"/>
              </w:rPr>
              <w:t xml:space="preserve">........... - </w:t>
            </w:r>
            <w:r>
              <w:rPr>
                <w:sz w:val="42"/>
              </w:rPr>
              <w:t>23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b/>
                <w:spacing w:val="-17"/>
                <w:sz w:val="42"/>
              </w:rPr>
              <w:t xml:space="preserve">一、质量目标 </w:t>
            </w:r>
            <w:r>
              <w:rPr>
                <w:spacing w:val="-2"/>
                <w:sz w:val="42"/>
              </w:rPr>
              <w:t xml:space="preserve">..................................... - </w:t>
            </w:r>
            <w:r>
              <w:rPr>
                <w:sz w:val="42"/>
              </w:rPr>
              <w:t>23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spacing w:val="1"/>
                <w:sz w:val="42"/>
              </w:rPr>
              <w:t>二、</w:t>
            </w:r>
            <w:r>
              <w:rPr>
                <w:b/>
                <w:spacing w:val="-16"/>
                <w:sz w:val="42"/>
              </w:rPr>
              <w:t xml:space="preserve">质量保证体系 </w:t>
            </w:r>
            <w:r>
              <w:rPr>
                <w:spacing w:val="-2"/>
                <w:sz w:val="42"/>
              </w:rPr>
              <w:t xml:space="preserve">................................. - </w:t>
            </w:r>
            <w:r>
              <w:rPr>
                <w:sz w:val="42"/>
              </w:rPr>
              <w:t>23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right="78"/>
              <w:jc w:val="right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三．质量保证措施 </w:t>
            </w:r>
            <w:r>
              <w:rPr>
                <w:spacing w:val="-2"/>
                <w:sz w:val="42"/>
              </w:rPr>
              <w:t xml:space="preserve">................................. - </w:t>
            </w:r>
            <w:r>
              <w:rPr>
                <w:sz w:val="42"/>
              </w:rPr>
              <w:t>24</w:t>
            </w:r>
          </w:p>
        </w:tc>
        <w:tc>
          <w:tcPr>
            <w:tcW w:w="471" w:type="dxa"/>
          </w:tcPr>
          <w:p>
            <w:pPr>
              <w:pStyle w:val="TableParagraph"/>
              <w:spacing w:before="199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6"/>
          <w:jc w:val="left"/>
        </w:trPr>
        <w:tc>
          <w:tcPr>
            <w:tcW w:w="12166" w:type="dxa"/>
            <w:gridSpan w:val="3"/>
          </w:tcPr>
          <w:p>
            <w:pPr>
              <w:pStyle w:val="TableParagraph"/>
              <w:spacing w:before="200"/>
              <w:ind w:right="78"/>
              <w:jc w:val="right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四、技术保证措施 </w:t>
            </w:r>
            <w:r>
              <w:rPr>
                <w:spacing w:val="-2"/>
                <w:sz w:val="42"/>
              </w:rPr>
              <w:t xml:space="preserve">................................. - </w:t>
            </w:r>
            <w:r>
              <w:rPr>
                <w:sz w:val="42"/>
              </w:rPr>
              <w:t>24</w:t>
            </w:r>
          </w:p>
          <w:p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417" w:lineRule="auto"/>
              <w:ind w:left="679" w:right="78" w:hanging="630"/>
              <w:jc w:val="right"/>
              <w:rPr>
                <w:sz w:val="42"/>
              </w:rPr>
            </w:pPr>
            <w:r>
              <w:rPr>
                <w:b/>
                <w:spacing w:val="-6"/>
                <w:sz w:val="42"/>
              </w:rPr>
              <w:t xml:space="preserve">第十一章:安全保证体系及预控措施 </w:t>
            </w:r>
            <w:r>
              <w:rPr>
                <w:spacing w:val="-4"/>
                <w:sz w:val="42"/>
              </w:rPr>
              <w:t xml:space="preserve">..................... - </w:t>
            </w:r>
            <w:r>
              <w:rPr>
                <w:spacing w:val="-8"/>
                <w:sz w:val="42"/>
              </w:rPr>
              <w:t>25</w:t>
            </w:r>
            <w:r>
              <w:rPr>
                <w:b/>
                <w:spacing w:val="-12"/>
                <w:sz w:val="42"/>
              </w:rPr>
              <w:t xml:space="preserve">一、安全管理方针 </w:t>
            </w:r>
            <w:r>
              <w:rPr>
                <w:spacing w:val="-2"/>
                <w:sz w:val="42"/>
              </w:rPr>
              <w:t xml:space="preserve">................................. - </w:t>
            </w:r>
            <w:r>
              <w:rPr>
                <w:spacing w:val="-8"/>
                <w:sz w:val="42"/>
              </w:rPr>
              <w:t>25</w:t>
            </w:r>
          </w:p>
          <w:p>
            <w:pPr>
              <w:pStyle w:val="TableParagraph"/>
              <w:spacing w:line="458" w:lineRule="exact"/>
              <w:ind w:left="679"/>
              <w:rPr>
                <w:sz w:val="42"/>
              </w:rPr>
            </w:pPr>
            <w:r>
              <w:rPr>
                <w:b/>
                <w:spacing w:val="-6"/>
                <w:sz w:val="42"/>
              </w:rPr>
              <w:t xml:space="preserve">二、安全管理制度及安全保证体系 </w:t>
            </w:r>
            <w:r>
              <w:rPr>
                <w:spacing w:val="-5"/>
                <w:sz w:val="42"/>
              </w:rPr>
              <w:t xml:space="preserve">................... - </w:t>
            </w:r>
            <w:r>
              <w:rPr>
                <w:sz w:val="42"/>
              </w:rPr>
              <w:t>25</w:t>
            </w:r>
          </w:p>
        </w:tc>
        <w:tc>
          <w:tcPr>
            <w:tcW w:w="471" w:type="dxa"/>
          </w:tcPr>
          <w:p>
            <w:pPr>
              <w:pStyle w:val="TableParagraph"/>
              <w:spacing w:before="200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6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  <w:p>
            <w:pPr>
              <w:pStyle w:val="TableParagraph"/>
              <w:spacing w:before="7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459" w:lineRule="exact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headerReference w:type="default" r:id="rId4"/>
          <w:footerReference w:type="default" r:id="rId5"/>
          <w:type w:val="continuous"/>
          <w:pgSz w:w="17860" w:h="25260"/>
          <w:pgMar w:top="1420" w:right="0" w:bottom="2060" w:left="540" w:header="1054" w:footer="186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Style w:val="TableNormal0"/>
        <w:tblW w:w="0" w:type="auto"/>
        <w:jc w:val="left"/>
        <w:tblInd w:w="2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61"/>
        <w:gridCol w:w="712"/>
        <w:gridCol w:w="288"/>
      </w:tblGrid>
      <w:tr>
        <w:tblPrEx>
          <w:tblW w:w="0" w:type="auto"/>
          <w:jc w:val="left"/>
          <w:tblInd w:w="2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1561" w:type="dxa"/>
          </w:tcPr>
          <w:p>
            <w:pPr>
              <w:pStyle w:val="TableParagraph"/>
              <w:spacing w:line="480" w:lineRule="exact"/>
              <w:ind w:left="679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三、安全管理工作 </w:t>
            </w:r>
            <w:r>
              <w:rPr>
                <w:spacing w:val="-2"/>
                <w:sz w:val="42"/>
              </w:rPr>
              <w:t>................................. -</w:t>
            </w:r>
          </w:p>
        </w:tc>
        <w:tc>
          <w:tcPr>
            <w:tcW w:w="712" w:type="dxa"/>
          </w:tcPr>
          <w:p>
            <w:pPr>
              <w:pStyle w:val="TableParagraph"/>
              <w:spacing w:line="480" w:lineRule="exact"/>
              <w:ind w:left="104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288" w:type="dxa"/>
          </w:tcPr>
          <w:p>
            <w:pPr>
              <w:pStyle w:val="TableParagraph"/>
              <w:spacing w:line="480" w:lineRule="exact"/>
              <w:ind w:right="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561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b/>
                <w:spacing w:val="-12"/>
                <w:sz w:val="42"/>
              </w:rPr>
              <w:t xml:space="preserve">第十二章:文明施工 </w:t>
            </w:r>
            <w:r>
              <w:rPr>
                <w:spacing w:val="-2"/>
                <w:sz w:val="42"/>
              </w:rPr>
              <w:t>................................... -</w:t>
            </w:r>
          </w:p>
        </w:tc>
        <w:tc>
          <w:tcPr>
            <w:tcW w:w="712" w:type="dxa"/>
          </w:tcPr>
          <w:p>
            <w:pPr>
              <w:pStyle w:val="TableParagraph"/>
              <w:spacing w:before="199"/>
              <w:ind w:left="104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288" w:type="dxa"/>
          </w:tcPr>
          <w:p>
            <w:pPr>
              <w:pStyle w:val="TableParagraph"/>
              <w:spacing w:before="199"/>
              <w:ind w:right="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561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b/>
                <w:spacing w:val="-8"/>
                <w:sz w:val="42"/>
              </w:rPr>
              <w:t xml:space="preserve">第十三章:消防与保卫措施 </w:t>
            </w:r>
            <w:r>
              <w:rPr>
                <w:spacing w:val="-3"/>
                <w:sz w:val="42"/>
              </w:rPr>
              <w:t>............................. -</w:t>
            </w:r>
          </w:p>
        </w:tc>
        <w:tc>
          <w:tcPr>
            <w:tcW w:w="712" w:type="dxa"/>
          </w:tcPr>
          <w:p>
            <w:pPr>
              <w:pStyle w:val="TableParagraph"/>
              <w:spacing w:before="199"/>
              <w:ind w:left="104"/>
              <w:rPr>
                <w:sz w:val="42"/>
              </w:rPr>
            </w:pPr>
            <w:r>
              <w:rPr>
                <w:sz w:val="42"/>
              </w:rPr>
              <w:t>27</w:t>
            </w:r>
          </w:p>
        </w:tc>
        <w:tc>
          <w:tcPr>
            <w:tcW w:w="288" w:type="dxa"/>
          </w:tcPr>
          <w:p>
            <w:pPr>
              <w:pStyle w:val="TableParagraph"/>
              <w:spacing w:before="199"/>
              <w:ind w:right="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72"/>
          <w:jc w:val="left"/>
        </w:trPr>
        <w:tc>
          <w:tcPr>
            <w:tcW w:w="11561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b/>
                <w:spacing w:val="-9"/>
                <w:sz w:val="42"/>
              </w:rPr>
              <w:t xml:space="preserve">第十四章: 工期保证措施 </w:t>
            </w:r>
            <w:r>
              <w:rPr>
                <w:spacing w:val="-3"/>
                <w:sz w:val="42"/>
              </w:rPr>
              <w:t>.............................. -</w:t>
            </w:r>
          </w:p>
          <w:p>
            <w:pPr>
              <w:pStyle w:val="TableParagraph"/>
              <w:spacing w:before="9"/>
              <w:rPr>
                <w:rFonts w:ascii="Times New Roman"/>
                <w:sz w:val="47"/>
              </w:rPr>
            </w:pPr>
          </w:p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附表：</w:t>
            </w:r>
          </w:p>
        </w:tc>
        <w:tc>
          <w:tcPr>
            <w:tcW w:w="712" w:type="dxa"/>
          </w:tcPr>
          <w:p>
            <w:pPr>
              <w:pStyle w:val="TableParagraph"/>
              <w:spacing w:before="199"/>
              <w:ind w:left="104"/>
              <w:rPr>
                <w:sz w:val="42"/>
              </w:rPr>
            </w:pPr>
            <w:r>
              <w:rPr>
                <w:sz w:val="42"/>
              </w:rPr>
              <w:t>28</w:t>
            </w:r>
          </w:p>
        </w:tc>
        <w:tc>
          <w:tcPr>
            <w:tcW w:w="288" w:type="dxa"/>
          </w:tcPr>
          <w:p>
            <w:pPr>
              <w:pStyle w:val="TableParagraph"/>
              <w:spacing w:before="199"/>
              <w:ind w:right="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-</w:t>
            </w: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11561" w:type="dxa"/>
          </w:tcPr>
          <w:p>
            <w:pPr>
              <w:pStyle w:val="TableParagraph"/>
              <w:spacing w:before="348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拟投入的主要施工机械设备表（见附表 1）……………………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48"/>
              <w:ind w:left="158"/>
              <w:rPr>
                <w:b/>
                <w:sz w:val="42"/>
              </w:rPr>
            </w:pPr>
            <w:r>
              <w:rPr>
                <w:b/>
                <w:sz w:val="42"/>
              </w:rPr>
              <w:t>27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7"/>
          <w:jc w:val="left"/>
        </w:trPr>
        <w:tc>
          <w:tcPr>
            <w:tcW w:w="11561" w:type="dxa"/>
          </w:tcPr>
          <w:p>
            <w:pPr>
              <w:pStyle w:val="TableParagraph"/>
              <w:spacing w:before="351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劳动力计划表（见附表 2）………………………………………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51"/>
              <w:ind w:left="158"/>
              <w:rPr>
                <w:b/>
                <w:sz w:val="42"/>
              </w:rPr>
            </w:pPr>
            <w:r>
              <w:rPr>
                <w:b/>
                <w:sz w:val="42"/>
              </w:rPr>
              <w:t>27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11561" w:type="dxa"/>
          </w:tcPr>
          <w:p>
            <w:pPr>
              <w:pStyle w:val="TableParagraph"/>
              <w:spacing w:before="348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质量保证体系（见附图 1-1）……………………………………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48"/>
              <w:ind w:left="158"/>
              <w:rPr>
                <w:b/>
                <w:sz w:val="42"/>
              </w:rPr>
            </w:pPr>
            <w:r>
              <w:rPr>
                <w:b/>
                <w:sz w:val="42"/>
              </w:rPr>
              <w:t>28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11561" w:type="dxa"/>
          </w:tcPr>
          <w:p>
            <w:pPr>
              <w:pStyle w:val="TableParagraph"/>
              <w:spacing w:before="348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安全保证体系（见附图 1-2）……………………………………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48"/>
              <w:ind w:left="158"/>
              <w:rPr>
                <w:b/>
                <w:sz w:val="42"/>
              </w:rPr>
            </w:pPr>
            <w:r>
              <w:rPr>
                <w:b/>
                <w:sz w:val="42"/>
              </w:rPr>
              <w:t>29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11561" w:type="dxa"/>
          </w:tcPr>
          <w:p>
            <w:pPr>
              <w:pStyle w:val="TableParagraph"/>
              <w:spacing w:before="350"/>
              <w:ind w:left="50"/>
              <w:rPr>
                <w:sz w:val="42"/>
              </w:rPr>
            </w:pPr>
            <w:r>
              <w:rPr>
                <w:b/>
                <w:sz w:val="42"/>
              </w:rPr>
              <w:t>施工进度计划图</w:t>
            </w:r>
            <w:r>
              <w:rPr>
                <w:sz w:val="42"/>
              </w:rPr>
              <w:t>……………………………………………………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50"/>
              <w:ind w:right="36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30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1561" w:type="dxa"/>
          </w:tcPr>
          <w:p>
            <w:pPr>
              <w:pStyle w:val="TableParagraph"/>
              <w:spacing w:before="349"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施工平面布置图……………………………………………………</w:t>
            </w:r>
          </w:p>
        </w:tc>
        <w:tc>
          <w:tcPr>
            <w:tcW w:w="712" w:type="dxa"/>
          </w:tcPr>
          <w:p>
            <w:pPr>
              <w:pStyle w:val="TableParagraph"/>
              <w:spacing w:before="349" w:line="459" w:lineRule="exact"/>
              <w:ind w:right="2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31</w:t>
            </w:r>
          </w:p>
        </w:tc>
        <w:tc>
          <w:tcPr>
            <w:tcW w:w="28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headerReference w:type="default" r:id="rId6"/>
          <w:footerReference w:type="default" r:id="rId7"/>
          <w:pgSz w:w="17860" w:h="25260"/>
          <w:pgMar w:top="1420" w:right="0" w:bottom="2060" w:left="540" w:header="1054" w:footer="1864"/>
          <w:pgNumType w:start="2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85"/>
        <w:ind w:right="4189"/>
        <w:jc w:val="center"/>
      </w:pPr>
      <w:r>
        <w:t>第一章：编制依据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Heading2"/>
        <w:spacing w:before="42"/>
        <w:rPr>
          <w:b w:val="0"/>
        </w:rPr>
      </w:pPr>
      <w:r>
        <w:t>1、编制依据</w:t>
      </w:r>
      <w:r>
        <w:rPr>
          <w:b w:val="0"/>
        </w:rPr>
        <w:t>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2892"/>
        </w:tabs>
        <w:spacing w:before="0" w:after="0" w:line="240" w:lineRule="auto"/>
        <w:ind w:left="2891" w:right="0" w:hanging="735"/>
        <w:jc w:val="left"/>
        <w:rPr>
          <w:sz w:val="42"/>
        </w:rPr>
      </w:pPr>
      <w:r>
        <w:rPr>
          <w:sz w:val="42"/>
        </w:rPr>
        <w:t>依据大愿文化园二期柯村停车场工程图纸编制。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2892"/>
        </w:tabs>
        <w:spacing w:before="0" w:after="0" w:line="240" w:lineRule="auto"/>
        <w:ind w:left="2891" w:right="0" w:hanging="735"/>
        <w:jc w:val="left"/>
        <w:rPr>
          <w:sz w:val="42"/>
        </w:rPr>
      </w:pPr>
      <w:r>
        <w:rPr>
          <w:sz w:val="42"/>
        </w:rPr>
        <w:t>国家及池州市有关的现行施工规范与标准：</w:t>
      </w:r>
    </w:p>
    <w:p>
      <w:pPr>
        <w:pStyle w:val="BodyText"/>
        <w:rPr>
          <w:sz w:val="31"/>
        </w:rPr>
      </w:pPr>
    </w:p>
    <w:p>
      <w:pPr>
        <w:pStyle w:val="BodyText"/>
        <w:ind w:left="2157"/>
      </w:pPr>
      <w:r>
        <w:t>《砼结构工程施工质量验收规范》GB50204-2002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2157"/>
      </w:pPr>
      <w:r>
        <w:rPr>
          <w:spacing w:val="-1"/>
        </w:rPr>
        <w:t>《砌体工程施工质量验收规范》</w:t>
      </w:r>
      <w:r>
        <w:t>GB50203-2002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157"/>
      </w:pPr>
      <w:r>
        <w:rPr>
          <w:spacing w:val="-1"/>
        </w:rPr>
        <w:t>《建筑地面工程质量验收规范》</w:t>
      </w:r>
      <w:r>
        <w:t>GB50209-2002</w:t>
      </w:r>
    </w:p>
    <w:p>
      <w:pPr>
        <w:pStyle w:val="BodyText"/>
        <w:rPr>
          <w:sz w:val="31"/>
        </w:rPr>
      </w:pPr>
    </w:p>
    <w:p>
      <w:pPr>
        <w:pStyle w:val="BodyText"/>
        <w:ind w:left="2157"/>
      </w:pPr>
      <w:r>
        <w:t>《施工现场临时用电安全技术规范》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3"/>
        </w:numPr>
        <w:tabs>
          <w:tab w:val="left" w:pos="3000"/>
        </w:tabs>
        <w:spacing w:before="0" w:after="0" w:line="417" w:lineRule="auto"/>
        <w:ind w:left="2157" w:right="1682" w:firstLine="0"/>
        <w:jc w:val="left"/>
        <w:rPr>
          <w:sz w:val="42"/>
        </w:rPr>
      </w:pPr>
      <w:r>
        <w:rPr>
          <w:spacing w:val="-1"/>
          <w:sz w:val="42"/>
        </w:rPr>
        <w:t>国家现行的有关技术标准、施工质量验收规范、工程质量评定标准及</w:t>
      </w:r>
      <w:r>
        <w:rPr>
          <w:sz w:val="42"/>
        </w:rPr>
        <w:t>省市有关规定。</w:t>
      </w:r>
    </w:p>
    <w:p>
      <w:pPr>
        <w:pStyle w:val="ListParagraph"/>
        <w:numPr>
          <w:ilvl w:val="1"/>
          <w:numId w:val="23"/>
        </w:numPr>
        <w:tabs>
          <w:tab w:val="left" w:pos="3000"/>
        </w:tabs>
        <w:spacing w:before="0" w:after="0" w:line="417" w:lineRule="auto"/>
        <w:ind w:left="2157" w:right="1682" w:firstLine="0"/>
        <w:jc w:val="left"/>
        <w:rPr>
          <w:sz w:val="42"/>
        </w:rPr>
      </w:pPr>
      <w:r>
        <w:rPr>
          <w:spacing w:val="-1"/>
          <w:sz w:val="42"/>
        </w:rPr>
        <w:t>国家现行的有关建设工程施工现场管理规定、安全技术规范与操作规</w:t>
      </w:r>
      <w:r>
        <w:rPr>
          <w:sz w:val="42"/>
        </w:rPr>
        <w:t>程，省市有关安全、文明、消防等规定。</w:t>
      </w:r>
    </w:p>
    <w:p>
      <w:pPr>
        <w:pStyle w:val="Heading2"/>
      </w:pPr>
      <w:r>
        <w:t>2、编制说明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22"/>
        </w:numPr>
        <w:tabs>
          <w:tab w:val="left" w:pos="2892"/>
        </w:tabs>
        <w:spacing w:before="0" w:after="0" w:line="417" w:lineRule="auto"/>
        <w:ind w:left="2157" w:right="1370" w:firstLine="0"/>
        <w:jc w:val="left"/>
        <w:rPr>
          <w:sz w:val="42"/>
        </w:rPr>
      </w:pPr>
      <w:r>
        <w:rPr>
          <w:spacing w:val="-1"/>
          <w:sz w:val="42"/>
        </w:rPr>
        <w:t>针对本工程实际情况的要求，在施工组织设计中我们把施工总体目标、</w:t>
      </w:r>
      <w:r>
        <w:rPr>
          <w:sz w:val="42"/>
        </w:rPr>
        <w:t>施工总进度计划、施工机械设备、劳动力计划、主要项目施工方法、工程质量保证措施、工期保证措施、安全文明施工保证措施、在本施工组织设计中作为重点阐述，其他常规性施工项目的施工方法仅作了一般性阐述， 以体现本施工组织设计的全面性、可行性。</w:t>
      </w:r>
    </w:p>
    <w:p>
      <w:pPr>
        <w:pStyle w:val="ListParagraph"/>
        <w:numPr>
          <w:ilvl w:val="1"/>
          <w:numId w:val="22"/>
        </w:numPr>
        <w:tabs>
          <w:tab w:val="left" w:pos="2892"/>
        </w:tabs>
        <w:spacing w:before="0" w:after="0" w:line="417" w:lineRule="auto"/>
        <w:ind w:left="2157" w:right="1370" w:firstLine="0"/>
        <w:jc w:val="left"/>
        <w:rPr>
          <w:sz w:val="42"/>
        </w:rPr>
      </w:pPr>
      <w:r>
        <w:rPr>
          <w:spacing w:val="-1"/>
          <w:sz w:val="42"/>
        </w:rPr>
        <w:t>技术组、生产安全组是指导、督促、检查履行工期，执行标准、规范、</w:t>
      </w:r>
      <w:r>
        <w:rPr>
          <w:sz w:val="42"/>
        </w:rPr>
        <w:t>规程、施工组织设计及其项目部规章制度的职能部门，使工程的质量、安全文明施工、工期得到了保证。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8"/>
          <w:footerReference w:type="default" r:id="rId9"/>
          <w:pgSz w:w="17860" w:h="25260"/>
          <w:pgMar w:top="1420" w:right="0" w:bottom="2060" w:left="540" w:header="1054" w:footer="186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Heading1"/>
        <w:ind w:left="3731" w:right="4190"/>
        <w:jc w:val="center"/>
      </w:pPr>
      <w:r>
        <w:t>第二章：工程概况</w:t>
      </w:r>
    </w:p>
    <w:p>
      <w:pPr>
        <w:pStyle w:val="BodyText"/>
        <w:spacing w:before="423" w:line="417" w:lineRule="auto"/>
        <w:ind w:left="2992" w:right="1442" w:hanging="209"/>
      </w:pPr>
      <w:r>
        <w:rPr>
          <w:spacing w:val="-25"/>
        </w:rPr>
        <w:t xml:space="preserve">一、本工程是大愿文化园二期柯村停车场工程，总占地面积为 </w:t>
      </w:r>
      <w:r>
        <w:t>46.90</w:t>
      </w:r>
      <w:r>
        <w:rPr>
          <w:spacing w:val="-36"/>
        </w:rPr>
        <w:t xml:space="preserve"> 亩。</w:t>
      </w:r>
      <w:r>
        <w:t>二、施工设计说明：</w:t>
      </w:r>
    </w:p>
    <w:p>
      <w:pPr>
        <w:pStyle w:val="BodyText"/>
        <w:spacing w:line="537" w:lineRule="exact"/>
        <w:ind w:left="4047"/>
      </w:pPr>
      <w:r>
        <w:t>1、停车场场地纵坡见场地排水图。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4047"/>
      </w:pPr>
      <w:r>
        <w:t>2、停车场雨水井间距见排水图。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047"/>
      </w:pPr>
      <w:r>
        <w:rPr>
          <w:spacing w:val="-6"/>
        </w:rPr>
        <w:t>3</w:t>
      </w:r>
      <w:r>
        <w:t>、停车场通道做法及停车位做法见建筑详图。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047"/>
      </w:pPr>
      <w:r>
        <w:rPr>
          <w:spacing w:val="-6"/>
        </w:rPr>
        <w:t>4</w:t>
      </w:r>
      <w:r>
        <w:t>、道路伸缩缝及广场分仓缝做法见建筑详图。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4047"/>
      </w:pPr>
      <w:r>
        <w:t>5、本工程均以毫米为单位。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3" w:right="1685" w:firstLine="1893"/>
        <w:jc w:val="both"/>
      </w:pPr>
      <w:r>
        <w:t>6、本广场中所有材料的拼接均要求色泽均匀、表面平整、拼缝整齐、圆面光滑、阳角挺拔、阴角简明、灌浆密实五空鼓、地面平展无起伏。45 对角拼缝。</w:t>
      </w:r>
    </w:p>
    <w:p>
      <w:pPr>
        <w:pStyle w:val="BodyText"/>
        <w:spacing w:line="417" w:lineRule="auto"/>
        <w:ind w:left="2153" w:right="1480" w:firstLine="1683"/>
      </w:pPr>
      <w:r>
        <w:t>7、本广场设计铺装形式较多。施工时应严格对位，头尾相接，左右相齐，并使立和地平面分格相对立。</w:t>
      </w:r>
    </w:p>
    <w:p>
      <w:pPr>
        <w:pStyle w:val="BodyText"/>
        <w:spacing w:line="417" w:lineRule="auto"/>
        <w:ind w:left="2153" w:right="1480" w:firstLine="1683"/>
      </w:pPr>
      <w:r>
        <w:t>8、本广场中所有造型灯饰及面材色彩、纹理、质感等必须与设计人员协商后方可订货。</w:t>
      </w:r>
    </w:p>
    <w:p>
      <w:pPr>
        <w:pStyle w:val="BodyText"/>
        <w:spacing w:line="537" w:lineRule="exact"/>
        <w:ind w:left="3836"/>
      </w:pPr>
      <w:r>
        <w:t>9、其它未尽事宜，严格按有关施工验收规范要求进行施工。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3" w:right="1892" w:firstLine="1472"/>
      </w:pPr>
      <w:r>
        <w:t>10、本工程所绘制的图中和其他专业相矛盾处请及时与设计院联系，共同商定解决。</w:t>
      </w:r>
    </w:p>
    <w:p>
      <w:pPr>
        <w:pStyle w:val="BodyText"/>
        <w:ind w:left="3836"/>
      </w:pPr>
      <w:r>
        <w:t>11、停车场内管理用房和公共厕所见设计图。</w:t>
      </w:r>
    </w:p>
    <w:p>
      <w:pPr>
        <w:spacing w:after="0"/>
        <w:sectPr>
          <w:headerReference w:type="default" r:id="rId10"/>
          <w:footerReference w:type="default" r:id="rId11"/>
          <w:pgSz w:w="17860" w:h="25260"/>
          <w:pgMar w:top="1420" w:right="0" w:bottom="2060" w:left="540" w:header="1054" w:footer="1864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 w:line="417" w:lineRule="auto"/>
        <w:ind w:left="2783" w:right="4637" w:hanging="213"/>
      </w:pPr>
      <w:r>
        <w:t>大愿文化园二期柯村停车场公共厕所工程，砖混结构。地面做法:</w:t>
      </w:r>
    </w:p>
    <w:p>
      <w:pPr>
        <w:pStyle w:val="BodyText"/>
        <w:spacing w:line="537" w:lineRule="exact"/>
        <w:ind w:left="4679"/>
      </w:pPr>
      <w:r>
        <w:t>1、室内地面做法：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310"/>
      </w:pPr>
      <w:r>
        <w:t>600×600×20 厚樱花红光面花岗岩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310"/>
      </w:pPr>
      <w:r>
        <w:t>20</w:t>
      </w:r>
      <w:r>
        <w:rPr>
          <w:spacing w:val="-74"/>
        </w:rPr>
        <w:t xml:space="preserve"> 厚 </w:t>
      </w:r>
      <w:r>
        <w:t>1:3</w:t>
      </w:r>
      <w:r>
        <w:rPr>
          <w:spacing w:val="-22"/>
        </w:rPr>
        <w:t xml:space="preserve"> 水泥砂浆</w:t>
      </w:r>
    </w:p>
    <w:p>
      <w:pPr>
        <w:pStyle w:val="BodyText"/>
        <w:rPr>
          <w:sz w:val="31"/>
        </w:rPr>
      </w:pPr>
    </w:p>
    <w:p>
      <w:pPr>
        <w:pStyle w:val="BodyText"/>
        <w:ind w:left="5310"/>
      </w:pPr>
      <w:r>
        <w:t>100 厚C15 砼垫层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5310"/>
      </w:pPr>
      <w:r>
        <w:t>150 厚碎石垫层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5310"/>
      </w:pPr>
      <w:r>
        <w:t>3:7 灰土夯实</w:t>
      </w:r>
    </w:p>
    <w:p>
      <w:pPr>
        <w:pStyle w:val="BodyText"/>
        <w:rPr>
          <w:sz w:val="31"/>
        </w:rPr>
      </w:pPr>
    </w:p>
    <w:p>
      <w:pPr>
        <w:pStyle w:val="BodyText"/>
        <w:ind w:left="4679"/>
      </w:pPr>
      <w:r>
        <w:t>2、室外地面做法：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310"/>
      </w:pPr>
      <w:r>
        <w:t>600×500×20 厚芝麻白花岗岩粗凿面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5310"/>
      </w:pPr>
      <w:r>
        <w:t>20</w:t>
      </w:r>
      <w:r>
        <w:rPr>
          <w:spacing w:val="-74"/>
        </w:rPr>
        <w:t xml:space="preserve"> 厚 </w:t>
      </w:r>
      <w:r>
        <w:t>1:3</w:t>
      </w:r>
      <w:r>
        <w:rPr>
          <w:spacing w:val="-22"/>
        </w:rPr>
        <w:t xml:space="preserve"> 水泥砂浆</w:t>
      </w:r>
    </w:p>
    <w:p>
      <w:pPr>
        <w:pStyle w:val="BodyText"/>
        <w:rPr>
          <w:sz w:val="31"/>
        </w:rPr>
      </w:pPr>
    </w:p>
    <w:p>
      <w:pPr>
        <w:pStyle w:val="BodyText"/>
        <w:ind w:left="5310"/>
      </w:pPr>
      <w:r>
        <w:t>100 厚C15 砼垫层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5310"/>
      </w:pPr>
      <w:r>
        <w:t>150 厚碎石垫层</w:t>
      </w:r>
    </w:p>
    <w:p>
      <w:pPr>
        <w:pStyle w:val="BodyText"/>
        <w:rPr>
          <w:sz w:val="31"/>
        </w:rPr>
      </w:pPr>
    </w:p>
    <w:p>
      <w:pPr>
        <w:pStyle w:val="BodyText"/>
        <w:ind w:left="5521"/>
      </w:pPr>
      <w:r>
        <w:t>3:7 灰土夯实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468"/>
      </w:pPr>
      <w:r>
        <w:t>3、室外散水做法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3" w:right="1647" w:firstLine="2937"/>
      </w:pPr>
      <w:r>
        <w:t>细石混凝土散水（600</w:t>
      </w:r>
      <w:r>
        <w:rPr>
          <w:spacing w:val="-44"/>
        </w:rPr>
        <w:t xml:space="preserve"> 宽</w:t>
      </w:r>
      <w:r>
        <w:t>）做法：50</w:t>
      </w:r>
      <w:r>
        <w:rPr>
          <w:spacing w:val="-57"/>
        </w:rPr>
        <w:t xml:space="preserve"> 厚 </w:t>
      </w:r>
      <w:r>
        <w:t>C20</w:t>
      </w:r>
      <w:r>
        <w:rPr>
          <w:spacing w:val="-16"/>
        </w:rPr>
        <w:t xml:space="preserve"> 细石混凝土， </w:t>
      </w:r>
      <w:r>
        <w:rPr>
          <w:spacing w:val="-36"/>
        </w:rPr>
        <w:t xml:space="preserve">面撇 </w:t>
      </w:r>
      <w:r>
        <w:t>1:1</w:t>
      </w:r>
      <w:r>
        <w:rPr>
          <w:spacing w:val="-14"/>
        </w:rPr>
        <w:t xml:space="preserve"> 水泥沙子压实抹光</w:t>
      </w:r>
    </w:p>
    <w:p>
      <w:pPr>
        <w:pStyle w:val="BodyText"/>
        <w:spacing w:line="537" w:lineRule="exact"/>
        <w:ind w:left="5100"/>
      </w:pPr>
      <w:r>
        <w:t>150</w:t>
      </w:r>
      <w:r>
        <w:rPr>
          <w:spacing w:val="-74"/>
        </w:rPr>
        <w:t xml:space="preserve"> 厚 </w:t>
      </w:r>
      <w:r>
        <w:t>3:7</w:t>
      </w:r>
      <w:r>
        <w:rPr>
          <w:spacing w:val="-18"/>
        </w:rPr>
        <w:t xml:space="preserve"> 灰土垫层，素土夯实，向外坡 </w:t>
      </w:r>
      <w:r>
        <w:t>3~5％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71"/>
      </w:pPr>
      <w:r>
        <w:t>屋面做法：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679"/>
      </w:pPr>
      <w:r>
        <w:rPr>
          <w:spacing w:val="-8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2"/>
          <w:w w:val="100"/>
        </w:rPr>
        <w:t>、屋面：灰色小瓦屋面；</w:t>
      </w:r>
      <w:r>
        <w:rPr>
          <w:w w:val="100"/>
        </w:rPr>
        <w:t>15</w:t>
      </w:r>
      <w:r>
        <w:rPr>
          <w:spacing w:val="-106"/>
        </w:rPr>
        <w:t xml:space="preserve"> </w:t>
      </w:r>
      <w:r>
        <w:rPr>
          <w:w w:val="100"/>
        </w:rPr>
        <w:t>厚</w:t>
      </w:r>
      <w:r>
        <w:rPr>
          <w:spacing w:val="-106"/>
        </w:rPr>
        <w:t xml:space="preserve"> </w:t>
      </w:r>
      <w:r>
        <w:rPr>
          <w:w w:val="100"/>
        </w:rPr>
        <w:t>1:2.5</w:t>
      </w:r>
      <w:r>
        <w:rPr>
          <w:spacing w:val="-111"/>
        </w:rPr>
        <w:t xml:space="preserve"> </w:t>
      </w:r>
      <w:r>
        <w:rPr>
          <w:w w:val="100"/>
        </w:rPr>
        <w:t>水泥砂浆压光坐浆；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53"/>
      </w:pPr>
      <w:r>
        <w:t>4mmSBS</w:t>
      </w:r>
      <w:r>
        <w:rPr>
          <w:spacing w:val="-11"/>
        </w:rPr>
        <w:t xml:space="preserve"> 卷材防水层；</w:t>
      </w:r>
      <w:r>
        <w:rPr>
          <w:spacing w:val="-3"/>
        </w:rPr>
        <w:t>15</w:t>
      </w:r>
      <w:r>
        <w:rPr>
          <w:spacing w:val="-43"/>
        </w:rPr>
        <w:t xml:space="preserve"> 厚 </w:t>
      </w:r>
      <w:r>
        <w:t>1:2.5</w:t>
      </w:r>
      <w:r>
        <w:rPr>
          <w:spacing w:val="-11"/>
        </w:rPr>
        <w:t xml:space="preserve"> 水泥砂浆压光；</w:t>
      </w:r>
      <w:r>
        <w:rPr>
          <w:spacing w:val="-3"/>
        </w:rPr>
        <w:t>60</w:t>
      </w:r>
      <w:r>
        <w:rPr>
          <w:spacing w:val="-9"/>
        </w:rPr>
        <w:t xml:space="preserve"> 厚玻化微珠保温层；</w:t>
      </w:r>
    </w:p>
    <w:p>
      <w:pPr>
        <w:pStyle w:val="BodyText"/>
        <w:rPr>
          <w:sz w:val="31"/>
        </w:rPr>
      </w:pPr>
    </w:p>
    <w:p>
      <w:pPr>
        <w:pStyle w:val="BodyText"/>
        <w:ind w:left="2153"/>
      </w:pPr>
      <w:r>
        <w:t>100</w:t>
      </w:r>
      <w:r>
        <w:rPr>
          <w:spacing w:val="-17"/>
        </w:rPr>
        <w:t xml:space="preserve"> 厚混凝土板；</w:t>
      </w:r>
      <w:r>
        <w:t>20</w:t>
      </w:r>
      <w:r>
        <w:rPr>
          <w:spacing w:val="-71"/>
        </w:rPr>
        <w:t xml:space="preserve"> 厚 </w:t>
      </w:r>
      <w:r>
        <w:t>1:2.5</w:t>
      </w:r>
      <w:r>
        <w:rPr>
          <w:spacing w:val="-12"/>
        </w:rPr>
        <w:t xml:space="preserve"> 水泥砂浆；白色涂料两道。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420" w:right="0" w:bottom="2060" w:left="540" w:header="1054" w:footer="186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 w:line="417" w:lineRule="auto"/>
        <w:ind w:left="2153" w:right="1652" w:firstLine="417"/>
        <w:jc w:val="both"/>
      </w:pPr>
      <w:r>
        <w:t>内墙面：1）</w:t>
      </w:r>
      <w:r>
        <w:rPr>
          <w:spacing w:val="-1"/>
        </w:rPr>
        <w:t>内墙面：白色内墙涂料两道，</w:t>
      </w:r>
      <w:r>
        <w:rPr>
          <w:spacing w:val="-9"/>
        </w:rPr>
        <w:t>3</w:t>
      </w:r>
      <w:r>
        <w:rPr>
          <w:spacing w:val="-7"/>
        </w:rPr>
        <w:t xml:space="preserve"> 厚纸筋灰面，</w:t>
      </w:r>
      <w:r>
        <w:rPr>
          <w:spacing w:val="-3"/>
        </w:rPr>
        <w:t>10</w:t>
      </w:r>
      <w:r>
        <w:rPr>
          <w:spacing w:val="-24"/>
        </w:rPr>
        <w:t xml:space="preserve"> 厚 </w:t>
      </w:r>
      <w:r>
        <w:rPr>
          <w:spacing w:val="-4"/>
        </w:rPr>
        <w:t xml:space="preserve">1:1：4 </w:t>
      </w:r>
      <w:r>
        <w:rPr>
          <w:w w:val="100"/>
        </w:rPr>
        <w:t>混合砂浆打底，踢脚做法</w:t>
      </w:r>
      <w:r>
        <w:rPr>
          <w:spacing w:val="-11"/>
          <w:w w:val="100"/>
        </w:rPr>
        <w:t>（</w:t>
      </w:r>
      <w:r>
        <w:rPr>
          <w:w w:val="100"/>
        </w:rPr>
        <w:t>120mm</w:t>
      </w:r>
      <w:r>
        <w:rPr>
          <w:spacing w:val="-79"/>
        </w:rPr>
        <w:t xml:space="preserve"> </w:t>
      </w:r>
      <w:r>
        <w:rPr>
          <w:w w:val="100"/>
        </w:rPr>
        <w:t>高</w:t>
      </w:r>
      <w:r>
        <w:rPr>
          <w:spacing w:val="-213"/>
          <w:w w:val="100"/>
        </w:rPr>
        <w:t>）</w:t>
      </w:r>
      <w:r>
        <w:rPr>
          <w:w w:val="100"/>
        </w:rPr>
        <w:t>；砖墙，20</w:t>
      </w:r>
      <w:r>
        <w:rPr>
          <w:spacing w:val="-74"/>
        </w:rPr>
        <w:t xml:space="preserve"> </w:t>
      </w:r>
      <w:r>
        <w:rPr>
          <w:w w:val="100"/>
        </w:rPr>
        <w:t>厚</w:t>
      </w:r>
      <w:r>
        <w:rPr>
          <w:spacing w:val="-70"/>
        </w:rPr>
        <w:t xml:space="preserve"> </w:t>
      </w:r>
      <w:r>
        <w:rPr>
          <w:w w:val="100"/>
        </w:rPr>
        <w:t>1:3</w:t>
      </w:r>
      <w:r>
        <w:rPr>
          <w:spacing w:val="-79"/>
        </w:rPr>
        <w:t xml:space="preserve"> </w:t>
      </w:r>
      <w:r>
        <w:rPr>
          <w:spacing w:val="-1"/>
          <w:w w:val="100"/>
        </w:rPr>
        <w:t>水泥砂浆，</w:t>
      </w:r>
      <w:r>
        <w:rPr>
          <w:w w:val="100"/>
        </w:rPr>
        <w:t>20</w:t>
      </w:r>
      <w:r>
        <w:rPr>
          <w:spacing w:val="-74"/>
        </w:rPr>
        <w:t xml:space="preserve"> </w:t>
      </w:r>
      <w:r>
        <w:rPr>
          <w:w w:val="100"/>
        </w:rPr>
        <w:t>厚</w:t>
      </w:r>
      <w:r>
        <w:rPr>
          <w:spacing w:val="-3"/>
        </w:rPr>
        <w:t xml:space="preserve">樱花红光面花岗岩。墙身水平防潮层：在室内地面以下 </w:t>
      </w:r>
      <w:r>
        <w:t>60mm</w:t>
      </w:r>
      <w:r>
        <w:rPr>
          <w:spacing w:val="-13"/>
        </w:rPr>
        <w:t xml:space="preserve"> 处墙身抹 </w:t>
      </w:r>
      <w:r>
        <w:rPr>
          <w:spacing w:val="-9"/>
        </w:rPr>
        <w:t xml:space="preserve">20 </w:t>
      </w:r>
      <w:r>
        <w:rPr>
          <w:w w:val="100"/>
        </w:rPr>
        <w:t>厚</w:t>
      </w:r>
      <w:r>
        <w:rPr>
          <w:spacing w:val="-106"/>
        </w:rPr>
        <w:t xml:space="preserve"> </w:t>
      </w:r>
      <w:r>
        <w:rPr>
          <w:w w:val="100"/>
        </w:rPr>
        <w:t>1:2</w:t>
      </w:r>
      <w:r>
        <w:rPr>
          <w:spacing w:val="-108"/>
        </w:rPr>
        <w:t xml:space="preserve"> </w:t>
      </w:r>
      <w:r>
        <w:rPr>
          <w:w w:val="100"/>
        </w:rPr>
        <w:t>水泥砂浆（内加</w:t>
      </w:r>
      <w:r>
        <w:rPr>
          <w:spacing w:val="-112"/>
        </w:rPr>
        <w:t xml:space="preserve"> </w:t>
      </w:r>
      <w:r>
        <w:rPr>
          <w:w w:val="100"/>
        </w:rPr>
        <w:t>3-</w:t>
      </w:r>
      <w:r>
        <w:rPr>
          <w:spacing w:val="-2"/>
          <w:w w:val="100"/>
        </w:rPr>
        <w:t>5</w:t>
      </w:r>
      <w:r>
        <w:rPr>
          <w:w w:val="100"/>
        </w:rPr>
        <w:t>％防水剂</w:t>
      </w:r>
      <w:r>
        <w:rPr>
          <w:spacing w:val="-216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2"/>
          <w:numId w:val="24"/>
        </w:numPr>
        <w:tabs>
          <w:tab w:val="left" w:pos="5096"/>
        </w:tabs>
        <w:spacing w:before="0" w:after="0" w:line="537" w:lineRule="exact"/>
        <w:ind w:left="5095" w:right="0" w:hanging="628"/>
        <w:jc w:val="both"/>
        <w:rPr>
          <w:sz w:val="42"/>
        </w:rPr>
      </w:pPr>
      <w:r>
        <w:rPr>
          <w:w w:val="100"/>
          <w:sz w:val="42"/>
        </w:rPr>
        <w:t>厕所内部</w:t>
      </w:r>
      <w:r>
        <w:rPr>
          <w:spacing w:val="-73"/>
          <w:sz w:val="42"/>
        </w:rPr>
        <w:t xml:space="preserve"> </w:t>
      </w:r>
      <w:r>
        <w:rPr>
          <w:w w:val="100"/>
          <w:sz w:val="42"/>
        </w:rPr>
        <w:t>1.8m</w:t>
      </w:r>
      <w:r>
        <w:rPr>
          <w:spacing w:val="-77"/>
          <w:sz w:val="42"/>
        </w:rPr>
        <w:t xml:space="preserve"> </w:t>
      </w:r>
      <w:r>
        <w:rPr>
          <w:w w:val="100"/>
          <w:sz w:val="42"/>
        </w:rPr>
        <w:t>范围内白色瓷砖贴面</w:t>
      </w:r>
      <w:r>
        <w:rPr>
          <w:spacing w:val="-11"/>
          <w:w w:val="100"/>
          <w:sz w:val="42"/>
        </w:rPr>
        <w:t>（</w:t>
      </w:r>
      <w:r>
        <w:rPr>
          <w:w w:val="100"/>
          <w:sz w:val="42"/>
        </w:rPr>
        <w:t>30</w:t>
      </w:r>
      <w:r>
        <w:rPr>
          <w:spacing w:val="-5"/>
          <w:w w:val="100"/>
          <w:sz w:val="42"/>
        </w:rPr>
        <w:t>0</w:t>
      </w:r>
      <w:r>
        <w:rPr>
          <w:w w:val="100"/>
          <w:sz w:val="42"/>
        </w:rPr>
        <w:t>×30</w:t>
      </w:r>
      <w:r>
        <w:rPr>
          <w:spacing w:val="-2"/>
          <w:w w:val="100"/>
          <w:sz w:val="42"/>
        </w:rPr>
        <w:t>0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，或按二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53"/>
      </w:pPr>
      <w:r>
        <w:t>次装修。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24"/>
        </w:numPr>
        <w:tabs>
          <w:tab w:val="left" w:pos="5096"/>
        </w:tabs>
        <w:spacing w:before="1" w:after="0" w:line="240" w:lineRule="auto"/>
        <w:ind w:left="5095" w:right="0" w:hanging="628"/>
        <w:jc w:val="both"/>
        <w:rPr>
          <w:sz w:val="42"/>
        </w:rPr>
      </w:pPr>
      <w:r>
        <w:rPr>
          <w:spacing w:val="1"/>
          <w:sz w:val="42"/>
        </w:rPr>
        <w:t xml:space="preserve">外墙、卫生间、告水池等处墙面面层砂浆中加入 </w:t>
      </w:r>
      <w:r>
        <w:rPr>
          <w:sz w:val="42"/>
        </w:rPr>
        <w:t>3~5％防</w:t>
      </w:r>
    </w:p>
    <w:p>
      <w:pPr>
        <w:pStyle w:val="BodyText"/>
        <w:rPr>
          <w:sz w:val="31"/>
        </w:rPr>
      </w:pPr>
    </w:p>
    <w:p>
      <w:pPr>
        <w:pStyle w:val="BodyText"/>
        <w:ind w:left="2153"/>
      </w:pPr>
      <w:r>
        <w:t>水剂。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413"/>
      </w:pPr>
      <w:r>
        <w:t>外墙面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457"/>
        </w:tabs>
        <w:spacing w:before="1"/>
        <w:ind w:left="3831"/>
      </w:pPr>
      <w:r>
        <w:t>外墙：白色外墙乳胶漆</w:t>
        <w:tab/>
      </w:r>
      <w:r>
        <w:rPr>
          <w:spacing w:val="-6"/>
        </w:rPr>
        <w:t>a</w:t>
      </w:r>
      <w:r>
        <w:t>、白色外墙乳胶</w:t>
      </w:r>
      <w:r>
        <w:rPr>
          <w:spacing w:val="101"/>
        </w:rPr>
        <w:t>漆</w:t>
      </w:r>
      <w:r>
        <w:t>b、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5521" w:right="2022"/>
      </w:pPr>
      <w:r>
        <w:rPr>
          <w:spacing w:val="-11"/>
        </w:rPr>
        <w:t>b</w:t>
      </w:r>
      <w:r>
        <w:t>、6</w:t>
      </w:r>
      <w:r>
        <w:rPr>
          <w:spacing w:val="-66"/>
        </w:rPr>
        <w:t xml:space="preserve"> 厚 </w:t>
      </w:r>
      <w:r>
        <w:t>1:0.2:2.5</w:t>
      </w:r>
      <w:r>
        <w:rPr>
          <w:spacing w:val="-12"/>
        </w:rPr>
        <w:t xml:space="preserve"> 水泥石膏砂浆刮平扫毛或划出纹道</w:t>
      </w:r>
      <w:r>
        <w:rPr>
          <w:spacing w:val="-11"/>
        </w:rPr>
        <w:t>c</w:t>
      </w:r>
      <w:r>
        <w:t>、12</w:t>
      </w:r>
      <w:r>
        <w:rPr>
          <w:spacing w:val="-71"/>
        </w:rPr>
        <w:t xml:space="preserve"> 厚 </w:t>
      </w:r>
      <w:r>
        <w:t>1:3</w:t>
      </w:r>
      <w:r>
        <w:rPr>
          <w:spacing w:val="-11"/>
        </w:rPr>
        <w:t xml:space="preserve"> 水泥砂浆打底扫毛或划出纹道</w:t>
      </w:r>
    </w:p>
    <w:p>
      <w:pPr>
        <w:pStyle w:val="BodyText"/>
        <w:spacing w:line="417" w:lineRule="auto"/>
        <w:ind w:left="2153" w:right="1398" w:firstLine="3367"/>
      </w:pPr>
      <w:r>
        <w:rPr>
          <w:spacing w:val="-11"/>
        </w:rPr>
        <w:t>d、</w:t>
      </w:r>
      <w:r>
        <w:t>50</w:t>
      </w:r>
      <w:r>
        <w:rPr>
          <w:spacing w:val="-11"/>
        </w:rPr>
        <w:t xml:space="preserve"> 厚挤塑聚苯板，用聚合物砂浆粘贴，紧贴不留缝， </w:t>
      </w:r>
      <w:r>
        <w:t>粘贴时四周一圈抹砂浆</w:t>
      </w:r>
    </w:p>
    <w:p>
      <w:pPr>
        <w:pStyle w:val="BodyText"/>
        <w:spacing w:line="417" w:lineRule="auto"/>
        <w:ind w:left="2153" w:right="1488" w:firstLine="3367"/>
      </w:pPr>
      <w:r>
        <w:t>e、墙面根据聚苯板的长宽尺寸，沿横向（竖向）接缝处放线，用水泥钉（或胀管）安装 1.5 厚镀锌钢板卡，中距 600</w:t>
      </w:r>
    </w:p>
    <w:p>
      <w:pPr>
        <w:pStyle w:val="BodyText"/>
        <w:spacing w:line="537" w:lineRule="exact"/>
        <w:ind w:left="2783"/>
      </w:pPr>
      <w:r>
        <w:t>木装修工程：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4884"/>
        </w:tabs>
        <w:spacing w:before="0" w:after="0" w:line="240" w:lineRule="auto"/>
        <w:ind w:left="4883" w:right="0" w:hanging="627"/>
        <w:jc w:val="left"/>
        <w:rPr>
          <w:sz w:val="42"/>
        </w:rPr>
      </w:pPr>
      <w:r>
        <w:rPr>
          <w:sz w:val="42"/>
        </w:rPr>
        <w:t>、挂落、坐凳楣子、美人靠等构件采用柳桉木制作。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4884"/>
        </w:tabs>
        <w:spacing w:before="0" w:after="0" w:line="240" w:lineRule="auto"/>
        <w:ind w:left="4883" w:right="0" w:hanging="627"/>
        <w:jc w:val="left"/>
        <w:rPr>
          <w:sz w:val="42"/>
        </w:rPr>
      </w:pPr>
      <w:r>
        <w:rPr>
          <w:spacing w:val="-14"/>
          <w:sz w:val="42"/>
        </w:rPr>
        <w:t>、所有木装修构件用材不允许有腐朽材料和虫蛀、死节现象。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4884"/>
        </w:tabs>
        <w:spacing w:before="1" w:after="0" w:line="240" w:lineRule="auto"/>
        <w:ind w:left="4883" w:right="0" w:hanging="627"/>
        <w:jc w:val="left"/>
        <w:rPr>
          <w:sz w:val="42"/>
        </w:rPr>
      </w:pPr>
      <w:r>
        <w:rPr>
          <w:spacing w:val="-8"/>
          <w:sz w:val="42"/>
        </w:rPr>
        <w:t xml:space="preserve">、方材：截面短边在 </w:t>
      </w:r>
      <w:r>
        <w:rPr>
          <w:sz w:val="42"/>
        </w:rPr>
        <w:t>100</w:t>
      </w:r>
      <w:r>
        <w:rPr>
          <w:spacing w:val="-9"/>
          <w:sz w:val="42"/>
        </w:rPr>
        <w:t xml:space="preserve"> 以内，活节单个直径不超过截面短</w:t>
      </w:r>
    </w:p>
    <w:p>
      <w:pPr>
        <w:pStyle w:val="BodyText"/>
        <w:rPr>
          <w:sz w:val="31"/>
        </w:rPr>
      </w:pPr>
    </w:p>
    <w:p>
      <w:pPr>
        <w:pStyle w:val="BodyText"/>
        <w:ind w:left="2153"/>
      </w:pPr>
      <w:r>
        <w:t>边的 1/4，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362"/>
      </w:pPr>
      <w:r>
        <w:t>榫卯处不允许木节。任何延长米木节数不超过 2 个。裂缝深度不超过</w:t>
      </w:r>
    </w:p>
    <w:p>
      <w:pPr>
        <w:spacing w:after="0"/>
        <w:sectPr>
          <w:headerReference w:type="default" r:id="rId14"/>
          <w:footerReference w:type="default" r:id="rId15"/>
          <w:pgSz w:w="17860" w:h="25260"/>
          <w:pgMar w:top="1420" w:right="0" w:bottom="2060" w:left="540" w:header="1054" w:footer="186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 w:line="417" w:lineRule="auto"/>
        <w:ind w:left="2362" w:right="2241"/>
      </w:pPr>
      <w:r>
        <w:rPr>
          <w:spacing w:val="-17"/>
        </w:rPr>
        <w:t xml:space="preserve">截面短边的 </w:t>
      </w:r>
      <w:r>
        <w:t>1/6</w:t>
      </w:r>
      <w:r>
        <w:rPr>
          <w:spacing w:val="-11"/>
        </w:rPr>
        <w:t xml:space="preserve">，长度不大于长边的 </w:t>
      </w:r>
      <w:r>
        <w:t>1/5</w:t>
      </w:r>
      <w:r>
        <w:rPr>
          <w:spacing w:val="-12"/>
        </w:rPr>
        <w:t xml:space="preserve">，斜纹斜率不大于 </w:t>
      </w:r>
      <w:r>
        <w:rPr>
          <w:spacing w:val="-3"/>
        </w:rPr>
        <w:t>4</w:t>
      </w:r>
      <w:r>
        <w:rPr>
          <w:spacing w:val="-5"/>
        </w:rPr>
        <w:t>％。含水</w:t>
      </w:r>
      <w:r>
        <w:rPr>
          <w:spacing w:val="-27"/>
        </w:rPr>
        <w:t xml:space="preserve">率小于 </w:t>
      </w:r>
      <w:r>
        <w:t>15％。</w:t>
      </w:r>
    </w:p>
    <w:p>
      <w:pPr>
        <w:pStyle w:val="BodyText"/>
        <w:spacing w:line="417" w:lineRule="auto"/>
        <w:ind w:left="2362" w:right="2241" w:firstLine="421"/>
        <w:jc w:val="both"/>
      </w:pPr>
      <w:r>
        <w:rPr>
          <w:spacing w:val="-13"/>
        </w:rPr>
        <w:t xml:space="preserve">方材：截面短边在 </w:t>
      </w:r>
      <w:r>
        <w:t>100</w:t>
      </w:r>
      <w:r>
        <w:rPr>
          <w:spacing w:val="-17"/>
        </w:rPr>
        <w:t xml:space="preserve"> 以上，活节单个直径不超过截面短边的 </w:t>
      </w:r>
      <w:r>
        <w:t xml:space="preserve">1/4 </w:t>
      </w:r>
      <w:r>
        <w:rPr>
          <w:spacing w:val="-6"/>
        </w:rPr>
        <w:t xml:space="preserve">榫卯处不允许木节。任何延长米木节数不超过 </w:t>
      </w:r>
      <w:r>
        <w:t>2</w:t>
      </w:r>
      <w:r>
        <w:rPr>
          <w:spacing w:val="-12"/>
        </w:rPr>
        <w:t xml:space="preserve"> 个。裂缝深度不超过</w:t>
      </w:r>
      <w:r>
        <w:rPr>
          <w:spacing w:val="-27"/>
        </w:rPr>
        <w:t xml:space="preserve">截面短边的 </w:t>
      </w:r>
      <w:r>
        <w:t>1/6</w:t>
      </w:r>
      <w:r>
        <w:rPr>
          <w:spacing w:val="-11"/>
        </w:rPr>
        <w:t xml:space="preserve">，长度不大于长边的 </w:t>
      </w:r>
      <w:r>
        <w:t>1/5</w:t>
      </w:r>
      <w:r>
        <w:rPr>
          <w:spacing w:val="-12"/>
        </w:rPr>
        <w:t xml:space="preserve">，斜纹斜率不大于 </w:t>
      </w:r>
      <w:r>
        <w:rPr>
          <w:spacing w:val="-3"/>
        </w:rPr>
        <w:t>6</w:t>
      </w:r>
      <w:r>
        <w:rPr>
          <w:spacing w:val="-5"/>
        </w:rPr>
        <w:t>％。含水</w:t>
      </w:r>
      <w:r>
        <w:rPr>
          <w:spacing w:val="-27"/>
        </w:rPr>
        <w:t xml:space="preserve">率小于 </w:t>
      </w:r>
      <w:r>
        <w:t>18％。</w:t>
      </w:r>
    </w:p>
    <w:p>
      <w:pPr>
        <w:pStyle w:val="ListParagraph"/>
        <w:numPr>
          <w:ilvl w:val="0"/>
          <w:numId w:val="21"/>
        </w:numPr>
        <w:tabs>
          <w:tab w:val="left" w:pos="2994"/>
        </w:tabs>
        <w:spacing w:before="0" w:after="0" w:line="417" w:lineRule="auto"/>
        <w:ind w:left="2362" w:right="1931" w:firstLine="0"/>
        <w:jc w:val="left"/>
        <w:rPr>
          <w:sz w:val="42"/>
        </w:rPr>
      </w:pPr>
      <w:r>
        <w:rPr>
          <w:spacing w:val="-14"/>
          <w:sz w:val="42"/>
        </w:rPr>
        <w:t xml:space="preserve">、板材：厚度在 </w:t>
      </w:r>
      <w:r>
        <w:rPr>
          <w:sz w:val="42"/>
        </w:rPr>
        <w:t>22</w:t>
      </w:r>
      <w:r>
        <w:rPr>
          <w:spacing w:val="-18"/>
          <w:sz w:val="42"/>
        </w:rPr>
        <w:t xml:space="preserve"> 及以下，活节单个直径不超过 </w:t>
      </w:r>
      <w:r>
        <w:rPr>
          <w:sz w:val="42"/>
        </w:rPr>
        <w:t>20，任何延长米</w:t>
      </w:r>
      <w:r>
        <w:rPr>
          <w:spacing w:val="-17"/>
          <w:sz w:val="42"/>
        </w:rPr>
        <w:t xml:space="preserve">木节不大于 </w:t>
      </w:r>
      <w:r>
        <w:rPr>
          <w:sz w:val="42"/>
        </w:rPr>
        <w:t>2</w:t>
      </w:r>
      <w:r>
        <w:rPr>
          <w:spacing w:val="-21"/>
          <w:sz w:val="42"/>
        </w:rPr>
        <w:t xml:space="preserve"> 个。斜纹斜率不大于 </w:t>
      </w:r>
      <w:r>
        <w:rPr>
          <w:sz w:val="42"/>
        </w:rPr>
        <w:t>10</w:t>
      </w:r>
      <w:r>
        <w:rPr>
          <w:spacing w:val="-9"/>
          <w:sz w:val="42"/>
        </w:rPr>
        <w:t xml:space="preserve">％。裂缝深度不大于板厚的 </w:t>
      </w:r>
      <w:r>
        <w:rPr>
          <w:spacing w:val="-6"/>
          <w:sz w:val="42"/>
        </w:rPr>
        <w:t xml:space="preserve">1/5， </w:t>
      </w:r>
      <w:r>
        <w:rPr>
          <w:spacing w:val="-13"/>
          <w:sz w:val="42"/>
        </w:rPr>
        <w:t xml:space="preserve">长度不大于板宽的 </w:t>
      </w:r>
      <w:r>
        <w:rPr>
          <w:sz w:val="42"/>
        </w:rPr>
        <w:t>1/4</w:t>
      </w:r>
      <w:r>
        <w:rPr>
          <w:spacing w:val="-16"/>
          <w:sz w:val="42"/>
        </w:rPr>
        <w:t xml:space="preserve">。含水率小于 </w:t>
      </w:r>
      <w:r>
        <w:rPr>
          <w:sz w:val="42"/>
        </w:rPr>
        <w:t>15％。</w:t>
      </w:r>
    </w:p>
    <w:p>
      <w:pPr>
        <w:pStyle w:val="BodyText"/>
        <w:spacing w:line="417" w:lineRule="auto"/>
        <w:ind w:left="2362" w:right="2447"/>
        <w:jc w:val="both"/>
      </w:pPr>
      <w:r>
        <w:rPr>
          <w:spacing w:val="-15"/>
        </w:rPr>
        <w:t xml:space="preserve">板材：厚度在 </w:t>
      </w:r>
      <w:r>
        <w:t>22</w:t>
      </w:r>
      <w:r>
        <w:rPr>
          <w:spacing w:val="-18"/>
        </w:rPr>
        <w:t xml:space="preserve"> 以上，活节单个直径不超过 </w:t>
      </w:r>
      <w:r>
        <w:t>30</w:t>
      </w:r>
      <w:r>
        <w:rPr>
          <w:spacing w:val="-2"/>
        </w:rPr>
        <w:t>，任何延长米木节不</w:t>
      </w:r>
      <w:r>
        <w:rPr>
          <w:spacing w:val="-35"/>
        </w:rPr>
        <w:t xml:space="preserve">大于 </w:t>
      </w:r>
      <w:r>
        <w:t>3</w:t>
      </w:r>
      <w:r>
        <w:rPr>
          <w:spacing w:val="-19"/>
        </w:rPr>
        <w:t xml:space="preserve"> 个。 斜纹斜率不大于 </w:t>
      </w:r>
      <w:r>
        <w:t>15</w:t>
      </w:r>
      <w:r>
        <w:rPr>
          <w:spacing w:val="-9"/>
        </w:rPr>
        <w:t xml:space="preserve">％。裂缝深度不大于板厚的 </w:t>
      </w:r>
      <w:r>
        <w:t>1/5，长</w:t>
      </w:r>
      <w:r>
        <w:rPr>
          <w:spacing w:val="-14"/>
        </w:rPr>
        <w:t xml:space="preserve">度不大于板宽的 </w:t>
      </w:r>
      <w:r>
        <w:t>1/4</w:t>
      </w:r>
      <w:r>
        <w:rPr>
          <w:spacing w:val="-16"/>
        </w:rPr>
        <w:t xml:space="preserve">。含水率小于 </w:t>
      </w:r>
      <w:r>
        <w:t>18％。</w:t>
      </w:r>
    </w:p>
    <w:p>
      <w:pPr>
        <w:pStyle w:val="BodyText"/>
        <w:spacing w:line="538" w:lineRule="exact"/>
        <w:ind w:left="2362"/>
      </w:pPr>
      <w:r>
        <w:t>门窗材料及油漆: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before="1" w:line="417" w:lineRule="auto"/>
        <w:ind w:left="2362" w:right="2319" w:firstLine="1051"/>
      </w:pPr>
      <w:r>
        <w:rPr>
          <w:spacing w:val="-8"/>
        </w:rPr>
        <w:t xml:space="preserve">门窗采用成品塑钢窗。窗玻璃为 </w:t>
      </w:r>
      <w:r>
        <w:t>4</w:t>
      </w:r>
      <w:r>
        <w:rPr>
          <w:spacing w:val="-22"/>
        </w:rPr>
        <w:t xml:space="preserve"> 厚白玻璃，门玻璃为 </w:t>
      </w:r>
      <w:r>
        <w:t>5mm</w:t>
      </w:r>
      <w:r>
        <w:rPr>
          <w:spacing w:val="-52"/>
        </w:rPr>
        <w:t xml:space="preserve"> 厚</w:t>
      </w:r>
      <w:r>
        <w:rPr>
          <w:spacing w:val="-51"/>
        </w:rPr>
        <w:t>钢化白玻璃，油漆：梁柱结构、门窗及木坐凳油漆统一做法：满刮石</w:t>
      </w:r>
      <w:r>
        <w:rPr>
          <w:spacing w:val="-1"/>
        </w:rPr>
        <w:t>膏腻子一道，刷三道暗红色油漆三道，外清漆一道。铁件均刷防锈漆</w:t>
      </w:r>
      <w:r>
        <w:t>二度。</w:t>
      </w:r>
    </w:p>
    <w:p>
      <w:pPr>
        <w:pStyle w:val="BodyText"/>
        <w:spacing w:line="537" w:lineRule="exact"/>
        <w:ind w:left="2362"/>
      </w:pPr>
      <w:r>
        <w:t>本工程中未注明防腐木均为兰木。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362" w:right="3582"/>
      </w:pPr>
      <w:r>
        <w:t>本工程图未尽事项详见各施工图说明及按有关施工及验收规范处理。</w:t>
      </w:r>
    </w:p>
    <w:p>
      <w:pPr>
        <w:spacing w:after="0" w:line="417" w:lineRule="auto"/>
        <w:sectPr>
          <w:headerReference w:type="default" r:id="rId16"/>
          <w:footerReference w:type="default" r:id="rId17"/>
          <w:pgSz w:w="17860" w:h="25260"/>
          <w:pgMar w:top="1420" w:right="0" w:bottom="2060" w:left="540" w:header="1054" w:footer="1864"/>
          <w:pgNumType w:start="7"/>
          <w:cols w:space="708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ind w:right="4189"/>
        <w:jc w:val="center"/>
      </w:pPr>
      <w:r>
        <w:t>第三章：施工部署</w:t>
      </w:r>
    </w:p>
    <w:p>
      <w:pPr>
        <w:pStyle w:val="BodyText"/>
        <w:spacing w:before="423" w:line="417" w:lineRule="auto"/>
        <w:ind w:left="2157" w:right="1683" w:firstLine="831"/>
        <w:jc w:val="both"/>
      </w:pPr>
      <w:r>
        <w:t>为了保证工程顺利进行，如期交付使用，我部选派技术素质高，管理科学的优秀项目经理组织施工。采用先进的施工工艺和施工技术，优化施工方案，严格按照国家现行施工规范组织施工，配备充足的劳动力和机械设备，确保工期和工程质量达标。</w:t>
      </w:r>
    </w:p>
    <w:p>
      <w:pPr>
        <w:pStyle w:val="BodyText"/>
        <w:spacing w:line="537" w:lineRule="exact"/>
        <w:ind w:left="2988"/>
      </w:pPr>
      <w:r>
        <w:t>组织机构图: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-80"/>
        <w:rPr>
          <w:sz w:val="20"/>
        </w:rPr>
      </w:pPr>
      <w:r>
        <w:rPr>
          <w:sz w:val="20"/>
        </w:rPr>
        <w:pict>
          <v:group id="_x0000_i1025" style="width:832pt;height:342pt;mso-position-horizontal-relative:char;mso-position-vertical-relative:line" coordorigin="0,0" coordsize="16640,6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640;height:6840;position:absolute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270;left:7781;position:absolute;top:2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项目经理</w:t>
                    </w:r>
                  </w:p>
                </w:txbxContent>
              </v:textbox>
            </v:shape>
            <v:shape id="_x0000_s1028" type="#_x0000_t202" style="width:1100;height:270;left:3450;position:absolute;top:28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生产经理</w:t>
                    </w:r>
                  </w:p>
                </w:txbxContent>
              </v:textbox>
            </v:shape>
            <v:shape id="_x0000_s1029" type="#_x0000_t202" style="width:1100;height:270;left:8447;position:absolute;top:286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经营经理</w:t>
                    </w:r>
                  </w:p>
                </w:txbxContent>
              </v:textbox>
            </v:shape>
            <v:shape id="_x0000_s1030" type="#_x0000_t202" style="width:1370;height:270;left:13039;position:absolute;top:28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技术负责人</w:t>
                    </w:r>
                  </w:p>
                </w:txbxContent>
              </v:textbox>
            </v:shape>
            <v:shape id="_x0000_s1031" type="#_x0000_t202" style="width:712;height:270;left:184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定额员</w:t>
                    </w:r>
                  </w:p>
                </w:txbxContent>
              </v:textbox>
            </v:shape>
            <v:shape id="_x0000_s1032" type="#_x0000_t202" style="width:711;height:270;left:1747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技术员</w:t>
                    </w:r>
                  </w:p>
                </w:txbxContent>
              </v:textbox>
            </v:shape>
            <v:shape id="_x0000_s1033" type="#_x0000_t202" style="width:712;height:270;left:3263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预算员</w:t>
                    </w:r>
                  </w:p>
                </w:txbxContent>
              </v:textbox>
            </v:shape>
            <v:shape id="_x0000_s1034" type="#_x0000_t202" style="width:712;height:270;left:4883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安全员</w:t>
                    </w:r>
                  </w:p>
                </w:txbxContent>
              </v:textbox>
            </v:shape>
            <v:shape id="_x0000_s1035" type="#_x0000_t202" style="width:712;height:270;left:6504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质检员</w:t>
                    </w:r>
                  </w:p>
                </w:txbxContent>
              </v:textbox>
            </v:shape>
            <v:shape id="_x0000_s1036" type="#_x0000_t202" style="width:712;height:270;left:8124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资料员</w:t>
                    </w:r>
                  </w:p>
                </w:txbxContent>
              </v:textbox>
            </v:shape>
            <v:shape id="_x0000_s1037" type="#_x0000_t202" style="width:711;height:270;left:9744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施工员</w:t>
                    </w:r>
                  </w:p>
                </w:txbxContent>
              </v:textbox>
            </v:shape>
            <v:shape id="_x0000_s1038" type="#_x0000_t202" style="width:712;height:270;left:11256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材料员</w:t>
                    </w:r>
                  </w:p>
                </w:txbxContent>
              </v:textbox>
            </v:shape>
            <v:shape id="_x0000_s1039" type="#_x0000_t202" style="width:712;height:270;left:12714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机械员</w:t>
                    </w:r>
                  </w:p>
                </w:txbxContent>
              </v:textbox>
            </v:shape>
            <v:shape id="_x0000_s1040" type="#_x0000_t202" style="width:712;height:270;left:14173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计划员</w:t>
                    </w:r>
                  </w:p>
                </w:txbxContent>
              </v:textbox>
            </v:shape>
            <v:shape id="_x0000_s1041" type="#_x0000_t202" style="width:712;height:270;left:15793;position:absolute;top:59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40"/>
                        <w:sz w:val="27"/>
                      </w:rPr>
                      <w:t>劳资员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25"/>
        </w:numPr>
        <w:tabs>
          <w:tab w:val="left" w:pos="2579"/>
        </w:tabs>
        <w:spacing w:before="43" w:after="0" w:line="240" w:lineRule="auto"/>
        <w:ind w:left="2578" w:right="0" w:hanging="422"/>
        <w:jc w:val="both"/>
        <w:rPr>
          <w:sz w:val="42"/>
        </w:rPr>
      </w:pPr>
      <w:r>
        <w:rPr>
          <w:sz w:val="42"/>
        </w:rPr>
        <w:t>、质量目标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591" w:firstLine="838"/>
        <w:jc w:val="both"/>
      </w:pPr>
      <w:r>
        <w:t>严格执行《建筑工程施工质量验收规范》的规定，确保该工程分项、</w:t>
      </w:r>
      <w:r>
        <w:rPr>
          <w:spacing w:val="-8"/>
        </w:rPr>
        <w:t xml:space="preserve">分部、单位工程合格率达 </w:t>
      </w:r>
      <w:r>
        <w:t>100</w:t>
      </w:r>
      <w:r>
        <w:rPr>
          <w:spacing w:val="-1"/>
        </w:rPr>
        <w:t>%；杜绝工程重大质量事故和一级质量事故、</w:t>
      </w:r>
      <w:r>
        <w:t>减少二级质量事故。</w:t>
      </w:r>
    </w:p>
    <w:p>
      <w:pPr>
        <w:pStyle w:val="ListParagraph"/>
        <w:numPr>
          <w:ilvl w:val="0"/>
          <w:numId w:val="25"/>
        </w:numPr>
        <w:tabs>
          <w:tab w:val="left" w:pos="2579"/>
        </w:tabs>
        <w:spacing w:before="0" w:after="0" w:line="537" w:lineRule="exact"/>
        <w:ind w:left="2578" w:right="0" w:hanging="422"/>
        <w:jc w:val="both"/>
        <w:rPr>
          <w:sz w:val="42"/>
        </w:rPr>
      </w:pPr>
      <w:r>
        <w:rPr>
          <w:sz w:val="42"/>
        </w:rPr>
        <w:t>、工期目标</w:t>
      </w:r>
    </w:p>
    <w:p>
      <w:pPr>
        <w:spacing w:after="0" w:line="537" w:lineRule="exact"/>
        <w:jc w:val="both"/>
        <w:rPr>
          <w:sz w:val="42"/>
        </w:rPr>
        <w:sectPr>
          <w:headerReference w:type="default" r:id="rId19"/>
          <w:footerReference w:type="default" r:id="rId20"/>
          <w:pgSz w:w="17860" w:h="25260"/>
          <w:pgMar w:top="1420" w:right="0" w:bottom="2060" w:left="540" w:header="1054" w:footer="1864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 w:line="417" w:lineRule="auto"/>
        <w:ind w:left="2157" w:right="1654" w:firstLine="421"/>
      </w:pPr>
      <w:r>
        <w:rPr>
          <w:spacing w:val="-8"/>
        </w:rPr>
        <w:t xml:space="preserve">我单位计划：开工日期为 </w:t>
      </w:r>
      <w:r>
        <w:t>2012</w:t>
      </w:r>
      <w:r>
        <w:rPr>
          <w:spacing w:val="-51"/>
        </w:rPr>
        <w:t xml:space="preserve"> 年 </w:t>
      </w:r>
      <w:r>
        <w:t>10</w:t>
      </w:r>
      <w:r>
        <w:rPr>
          <w:spacing w:val="-52"/>
        </w:rPr>
        <w:t xml:space="preserve"> 月 </w:t>
      </w:r>
      <w:r>
        <w:t>1</w:t>
      </w:r>
      <w:r>
        <w:rPr>
          <w:spacing w:val="-19"/>
        </w:rPr>
        <w:t xml:space="preserve"> 日，竣工日期为 </w:t>
      </w:r>
      <w:r>
        <w:t>2013</w:t>
      </w:r>
      <w:r>
        <w:rPr>
          <w:spacing w:val="-52"/>
        </w:rPr>
        <w:t xml:space="preserve"> 年 </w:t>
      </w:r>
      <w:r>
        <w:t>1</w:t>
      </w:r>
      <w:r>
        <w:rPr>
          <w:spacing w:val="-45"/>
        </w:rPr>
        <w:t xml:space="preserve"> 月</w:t>
      </w:r>
      <w:r>
        <w:t>30</w:t>
      </w:r>
      <w:r>
        <w:rPr>
          <w:spacing w:val="-26"/>
        </w:rPr>
        <w:t xml:space="preserve"> 日，共计日历天 </w:t>
      </w:r>
      <w:r>
        <w:t>120</w:t>
      </w:r>
      <w:r>
        <w:rPr>
          <w:spacing w:val="-22"/>
        </w:rPr>
        <w:t xml:space="preserve"> 日历天。</w:t>
      </w:r>
    </w:p>
    <w:p>
      <w:pPr>
        <w:pStyle w:val="BodyText"/>
        <w:spacing w:line="537" w:lineRule="exact"/>
        <w:ind w:left="2157"/>
      </w:pPr>
      <w:r>
        <w:t>3、 安全目标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683"/>
      </w:pPr>
      <w:r>
        <w:t>杜绝施工中发生重大及轻微人身伤亡事故，无等级火警事故；无机械行车和道路交通责任事故；无工程质量等级事故。</w:t>
      </w:r>
    </w:p>
    <w:p>
      <w:pPr>
        <w:pStyle w:val="BodyText"/>
        <w:spacing w:line="537" w:lineRule="exact"/>
        <w:ind w:left="2157"/>
      </w:pPr>
      <w:r>
        <w:t>4 、文明目标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2157" w:right="9908" w:firstLine="838"/>
      </w:pPr>
      <w:r>
        <w:rPr>
          <w:spacing w:val="-23"/>
        </w:rPr>
        <w:t>创建“安全文明工地”。</w:t>
      </w:r>
      <w:r>
        <w:t>5 、环境保护目标</w:t>
      </w:r>
    </w:p>
    <w:p>
      <w:pPr>
        <w:pStyle w:val="BodyText"/>
        <w:spacing w:line="417" w:lineRule="auto"/>
        <w:ind w:left="2157" w:right="1683" w:firstLine="838"/>
        <w:jc w:val="both"/>
      </w:pPr>
      <w:r>
        <w:t>在施工期间，对噪音、废水、固体废物等污染物进行全面控制，减少这些污染对环境造成的影响，满足国家有关环境保护法规的要求，美化施工环境。</w:t>
      </w:r>
    </w:p>
    <w:p>
      <w:pPr>
        <w:pStyle w:val="ListParagraph"/>
        <w:numPr>
          <w:ilvl w:val="0"/>
          <w:numId w:val="19"/>
        </w:numPr>
        <w:tabs>
          <w:tab w:val="left" w:pos="2579"/>
        </w:tabs>
        <w:spacing w:before="0" w:after="0" w:line="537" w:lineRule="exact"/>
        <w:ind w:left="2578" w:right="0" w:hanging="422"/>
        <w:jc w:val="both"/>
        <w:rPr>
          <w:sz w:val="42"/>
        </w:rPr>
      </w:pPr>
      <w:r>
        <w:rPr>
          <w:sz w:val="42"/>
        </w:rPr>
        <w:t>、服务目标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83" w:firstLine="838"/>
        <w:jc w:val="both"/>
      </w:pPr>
      <w:r>
        <w:t>信守合同，认真协调与各方面的关系，接受甲方和监理、质检部门对工程质量、工程进度、计划协调、现场管理和监督。按合同的约束定期回访。</w:t>
      </w:r>
    </w:p>
    <w:p>
      <w:pPr>
        <w:pStyle w:val="ListParagraph"/>
        <w:numPr>
          <w:ilvl w:val="0"/>
          <w:numId w:val="19"/>
        </w:numPr>
        <w:tabs>
          <w:tab w:val="left" w:pos="2579"/>
        </w:tabs>
        <w:spacing w:before="0" w:after="0" w:line="417" w:lineRule="auto"/>
        <w:ind w:left="2157" w:right="1682" w:firstLine="0"/>
        <w:jc w:val="both"/>
        <w:rPr>
          <w:sz w:val="42"/>
        </w:rPr>
      </w:pPr>
      <w:r>
        <w:rPr>
          <w:spacing w:val="-1"/>
          <w:sz w:val="42"/>
        </w:rPr>
        <w:t>、企业形象设计：工地现场标牌、指示牌、警示性标牌按企业标准进行</w:t>
      </w:r>
      <w:r>
        <w:rPr>
          <w:sz w:val="42"/>
        </w:rPr>
        <w:t>设置，做到醒目、整齐、一致。</w:t>
      </w:r>
    </w:p>
    <w:p>
      <w:pPr>
        <w:pStyle w:val="BodyText"/>
        <w:spacing w:line="537" w:lineRule="exact"/>
        <w:ind w:left="2157"/>
        <w:jc w:val="both"/>
      </w:pPr>
      <w:r>
        <w:t>8、 施工程序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683" w:firstLine="838"/>
        <w:jc w:val="both"/>
      </w:pPr>
      <w:r>
        <w:t>在总体安排上以如下秩序安排施工：按照先施工现场、后临建设施； 先施工准备、后施工生产。在工程安排上，抓关键线路，突出重点，其主要工序的施工顺序如下：</w:t>
      </w:r>
    </w:p>
    <w:p>
      <w:pPr>
        <w:pStyle w:val="BodyText"/>
        <w:spacing w:line="537" w:lineRule="exact"/>
        <w:ind w:left="2995"/>
      </w:pPr>
      <w:r>
        <w:t>原有建筑物拆除→场地开挖、回填、碾压→场面硬化及排水沟施工→</w:t>
      </w:r>
    </w:p>
    <w:p>
      <w:pPr>
        <w:spacing w:after="0" w:line="537" w:lineRule="exact"/>
        <w:sectPr>
          <w:headerReference w:type="default" r:id="rId21"/>
          <w:footerReference w:type="default" r:id="rId22"/>
          <w:pgSz w:w="17860" w:h="25260"/>
          <w:pgMar w:top="1420" w:right="0" w:bottom="2060" w:left="540" w:header="1054" w:footer="186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/>
        <w:ind w:left="2157"/>
      </w:pPr>
      <w:r>
        <w:t>管理室建设→围墙铁艺栏杆→场面划线装饰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431"/>
      </w:pPr>
      <w:r>
        <w:t>9</w:t>
      </w:r>
      <w:r>
        <w:rPr>
          <w:spacing w:val="-24"/>
        </w:rPr>
        <w:t>、为确保施工工期，满足施工生产的连续性、紧凑性，合理的组织劳动力。</w:t>
      </w:r>
      <w:r>
        <w:rPr>
          <w:spacing w:val="-4"/>
        </w:rPr>
        <w:t xml:space="preserve">我方计划按照工程的具体情况以及结构部位，将该工程划分为 </w:t>
      </w:r>
      <w:r>
        <w:t>4</w:t>
      </w:r>
      <w:r>
        <w:rPr>
          <w:spacing w:val="-14"/>
        </w:rPr>
        <w:t xml:space="preserve"> 个施工分部（场地开挖、回填、碾压、场面硬化及排水沟施工、管理室建设、围墙</w:t>
      </w:r>
      <w:r>
        <w:rPr>
          <w:spacing w:val="-14"/>
          <w:w w:val="100"/>
        </w:rPr>
        <w:t>铁艺栏杆、场面划线装饰</w:t>
      </w:r>
      <w:r>
        <w:rPr>
          <w:spacing w:val="-223"/>
          <w:w w:val="100"/>
        </w:rPr>
        <w:t>）</w:t>
      </w:r>
      <w:r>
        <w:rPr>
          <w:w w:val="100"/>
        </w:rPr>
        <w:t>，组织各机械队组、班组进行流水、穿插作业，</w:t>
      </w:r>
      <w:r>
        <w:t>保证施工的连续性。</w:t>
      </w:r>
    </w:p>
    <w:p>
      <w:pPr>
        <w:pStyle w:val="ListParagraph"/>
        <w:numPr>
          <w:ilvl w:val="0"/>
          <w:numId w:val="18"/>
        </w:numPr>
        <w:tabs>
          <w:tab w:val="left" w:pos="2787"/>
        </w:tabs>
        <w:spacing w:before="0" w:after="0" w:line="537" w:lineRule="exact"/>
        <w:ind w:left="2787" w:right="0" w:hanging="630"/>
        <w:jc w:val="left"/>
        <w:rPr>
          <w:sz w:val="42"/>
        </w:rPr>
      </w:pPr>
      <w:r>
        <w:rPr>
          <w:sz w:val="42"/>
        </w:rPr>
        <w:t>、施工调查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260" w:firstLine="838"/>
      </w:pPr>
      <w:r>
        <w:t xml:space="preserve">我部承揽该工程后将立即组织计划、技术、安全质量、试验及材料等 </w:t>
      </w:r>
      <w:r>
        <w:rPr>
          <w:spacing w:val="-1"/>
        </w:rPr>
        <w:t>有关人员组成现场施工调查组，对本工程内的工程分布、地质、地形详情、</w:t>
      </w:r>
      <w:r>
        <w:t>环境保护、临时工程、地材生产供应、材料采购等情况进行更加详细的调 查，为编制实施性施工组织设计提供详细的基础资料。</w:t>
      </w:r>
    </w:p>
    <w:p>
      <w:pPr>
        <w:pStyle w:val="ListParagraph"/>
        <w:numPr>
          <w:ilvl w:val="0"/>
          <w:numId w:val="18"/>
        </w:numPr>
        <w:tabs>
          <w:tab w:val="left" w:pos="2787"/>
        </w:tabs>
        <w:spacing w:before="0" w:after="0" w:line="537" w:lineRule="exact"/>
        <w:ind w:left="2787" w:right="0" w:hanging="630"/>
        <w:jc w:val="left"/>
        <w:rPr>
          <w:sz w:val="42"/>
        </w:rPr>
      </w:pPr>
      <w:r>
        <w:rPr>
          <w:sz w:val="42"/>
        </w:rPr>
        <w:t>、技术准备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8"/>
        </w:numPr>
        <w:tabs>
          <w:tab w:val="left" w:pos="3209"/>
        </w:tabs>
        <w:spacing w:before="0" w:after="0" w:line="240" w:lineRule="auto"/>
        <w:ind w:left="3208" w:right="0" w:hanging="1052"/>
        <w:jc w:val="left"/>
        <w:rPr>
          <w:sz w:val="42"/>
        </w:rPr>
      </w:pPr>
      <w:r>
        <w:rPr>
          <w:sz w:val="42"/>
        </w:rPr>
        <w:t>施工测量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423" w:firstLine="838"/>
      </w:pPr>
      <w:r>
        <w:t>我部委托公司对现场进行定位放线，根据定位图进行测量。对本工程的平面控制桩及水准点按Ⅱ级水准仪进行测设，并用闭合法复核。复测结果报建设单位和监理工程师批复后，布设平面控制网和标高水准点，然后</w:t>
      </w:r>
      <w:r>
        <w:rPr>
          <w:spacing w:val="-12"/>
        </w:rPr>
        <w:t xml:space="preserve">进行停车场区定位放线和高程测量，确保场区的平面位置和标高准确无误， </w:t>
      </w:r>
      <w:r>
        <w:t>同时要做好护桩的布置和保护。</w:t>
      </w:r>
    </w:p>
    <w:p>
      <w:pPr>
        <w:pStyle w:val="ListParagraph"/>
        <w:numPr>
          <w:ilvl w:val="1"/>
          <w:numId w:val="18"/>
        </w:numPr>
        <w:tabs>
          <w:tab w:val="left" w:pos="3209"/>
        </w:tabs>
        <w:spacing w:before="0" w:after="0" w:line="537" w:lineRule="exact"/>
        <w:ind w:left="3208" w:right="0" w:hanging="1052"/>
        <w:jc w:val="left"/>
        <w:rPr>
          <w:sz w:val="42"/>
        </w:rPr>
      </w:pPr>
      <w:r>
        <w:rPr>
          <w:sz w:val="42"/>
        </w:rPr>
        <w:t>编制作业指导书和施工操作细则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47" w:firstLine="1051"/>
      </w:pPr>
      <w:r>
        <w:rPr>
          <w:spacing w:val="-12"/>
        </w:rPr>
        <w:t>根据设计图纸结合现场实际情况，及施工工期总要求，制定施工工序</w:t>
      </w:r>
      <w:r>
        <w:t>先后排序：场地开挖、回填、碾压→场面硬化及排水沟施工→管理室建设</w:t>
      </w:r>
    </w:p>
    <w:p>
      <w:pPr>
        <w:pStyle w:val="BodyText"/>
        <w:spacing w:line="537" w:lineRule="exact"/>
        <w:ind w:left="2157"/>
      </w:pPr>
      <w:r>
        <w:t>→围墙铁艺栏杆→场面划线装饰。现场组织各机械队组、班组进行流水、</w:t>
      </w:r>
    </w:p>
    <w:p>
      <w:pPr>
        <w:spacing w:after="0" w:line="537" w:lineRule="exact"/>
        <w:sectPr>
          <w:headerReference w:type="default" r:id="rId23"/>
          <w:footerReference w:type="default" r:id="rId24"/>
          <w:pgSz w:w="17860" w:h="25260"/>
          <w:pgMar w:top="1420" w:right="0" w:bottom="2060" w:left="540" w:header="1054" w:footer="1864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/>
        <w:ind w:left="2157"/>
      </w:pPr>
      <w:r>
        <w:t>穿插作业，保证施工的连续性。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6"/>
        </w:numPr>
        <w:tabs>
          <w:tab w:val="left" w:pos="3212"/>
        </w:tabs>
        <w:spacing w:before="0" w:after="0" w:line="240" w:lineRule="auto"/>
        <w:ind w:left="3211" w:right="0" w:hanging="1052"/>
        <w:jc w:val="left"/>
        <w:rPr>
          <w:sz w:val="42"/>
        </w:rPr>
      </w:pPr>
      <w:r>
        <w:rPr>
          <w:sz w:val="42"/>
        </w:rPr>
        <w:t>岗前培训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685" w:firstLine="838"/>
      </w:pPr>
      <w:r>
        <w:t>结合本工程的具体情况组织技术人员对工人进行岗前培训，提高施工技能，规范操作，杜绝失误。</w:t>
      </w:r>
    </w:p>
    <w:p>
      <w:pPr>
        <w:pStyle w:val="ListParagraph"/>
        <w:numPr>
          <w:ilvl w:val="1"/>
          <w:numId w:val="26"/>
        </w:numPr>
        <w:tabs>
          <w:tab w:val="left" w:pos="3104"/>
        </w:tabs>
        <w:spacing w:before="0" w:after="0" w:line="537" w:lineRule="exact"/>
        <w:ind w:left="3103" w:right="0" w:hanging="947"/>
        <w:jc w:val="left"/>
        <w:rPr>
          <w:sz w:val="42"/>
        </w:rPr>
      </w:pPr>
      <w:r>
        <w:rPr>
          <w:sz w:val="42"/>
        </w:rPr>
        <w:t>积极应用新技术、新工艺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85" w:firstLine="838"/>
      </w:pPr>
      <w:r>
        <w:t>施工中积极应用新技术、新工艺，不断提高施工水平和施工效率，提高工程质量，降低工程成本。</w:t>
      </w:r>
    </w:p>
    <w:p>
      <w:pPr>
        <w:pStyle w:val="ListParagraph"/>
        <w:numPr>
          <w:ilvl w:val="1"/>
          <w:numId w:val="26"/>
        </w:numPr>
        <w:tabs>
          <w:tab w:val="left" w:pos="3209"/>
        </w:tabs>
        <w:spacing w:before="1" w:after="0" w:line="240" w:lineRule="auto"/>
        <w:ind w:left="3208" w:right="0" w:hanging="1052"/>
        <w:jc w:val="left"/>
        <w:rPr>
          <w:sz w:val="42"/>
        </w:rPr>
      </w:pPr>
      <w:r>
        <w:rPr>
          <w:sz w:val="42"/>
        </w:rPr>
        <w:t>技术交底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85" w:firstLine="838"/>
      </w:pPr>
      <w:r>
        <w:t>由项目技术负责人组织编制实施性施工组织设计，同时各专业技术人员对每个工序向施工队进行详细书面技术交底。</w:t>
      </w:r>
    </w:p>
    <w:p>
      <w:pPr>
        <w:pStyle w:val="ListParagraph"/>
        <w:numPr>
          <w:ilvl w:val="0"/>
          <w:numId w:val="18"/>
        </w:numPr>
        <w:tabs>
          <w:tab w:val="left" w:pos="2787"/>
        </w:tabs>
        <w:spacing w:before="0" w:after="0" w:line="537" w:lineRule="exact"/>
        <w:ind w:left="2787" w:right="0" w:hanging="630"/>
        <w:jc w:val="left"/>
        <w:rPr>
          <w:sz w:val="42"/>
        </w:rPr>
      </w:pPr>
      <w:r>
        <w:rPr>
          <w:sz w:val="42"/>
        </w:rPr>
        <w:t>、物资设备准备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8"/>
        </w:numPr>
        <w:tabs>
          <w:tab w:val="left" w:pos="3104"/>
        </w:tabs>
        <w:spacing w:before="0" w:after="0" w:line="240" w:lineRule="auto"/>
        <w:ind w:left="3103" w:right="0" w:hanging="947"/>
        <w:jc w:val="left"/>
        <w:rPr>
          <w:sz w:val="42"/>
        </w:rPr>
      </w:pPr>
      <w:r>
        <w:rPr>
          <w:sz w:val="42"/>
        </w:rPr>
        <w:t>材料进场：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264" w:firstLine="838"/>
      </w:pPr>
      <w:r>
        <w:rPr>
          <w:spacing w:val="-1"/>
        </w:rPr>
        <w:t xml:space="preserve">对设计图纸进行详细核算，提出年、月、旬材料计划，根据施工情况， </w:t>
      </w:r>
      <w:r>
        <w:t xml:space="preserve">提前三天通知进场数量、品种，由项目部材料组组织进场，确保材料供应 及时。材料进场应按工程进度分批提前进入工地，验收质量合格后方可工 </w:t>
      </w:r>
      <w:r>
        <w:rPr>
          <w:spacing w:val="-6"/>
        </w:rPr>
        <w:t xml:space="preserve">程使用。购置原材料，按公司 </w:t>
      </w:r>
      <w:r>
        <w:t>ISO9001</w:t>
      </w:r>
      <w:r>
        <w:rPr>
          <w:spacing w:val="-9"/>
        </w:rPr>
        <w:t xml:space="preserve"> 质量程序文件采购控制程序，评价</w:t>
      </w:r>
      <w:r>
        <w:rPr>
          <w:spacing w:val="-15"/>
        </w:rPr>
        <w:t xml:space="preserve">选择合格的承包方，保证选用质量好、证件齐全、供货及时的厂家,同时做 </w:t>
      </w:r>
      <w:r>
        <w:rPr>
          <w:spacing w:val="-14"/>
        </w:rPr>
        <w:t>好进货检验、原材料试验工作,全面检查验收，保证合格材料用于工程。</w:t>
      </w:r>
    </w:p>
    <w:p>
      <w:pPr>
        <w:pStyle w:val="ListParagraph"/>
        <w:numPr>
          <w:ilvl w:val="1"/>
          <w:numId w:val="18"/>
        </w:numPr>
        <w:tabs>
          <w:tab w:val="left" w:pos="3104"/>
        </w:tabs>
        <w:spacing w:before="0" w:after="0" w:line="537" w:lineRule="exact"/>
        <w:ind w:left="3103" w:right="0" w:hanging="947"/>
        <w:jc w:val="left"/>
        <w:rPr>
          <w:sz w:val="42"/>
        </w:rPr>
      </w:pPr>
      <w:r>
        <w:rPr>
          <w:sz w:val="42"/>
        </w:rPr>
        <w:t>劳动力准备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57" w:right="1683" w:firstLine="838"/>
        <w:jc w:val="both"/>
      </w:pPr>
      <w:r>
        <w:t>根据本工程的特点，选择施工质量好、进度快、有实力的施工队，对进场工人进行施工工艺和操作规程交底，确保施工队伍的有效投入，建立健全劳动纪律和规章制度，形成“交底－过程－验收”的组织监控体系；</w:t>
      </w:r>
    </w:p>
    <w:p>
      <w:pPr>
        <w:spacing w:after="0" w:line="417" w:lineRule="auto"/>
        <w:jc w:val="both"/>
        <w:sectPr>
          <w:headerReference w:type="default" r:id="rId25"/>
          <w:footerReference w:type="default" r:id="rId26"/>
          <w:pgSz w:w="17860" w:h="25260"/>
          <w:pgMar w:top="1420" w:right="0" w:bottom="2060" w:left="540" w:header="1054" w:footer="1864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 w:line="417" w:lineRule="auto"/>
        <w:ind w:left="2157" w:right="1683"/>
      </w:pPr>
      <w:r>
        <w:rPr>
          <w:spacing w:val="-1"/>
        </w:rPr>
        <w:t>加强各专业工种的穿插流水，使施工队伍处于最佳工作状态，提高工作效</w:t>
      </w:r>
      <w:r>
        <w:rPr>
          <w:w w:val="100"/>
        </w:rPr>
        <w:t>率。具体进场时间及人数按计划表进行（见附表</w:t>
      </w:r>
      <w:r>
        <w:rPr>
          <w:spacing w:val="-126"/>
        </w:rPr>
        <w:t xml:space="preserve"> </w:t>
      </w:r>
      <w:r>
        <w:rPr>
          <w:spacing w:val="-6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pStyle w:val="Heading1"/>
        <w:spacing w:before="0" w:line="512" w:lineRule="exact"/>
        <w:ind w:left="6204"/>
      </w:pPr>
      <w:r>
        <w:t>第四章、施工进度计划</w:t>
      </w:r>
    </w:p>
    <w:p>
      <w:pPr>
        <w:pStyle w:val="BodyText"/>
        <w:spacing w:before="423" w:line="417" w:lineRule="auto"/>
        <w:ind w:left="2157" w:right="1438"/>
      </w:pPr>
      <w:r>
        <w:rPr>
          <w:spacing w:val="-19"/>
        </w:rPr>
        <w:t xml:space="preserve">工期要求：开工日期为 </w:t>
      </w:r>
      <w:r>
        <w:t>2012</w:t>
      </w:r>
      <w:r>
        <w:rPr>
          <w:spacing w:val="-71"/>
        </w:rPr>
        <w:t xml:space="preserve"> 年 </w:t>
      </w:r>
      <w:r>
        <w:t>10</w:t>
      </w:r>
      <w:r>
        <w:rPr>
          <w:spacing w:val="-69"/>
        </w:rPr>
        <w:t xml:space="preserve"> 月 </w:t>
      </w:r>
      <w:r>
        <w:t>1</w:t>
      </w:r>
      <w:r>
        <w:rPr>
          <w:spacing w:val="-33"/>
        </w:rPr>
        <w:t xml:space="preserve"> 日，竣工日期为 </w:t>
      </w:r>
      <w:r>
        <w:t>2013</w:t>
      </w:r>
      <w:r>
        <w:rPr>
          <w:spacing w:val="-68"/>
        </w:rPr>
        <w:t xml:space="preserve"> 年 </w:t>
      </w:r>
      <w:r>
        <w:t>1</w:t>
      </w:r>
      <w:r>
        <w:rPr>
          <w:spacing w:val="-70"/>
        </w:rPr>
        <w:t xml:space="preserve"> 月 </w:t>
      </w:r>
      <w:r>
        <w:t>30</w:t>
      </w:r>
      <w:r>
        <w:rPr>
          <w:spacing w:val="-40"/>
        </w:rPr>
        <w:t xml:space="preserve"> 日， </w:t>
      </w:r>
      <w:r>
        <w:rPr>
          <w:spacing w:val="-18"/>
        </w:rPr>
        <w:t xml:space="preserve">共计日历天 </w:t>
      </w:r>
      <w:r>
        <w:t>120</w:t>
      </w:r>
      <w:r>
        <w:rPr>
          <w:spacing w:val="-24"/>
        </w:rPr>
        <w:t xml:space="preserve"> 日历天。</w:t>
      </w:r>
    </w:p>
    <w:p>
      <w:pPr>
        <w:pStyle w:val="BodyText"/>
        <w:spacing w:line="417" w:lineRule="auto"/>
        <w:ind w:left="2157" w:right="1685" w:firstLine="838"/>
      </w:pPr>
      <w:r>
        <w:rPr>
          <w:spacing w:val="-1"/>
        </w:rPr>
        <w:t xml:space="preserve">依据工期要求，我项目部将在具备施工的条件下合理安排施工工序， </w:t>
      </w:r>
      <w:r>
        <w:t>全部工程力争提前完工。</w:t>
      </w:r>
    </w:p>
    <w:p>
      <w:pPr>
        <w:pStyle w:val="Heading1"/>
        <w:spacing w:before="0" w:line="513" w:lineRule="exact"/>
        <w:ind w:left="6204"/>
      </w:pPr>
      <w:r>
        <w:t>第五章、施工现场平面布置</w:t>
      </w:r>
    </w:p>
    <w:p>
      <w:pPr>
        <w:pStyle w:val="BodyText"/>
        <w:spacing w:before="423"/>
        <w:ind w:left="2157"/>
      </w:pPr>
      <w:r>
        <w:t>一、施工现场平面布置原则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36"/>
      </w:pPr>
      <w:r>
        <w:t>1</w:t>
      </w:r>
      <w:r>
        <w:rPr>
          <w:spacing w:val="-15"/>
        </w:rPr>
        <w:t>、必须根据场地实际合理地进行布置，设施设备按现场布置图规定设置堆</w:t>
      </w:r>
      <w:r>
        <w:t>放，并在场门口设置施工牌板及警示牌。</w:t>
      </w:r>
    </w:p>
    <w:p>
      <w:pPr>
        <w:pStyle w:val="BodyText"/>
        <w:spacing w:line="417" w:lineRule="auto"/>
        <w:ind w:left="2157" w:right="1473"/>
      </w:pPr>
      <w:r>
        <w:t>2</w:t>
      </w:r>
      <w:r>
        <w:rPr>
          <w:spacing w:val="-1"/>
        </w:rPr>
        <w:t>、现场围栏：严格按照公司形象手册要求布置均采用：蓝白相间的彩钢板</w:t>
      </w:r>
      <w:r>
        <w:t>进行全封闭。</w:t>
      </w:r>
    </w:p>
    <w:p>
      <w:pPr>
        <w:pStyle w:val="BodyText"/>
        <w:ind w:left="2157"/>
      </w:pPr>
      <w:r>
        <w:rPr>
          <w:spacing w:val="-1"/>
        </w:rPr>
        <w:t>3、封闭管理：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662"/>
        <w:jc w:val="both"/>
      </w:pPr>
      <w:r>
        <w:t>工地固定出口设置大门，大门口宽 6m，高 4m，大门为两扇对开大门，高2m，刷蓝色油漆；大门要设专职门卫，制定门卫管理制度；加强现场人员的管理，现场人员都必须佩戴工作卡。</w:t>
      </w:r>
    </w:p>
    <w:p>
      <w:pPr>
        <w:pStyle w:val="BodyText"/>
        <w:spacing w:line="537" w:lineRule="exact"/>
        <w:ind w:left="2157"/>
      </w:pPr>
      <w:r>
        <w:t>4、施工场地：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2157" w:right="1683"/>
      </w:pPr>
      <w:r>
        <w:t>工地的主要交通道路和砂石料场地做煤矸石铺垫，其它场地平整坚实无积水。</w:t>
      </w:r>
    </w:p>
    <w:p>
      <w:pPr>
        <w:pStyle w:val="BodyText"/>
        <w:spacing w:line="417" w:lineRule="auto"/>
        <w:ind w:left="2157" w:right="7578"/>
      </w:pPr>
      <w:r>
        <w:t>易燃易爆物品分开存放，并设灭火器材。5、材料堆放：</w:t>
      </w:r>
    </w:p>
    <w:p>
      <w:pPr>
        <w:spacing w:after="0" w:line="417" w:lineRule="auto"/>
        <w:sectPr>
          <w:headerReference w:type="default" r:id="rId27"/>
          <w:footerReference w:type="default" r:id="rId28"/>
          <w:pgSz w:w="17860" w:h="25260"/>
          <w:pgMar w:top="1420" w:right="0" w:bottom="2060" w:left="540" w:header="1054" w:footer="1864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val="left" w:pos="3217"/>
        </w:tabs>
        <w:spacing w:before="42" w:after="0" w:line="417" w:lineRule="auto"/>
        <w:ind w:left="2157" w:right="1678" w:firstLine="0"/>
        <w:jc w:val="left"/>
        <w:rPr>
          <w:sz w:val="42"/>
        </w:rPr>
      </w:pPr>
      <w:r>
        <w:rPr>
          <w:sz w:val="42"/>
        </w:rPr>
        <w:t>、所有进入施工现场的工具、构件、材料堆放必须按平面图规划的</w:t>
      </w:r>
      <w:r>
        <w:rPr>
          <w:spacing w:val="-4"/>
          <w:sz w:val="42"/>
        </w:rPr>
        <w:t>位置存放。</w:t>
      </w:r>
    </w:p>
    <w:p>
      <w:pPr>
        <w:pStyle w:val="ListParagraph"/>
        <w:numPr>
          <w:ilvl w:val="0"/>
          <w:numId w:val="16"/>
        </w:numPr>
        <w:tabs>
          <w:tab w:val="left" w:pos="3210"/>
        </w:tabs>
        <w:spacing w:before="0" w:after="0" w:line="417" w:lineRule="auto"/>
        <w:ind w:left="2157" w:right="1652" w:firstLine="0"/>
        <w:jc w:val="left"/>
        <w:rPr>
          <w:sz w:val="42"/>
        </w:rPr>
      </w:pPr>
      <w:r>
        <w:rPr>
          <w:spacing w:val="-5"/>
          <w:sz w:val="42"/>
        </w:rPr>
        <w:t xml:space="preserve">、各种材料，按品种、规格、分类存放整齐，并按 </w:t>
      </w:r>
      <w:r>
        <w:rPr>
          <w:sz w:val="42"/>
        </w:rPr>
        <w:t>ISO9001</w:t>
      </w:r>
      <w:r>
        <w:rPr>
          <w:spacing w:val="-18"/>
          <w:sz w:val="42"/>
        </w:rPr>
        <w:t xml:space="preserve"> 标准设</w:t>
      </w:r>
      <w:r>
        <w:rPr>
          <w:spacing w:val="-5"/>
          <w:sz w:val="42"/>
        </w:rPr>
        <w:t>置标识。</w:t>
      </w:r>
    </w:p>
    <w:p>
      <w:pPr>
        <w:pStyle w:val="ListParagraph"/>
        <w:numPr>
          <w:ilvl w:val="0"/>
          <w:numId w:val="16"/>
        </w:numPr>
        <w:tabs>
          <w:tab w:val="left" w:pos="3210"/>
        </w:tabs>
        <w:spacing w:before="0" w:after="0" w:line="417" w:lineRule="auto"/>
        <w:ind w:left="2157" w:right="2945" w:firstLine="0"/>
        <w:jc w:val="left"/>
        <w:rPr>
          <w:sz w:val="42"/>
        </w:rPr>
      </w:pPr>
      <w:r>
        <w:rPr>
          <w:sz w:val="42"/>
        </w:rPr>
        <w:t>、场面施工垃圾及时清理，集中存放，做到工完料净场地清</w:t>
      </w:r>
      <w:r>
        <w:rPr>
          <w:spacing w:val="-8"/>
          <w:sz w:val="42"/>
        </w:rPr>
        <w:t xml:space="preserve">。 </w:t>
      </w:r>
      <w:r>
        <w:rPr>
          <w:sz w:val="42"/>
        </w:rPr>
        <w:t>6、现场办公要求：</w:t>
      </w:r>
    </w:p>
    <w:p>
      <w:pPr>
        <w:pStyle w:val="BodyText"/>
        <w:spacing w:line="417" w:lineRule="auto"/>
        <w:ind w:left="2157" w:right="1683"/>
      </w:pPr>
      <w:r>
        <w:t>现场办公、生活区与作业区严格分开，有明显划分，不得在在建工程中住人或办公。</w:t>
      </w:r>
    </w:p>
    <w:p>
      <w:pPr>
        <w:pStyle w:val="BodyText"/>
        <w:spacing w:line="417" w:lineRule="auto"/>
        <w:ind w:left="2157" w:right="1683"/>
      </w:pPr>
      <w:r>
        <w:t>办公室采用彩钢夹心聚苯保温板组装，并在室内悬挂各种机构管理图和责任制牌等。室内照明安装高度不低于 2.5m 。</w:t>
      </w:r>
    </w:p>
    <w:p>
      <w:pPr>
        <w:pStyle w:val="BodyText"/>
        <w:spacing w:line="537" w:lineRule="exact"/>
        <w:ind w:left="2157"/>
      </w:pPr>
      <w:r>
        <w:t>7、施工现场挂牌：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3210"/>
        </w:tabs>
        <w:spacing w:before="0" w:after="0" w:line="417" w:lineRule="auto"/>
        <w:ind w:left="2157" w:right="1516" w:firstLine="0"/>
        <w:jc w:val="left"/>
        <w:rPr>
          <w:sz w:val="42"/>
        </w:rPr>
      </w:pPr>
      <w:r>
        <w:rPr>
          <w:sz w:val="42"/>
        </w:rPr>
        <w:t>、施工现场的进口处要用铝合金牌板，整齐明显的挂好“六牌二图</w:t>
      </w:r>
      <w:r>
        <w:rPr>
          <w:spacing w:val="-18"/>
          <w:w w:val="100"/>
          <w:sz w:val="42"/>
        </w:rPr>
        <w:t>”，六牌：工程概况牌、消防保卫牌、安全生产牌、管理人员名单及监督电</w:t>
      </w:r>
      <w:r>
        <w:rPr>
          <w:spacing w:val="-18"/>
          <w:sz w:val="42"/>
        </w:rPr>
        <w:t>话牌、文明施工牌、安全十大纪律牌。</w:t>
      </w:r>
    </w:p>
    <w:p>
      <w:pPr>
        <w:pStyle w:val="ListParagraph"/>
        <w:numPr>
          <w:ilvl w:val="0"/>
          <w:numId w:val="15"/>
        </w:numPr>
        <w:tabs>
          <w:tab w:val="left" w:pos="3210"/>
        </w:tabs>
        <w:spacing w:before="0" w:after="0" w:line="538" w:lineRule="exact"/>
        <w:ind w:left="3209" w:right="0" w:hanging="1053"/>
        <w:jc w:val="left"/>
        <w:rPr>
          <w:sz w:val="42"/>
        </w:rPr>
      </w:pPr>
      <w:r>
        <w:rPr>
          <w:sz w:val="42"/>
        </w:rPr>
        <w:t>、在施工现场明显处，要书写安全标语。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3217"/>
        </w:tabs>
        <w:spacing w:before="1" w:after="0" w:line="417" w:lineRule="auto"/>
        <w:ind w:left="2157" w:right="1678" w:firstLine="0"/>
        <w:jc w:val="left"/>
        <w:rPr>
          <w:sz w:val="42"/>
        </w:rPr>
      </w:pPr>
      <w:r>
        <w:rPr>
          <w:sz w:val="42"/>
        </w:rPr>
        <w:t>、在施工现场设置读报栏、黑板报等宣传园地，宣传安全知识和新</w:t>
      </w:r>
      <w:r>
        <w:rPr>
          <w:spacing w:val="-4"/>
          <w:sz w:val="42"/>
        </w:rPr>
        <w:t>工艺标准等。</w:t>
      </w:r>
    </w:p>
    <w:p>
      <w:pPr>
        <w:pStyle w:val="ListParagraph"/>
        <w:numPr>
          <w:ilvl w:val="0"/>
          <w:numId w:val="15"/>
        </w:numPr>
        <w:tabs>
          <w:tab w:val="left" w:pos="3217"/>
        </w:tabs>
        <w:spacing w:before="0" w:after="0" w:line="417" w:lineRule="auto"/>
        <w:ind w:left="2157" w:right="1678" w:firstLine="0"/>
        <w:jc w:val="left"/>
        <w:rPr>
          <w:sz w:val="42"/>
        </w:rPr>
      </w:pPr>
      <w:r>
        <w:rPr>
          <w:sz w:val="42"/>
        </w:rPr>
        <w:t>、现场平面随着工程施工进度进行布置和安排，阶段平面布置要与</w:t>
      </w:r>
      <w:r>
        <w:rPr>
          <w:spacing w:val="-4"/>
          <w:sz w:val="42"/>
        </w:rPr>
        <w:t>该时期的施工重点相适应。</w:t>
      </w:r>
    </w:p>
    <w:p>
      <w:pPr>
        <w:pStyle w:val="ListParagraph"/>
        <w:numPr>
          <w:ilvl w:val="0"/>
          <w:numId w:val="15"/>
        </w:numPr>
        <w:tabs>
          <w:tab w:val="left" w:pos="3217"/>
        </w:tabs>
        <w:spacing w:before="0" w:after="0" w:line="417" w:lineRule="auto"/>
        <w:ind w:left="2157" w:right="1678" w:firstLine="0"/>
        <w:jc w:val="left"/>
        <w:rPr>
          <w:sz w:val="42"/>
        </w:rPr>
      </w:pPr>
      <w:r>
        <w:rPr>
          <w:sz w:val="42"/>
        </w:rPr>
        <w:t>、本工程要重点加强环境保护和文明施工管理的力度，使工程现场</w:t>
      </w:r>
      <w:r>
        <w:rPr>
          <w:spacing w:val="-4"/>
          <w:sz w:val="42"/>
        </w:rPr>
        <w:t>永远处于整洁、卫生、有序合理的状态。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29"/>
          <w:footerReference w:type="default" r:id="rId30"/>
          <w:pgSz w:w="17860" w:h="25260"/>
          <w:pgMar w:top="1420" w:right="0" w:bottom="2060" w:left="540" w:header="1054" w:footer="1864"/>
          <w:pgNumType w:start="13"/>
          <w:cols w:space="708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ind w:left="7287"/>
      </w:pPr>
      <w:r>
        <w:t>第六章、临时用电</w:t>
      </w:r>
    </w:p>
    <w:p>
      <w:pPr>
        <w:pStyle w:val="BodyText"/>
        <w:spacing w:before="423" w:line="417" w:lineRule="auto"/>
        <w:ind w:left="2157" w:right="1658" w:firstLine="838"/>
      </w:pPr>
      <w:r>
        <w:rPr>
          <w:spacing w:val="-4"/>
        </w:rPr>
        <w:t xml:space="preserve">本工程临时用电从内配电室接出至场区临时配电室内，采用 </w:t>
      </w:r>
      <w:r>
        <w:t>50mm2</w:t>
      </w:r>
      <w:r>
        <w:rPr>
          <w:spacing w:val="-39"/>
        </w:rPr>
        <w:t xml:space="preserve"> 铜</w:t>
      </w:r>
      <w:r>
        <w:t>芯电缆接入。</w:t>
      </w:r>
    </w:p>
    <w:p>
      <w:pPr>
        <w:pStyle w:val="BodyText"/>
        <w:spacing w:line="537" w:lineRule="exact"/>
        <w:ind w:left="2995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503762</wp:posOffset>
            </wp:positionV>
            <wp:extent cx="8133016" cy="2901029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2901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(一) 、施工用电一览表</w:t>
      </w:r>
    </w:p>
    <w:p>
      <w:pPr>
        <w:pStyle w:val="BodyText"/>
        <w:spacing w:before="1"/>
        <w:rPr>
          <w:sz w:val="22"/>
        </w:rPr>
      </w:pPr>
    </w:p>
    <w:tbl>
      <w:tblPr>
        <w:tblStyle w:val="TableNormal1"/>
        <w:tblW w:w="0" w:type="auto"/>
        <w:jc w:val="left"/>
        <w:tblInd w:w="2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42"/>
        <w:gridCol w:w="1344"/>
        <w:gridCol w:w="5361"/>
      </w:tblGrid>
      <w:tr>
        <w:tblPrEx>
          <w:tblW w:w="0" w:type="auto"/>
          <w:jc w:val="left"/>
          <w:tblInd w:w="27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342" w:type="dxa"/>
          </w:tcPr>
          <w:p>
            <w:pPr>
              <w:pStyle w:val="TableParagraph"/>
              <w:spacing w:line="475" w:lineRule="exact"/>
              <w:ind w:left="32" w:right="227"/>
              <w:jc w:val="center"/>
              <w:rPr>
                <w:sz w:val="42"/>
              </w:rPr>
            </w:pPr>
            <w:r>
              <w:rPr>
                <w:sz w:val="42"/>
              </w:rPr>
              <w:t>机械设备名称/型号</w:t>
            </w:r>
          </w:p>
        </w:tc>
        <w:tc>
          <w:tcPr>
            <w:tcW w:w="1344" w:type="dxa"/>
          </w:tcPr>
          <w:p>
            <w:pPr>
              <w:pStyle w:val="TableParagraph"/>
              <w:spacing w:line="475" w:lineRule="exact"/>
              <w:ind w:right="253"/>
              <w:jc w:val="right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5361" w:type="dxa"/>
          </w:tcPr>
          <w:p>
            <w:pPr>
              <w:pStyle w:val="TableParagraph"/>
              <w:tabs>
                <w:tab w:val="left" w:pos="4468"/>
              </w:tabs>
              <w:spacing w:line="475" w:lineRule="exact"/>
              <w:ind w:left="1094"/>
              <w:rPr>
                <w:sz w:val="42"/>
              </w:rPr>
            </w:pPr>
            <w:r>
              <w:rPr>
                <w:sz w:val="42"/>
              </w:rPr>
              <w:t>设备功率</w:t>
              <w:tab/>
              <w:t>备注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5342" w:type="dxa"/>
          </w:tcPr>
          <w:p>
            <w:pPr>
              <w:pStyle w:val="TableParagraph"/>
              <w:spacing w:before="15" w:line="533" w:lineRule="exact"/>
              <w:ind w:left="34" w:right="227"/>
              <w:jc w:val="center"/>
              <w:rPr>
                <w:sz w:val="42"/>
              </w:rPr>
            </w:pPr>
            <w:r>
              <w:rPr>
                <w:sz w:val="42"/>
              </w:rPr>
              <w:t>电动卷扬机 单筒慢速 50KN</w:t>
            </w:r>
          </w:p>
        </w:tc>
        <w:tc>
          <w:tcPr>
            <w:tcW w:w="1344" w:type="dxa"/>
          </w:tcPr>
          <w:p>
            <w:pPr>
              <w:pStyle w:val="TableParagraph"/>
              <w:spacing w:before="15" w:line="533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1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5" w:line="533" w:lineRule="exact"/>
              <w:ind w:left="1199"/>
              <w:rPr>
                <w:sz w:val="42"/>
              </w:rPr>
            </w:pPr>
            <w:r>
              <w:rPr>
                <w:sz w:val="42"/>
              </w:rPr>
              <w:t>11.4 KW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5342" w:type="dxa"/>
          </w:tcPr>
          <w:p>
            <w:pPr>
              <w:pStyle w:val="TableParagraph"/>
              <w:spacing w:before="15" w:line="533" w:lineRule="exact"/>
              <w:ind w:left="31" w:right="227"/>
              <w:jc w:val="center"/>
              <w:rPr>
                <w:sz w:val="42"/>
              </w:rPr>
            </w:pPr>
            <w:r>
              <w:rPr>
                <w:sz w:val="42"/>
              </w:rPr>
              <w:t>电焊机</w:t>
            </w:r>
          </w:p>
        </w:tc>
        <w:tc>
          <w:tcPr>
            <w:tcW w:w="1344" w:type="dxa"/>
          </w:tcPr>
          <w:p>
            <w:pPr>
              <w:pStyle w:val="TableParagraph"/>
              <w:spacing w:before="15" w:line="533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1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5" w:line="533" w:lineRule="exact"/>
              <w:ind w:left="255"/>
              <w:rPr>
                <w:sz w:val="42"/>
              </w:rPr>
            </w:pPr>
            <w:r>
              <w:rPr>
                <w:sz w:val="42"/>
              </w:rPr>
              <w:t>38.6KW×1=38.6KW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5342" w:type="dxa"/>
          </w:tcPr>
          <w:p>
            <w:pPr>
              <w:pStyle w:val="TableParagraph"/>
              <w:spacing w:before="16" w:line="533" w:lineRule="exact"/>
              <w:ind w:left="27" w:right="227"/>
              <w:jc w:val="center"/>
              <w:rPr>
                <w:sz w:val="42"/>
              </w:rPr>
            </w:pPr>
            <w:r>
              <w:rPr>
                <w:sz w:val="42"/>
              </w:rPr>
              <w:t>Jzc350 搅拌机</w:t>
            </w:r>
          </w:p>
        </w:tc>
        <w:tc>
          <w:tcPr>
            <w:tcW w:w="1344" w:type="dxa"/>
          </w:tcPr>
          <w:p>
            <w:pPr>
              <w:pStyle w:val="TableParagraph"/>
              <w:spacing w:before="16" w:line="533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1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6" w:line="533" w:lineRule="exact"/>
              <w:ind w:left="360"/>
              <w:rPr>
                <w:sz w:val="42"/>
              </w:rPr>
            </w:pPr>
            <w:r>
              <w:rPr>
                <w:sz w:val="42"/>
              </w:rPr>
              <w:t>6.05KW*2=12.1KW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342" w:type="dxa"/>
          </w:tcPr>
          <w:p>
            <w:pPr>
              <w:pStyle w:val="TableParagraph"/>
              <w:spacing w:before="16" w:line="531" w:lineRule="exact"/>
              <w:ind w:left="34" w:right="227"/>
              <w:jc w:val="center"/>
              <w:rPr>
                <w:sz w:val="42"/>
              </w:rPr>
            </w:pPr>
            <w:r>
              <w:rPr>
                <w:sz w:val="42"/>
              </w:rPr>
              <w:t>电锯 MT-40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6" w:line="531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1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6" w:line="531" w:lineRule="exact"/>
              <w:ind w:left="1407"/>
              <w:rPr>
                <w:sz w:val="42"/>
              </w:rPr>
            </w:pPr>
            <w:r>
              <w:rPr>
                <w:sz w:val="42"/>
              </w:rPr>
              <w:t>4.5KW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5342" w:type="dxa"/>
          </w:tcPr>
          <w:p>
            <w:pPr>
              <w:pStyle w:val="TableParagraph"/>
              <w:spacing w:before="14" w:line="529" w:lineRule="exact"/>
              <w:ind w:left="31" w:right="227"/>
              <w:jc w:val="center"/>
              <w:rPr>
                <w:sz w:val="42"/>
              </w:rPr>
            </w:pPr>
            <w:r>
              <w:rPr>
                <w:sz w:val="42"/>
              </w:rPr>
              <w:t>振动器</w:t>
            </w:r>
          </w:p>
        </w:tc>
        <w:tc>
          <w:tcPr>
            <w:tcW w:w="1344" w:type="dxa"/>
          </w:tcPr>
          <w:p>
            <w:pPr>
              <w:pStyle w:val="TableParagraph"/>
              <w:spacing w:before="14" w:line="529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4" w:line="529" w:lineRule="exact"/>
              <w:ind w:left="360"/>
              <w:rPr>
                <w:sz w:val="42"/>
              </w:rPr>
            </w:pPr>
            <w:r>
              <w:rPr>
                <w:sz w:val="42"/>
              </w:rPr>
              <w:t>0.75KW×2=1.5KW</w:t>
            </w:r>
          </w:p>
        </w:tc>
      </w:tr>
      <w:tr>
        <w:tblPrEx>
          <w:tblW w:w="0" w:type="auto"/>
          <w:jc w:val="left"/>
          <w:tblInd w:w="2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2"/>
          <w:jc w:val="left"/>
        </w:trPr>
        <w:tc>
          <w:tcPr>
            <w:tcW w:w="5342" w:type="dxa"/>
          </w:tcPr>
          <w:p>
            <w:pPr>
              <w:pStyle w:val="TableParagraph"/>
              <w:spacing w:before="12"/>
              <w:ind w:left="30" w:right="227"/>
              <w:jc w:val="center"/>
              <w:rPr>
                <w:sz w:val="42"/>
              </w:rPr>
            </w:pPr>
            <w:r>
              <w:rPr>
                <w:sz w:val="42"/>
              </w:rPr>
              <w:t>打夯机 HW200</w:t>
            </w:r>
          </w:p>
          <w:p>
            <w:pPr>
              <w:pStyle w:val="TableParagraph"/>
              <w:spacing w:before="23" w:line="459" w:lineRule="exact"/>
              <w:ind w:left="26" w:right="227"/>
              <w:jc w:val="center"/>
              <w:rPr>
                <w:sz w:val="42"/>
              </w:rPr>
            </w:pPr>
            <w:r>
              <w:rPr>
                <w:sz w:val="42"/>
              </w:rPr>
              <w:t>共计</w:t>
            </w:r>
          </w:p>
        </w:tc>
        <w:tc>
          <w:tcPr>
            <w:tcW w:w="1344" w:type="dxa"/>
          </w:tcPr>
          <w:p>
            <w:pPr>
              <w:pStyle w:val="TableParagraph"/>
              <w:spacing w:before="12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5361" w:type="dxa"/>
          </w:tcPr>
          <w:p>
            <w:pPr>
              <w:pStyle w:val="TableParagraph"/>
              <w:spacing w:before="12"/>
              <w:ind w:left="449" w:right="1932"/>
              <w:jc w:val="center"/>
              <w:rPr>
                <w:sz w:val="42"/>
              </w:rPr>
            </w:pPr>
            <w:r>
              <w:rPr>
                <w:sz w:val="42"/>
              </w:rPr>
              <w:t>2.2KW×2=4.4KW</w:t>
            </w:r>
          </w:p>
          <w:p>
            <w:pPr>
              <w:pStyle w:val="TableParagraph"/>
              <w:spacing w:before="23" w:line="459" w:lineRule="exact"/>
              <w:ind w:left="444" w:right="1932"/>
              <w:jc w:val="center"/>
              <w:rPr>
                <w:sz w:val="42"/>
              </w:rPr>
            </w:pPr>
            <w:r>
              <w:rPr>
                <w:sz w:val="42"/>
              </w:rPr>
              <w:t>72.5KW</w:t>
            </w:r>
          </w:p>
        </w:tc>
      </w:tr>
    </w:tbl>
    <w:p>
      <w:pPr>
        <w:pStyle w:val="BodyText"/>
        <w:spacing w:before="284"/>
        <w:ind w:left="2995"/>
      </w:pPr>
      <w:r>
        <w:t>负荷计算:P=K1 (K3ΣP1/cosΦ+K4ΣP2+ K2ΣP3)</w:t>
      </w:r>
    </w:p>
    <w:p>
      <w:pPr>
        <w:pStyle w:val="BodyText"/>
        <w:rPr>
          <w:sz w:val="31"/>
        </w:rPr>
      </w:pPr>
    </w:p>
    <w:p>
      <w:pPr>
        <w:pStyle w:val="BodyText"/>
        <w:ind w:left="5101"/>
      </w:pPr>
      <w:r>
        <w:t>K1:备用系数取 1.05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101"/>
      </w:pPr>
      <w:r>
        <w:t>K2:照明使用系数 0.9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101"/>
      </w:pPr>
      <w:r>
        <w:rPr>
          <w:spacing w:val="-3"/>
        </w:rPr>
        <w:t>K3</w:t>
      </w:r>
      <w:r>
        <w:rPr>
          <w:spacing w:val="-13"/>
        </w:rPr>
        <w:t xml:space="preserve">:电动机使用系数 </w:t>
      </w:r>
      <w:r>
        <w:t>0.6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101"/>
      </w:pPr>
      <w:r>
        <w:rPr>
          <w:spacing w:val="-3"/>
        </w:rPr>
        <w:t>K4</w:t>
      </w:r>
      <w:r>
        <w:rPr>
          <w:spacing w:val="-13"/>
        </w:rPr>
        <w:t xml:space="preserve">:电焊机使用系数 </w:t>
      </w:r>
      <w:r>
        <w:t>0.5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101"/>
      </w:pPr>
      <w:r>
        <w:t>cosΦ:电动机功率因素 0.75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157" w:right="1442" w:firstLine="838"/>
      </w:pPr>
      <w:r>
        <w:rPr>
          <w:spacing w:val="-21"/>
        </w:rPr>
        <w:t>说明：因为土建所有设备不是同时运转，因此电动机使用系数只取</w:t>
      </w:r>
      <w:r>
        <w:t>0.6</w:t>
      </w:r>
      <w:r>
        <w:rPr>
          <w:spacing w:val="-16"/>
        </w:rPr>
        <w:t>。</w:t>
      </w:r>
      <w:r>
        <w:rPr>
          <w:spacing w:val="1"/>
        </w:rPr>
        <w:t xml:space="preserve">对焊机属于瞬间大电流的单相电感功率,所以电焊机使用系数取 </w:t>
      </w:r>
      <w:r>
        <w:t>0.5.，照</w:t>
      </w:r>
      <w:r>
        <w:rPr>
          <w:spacing w:val="-14"/>
        </w:rPr>
        <w:t xml:space="preserve">明功率按总功率 </w:t>
      </w:r>
      <w:r>
        <w:t>10%考虑。</w:t>
      </w:r>
    </w:p>
    <w:p>
      <w:pPr>
        <w:pStyle w:val="BodyText"/>
        <w:ind w:left="2995"/>
      </w:pPr>
      <w:r>
        <w:t>因此,在结构施工期间总用电量为: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101"/>
      </w:pPr>
      <w:r>
        <w:t>P=1.05×(0.6×33.9÷0.75+0.5×38.6)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5312"/>
      </w:pPr>
      <w:r>
        <w:t>=48.741KW</w:t>
      </w:r>
    </w:p>
    <w:p>
      <w:pPr>
        <w:pStyle w:val="BodyText"/>
        <w:rPr>
          <w:sz w:val="31"/>
        </w:rPr>
      </w:pPr>
    </w:p>
    <w:p>
      <w:pPr>
        <w:pStyle w:val="BodyText"/>
        <w:ind w:left="2995"/>
      </w:pPr>
      <w:r>
        <w:t>I</w:t>
      </w:r>
      <w:r>
        <w:rPr>
          <w:spacing w:val="-53"/>
        </w:rPr>
        <w:t xml:space="preserve"> 总</w:t>
      </w:r>
      <w:r>
        <w:t>=0.7×P×1000/(1.732×380×0.75)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https://d.book118.com/328141022100006023</w:t>
        </w:r>
      </w:hyperlink>
    </w:p>
    <w:p>
      <w:pPr>
        <w:spacing w:after="0"/>
      </w:pPr>
    </w:p>
    <w:sectPr>
      <w:headerReference w:type="default" r:id="rId33"/>
      <w:footerReference w:type="default" r:id="rId34"/>
      <w:pgSz w:w="17860" w:h="25260"/>
      <w:pgMar w:top="1420" w:right="0" w:bottom="2060" w:left="540" w:header="1054" w:footer="1864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0.05pt;height:17.2pt;margin-top:1158.66pt;margin-left:309.5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0.05pt;height:17.2pt;margin-top:1158.66pt;margin-left:309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0.05pt;height:17.2pt;margin-top:1158.66pt;margin-left:309.5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0.05pt;height:17.2pt;margin-top:1158.66pt;margin-left:309.5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0.05pt;height:17.2pt;margin-top:1158.66pt;margin-left:309.5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0.05pt;height:17.2pt;margin-top:1158.66pt;margin-left:309.5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0.05pt;height:17.2pt;margin-top:1158.66pt;margin-left:309.5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0.05pt;height:17.2pt;margin-top:1158.66pt;margin-left:309.5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0.05pt;height:17.2pt;margin-top:1158.66pt;margin-left:309.5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0.05pt;height:17.2pt;margin-top:1158.66pt;margin-left:309.5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0.05pt;height:17.2pt;margin-top:1158.66pt;margin-left:309.5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0.05pt;height:17.2pt;margin-top:1158.66pt;margin-left:309.5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0.05pt;height:17.2pt;margin-top:1158.66pt;margin-left:309.5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0.05pt;height:17.2pt;margin-top:1158.66pt;margin-left:309.5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专业资料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整理分享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0.3pt;height:17.2pt;margin-top:51.69pt;margin-left:513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789668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668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0.3pt;height:17.2pt;margin-top:51.69pt;margin-left:513.3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92842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42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0.3pt;height:17.2pt;margin-top:51.69pt;margin-left:513.3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2367163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67163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0.3pt;height:17.2pt;margin-top:51.69pt;margin-left:513.3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323224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224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0.3pt;height:17.2pt;margin-top:51.69pt;margin-left:513.3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7928915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8915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0.3pt;height:17.2pt;margin-top:51.69pt;margin-left:513.3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1011751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1751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0.3pt;height:17.2pt;margin-top:51.69pt;margin-left:513.3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7882478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82478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0.3pt;height:17.2pt;margin-top:51.69pt;margin-left:513.3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3172229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72229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0.3pt;height:17.2pt;margin-top:51.69pt;margin-left:513.3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1296197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197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0.3pt;height:17.2pt;margin-top:51.69pt;margin-left:513.3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9691766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91766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0.3pt;height:17.2pt;margin-top:51.69pt;margin-left:513.3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7587008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7008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0.3pt;height:17.2pt;margin-top:51.69pt;margin-left:513.3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220684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684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0.3pt;height:17.2pt;margin-top:51.69pt;margin-left:513.3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661400" cy="50800"/>
          <wp:effectExtent l="0" t="0" r="0" b="0"/>
          <wp:wrapNone/>
          <wp:docPr id="21161417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1417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0.3pt;height:17.2pt;margin-top:51.69pt;margin-left:513.3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Arial" w:eastAsia="Arial"/>
                    <w:w w:val="95"/>
                    <w:sz w:val="27"/>
                  </w:rPr>
                  <w:t>.WORD.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格式</w:t>
                </w:r>
                <w:r>
                  <w:rPr>
                    <w:rFonts w:ascii="Arial" w:eastAsia="Arial"/>
                    <w:w w:val="95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1DC95"/>
    <w:multiLevelType w:val="hybridMultilevel"/>
    <w:tmpl w:val="00000000"/>
    <w:lvl w:ilvl="0">
      <w:start w:val="11"/>
      <w:numFmt w:val="decimal"/>
      <w:lvlText w:val="%1"/>
      <w:lvlJc w:val="left"/>
      <w:pPr>
        <w:ind w:left="3211" w:hanging="105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211" w:hanging="105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039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1051"/>
      </w:pPr>
      <w:rPr>
        <w:rFonts w:hint="default"/>
      </w:rPr>
    </w:lvl>
  </w:abstractNum>
  <w:abstractNum w:abstractNumId="1">
    <w:nsid w:val="0E6E3685"/>
    <w:multiLevelType w:val="hybridMultilevel"/>
    <w:tmpl w:val="00000000"/>
    <w:lvl w:ilvl="0">
      <w:start w:val="1"/>
      <w:numFmt w:val="decimal"/>
      <w:lvlText w:val="%1"/>
      <w:lvlJc w:val="left"/>
      <w:pPr>
        <w:ind w:left="2578" w:hanging="1283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23" w:hanging="1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1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10" w:hanging="1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4" w:hanging="1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7" w:hanging="1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1" w:hanging="1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84" w:hanging="1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8" w:hanging="1283"/>
      </w:pPr>
      <w:rPr>
        <w:rFonts w:hint="default"/>
      </w:rPr>
    </w:lvl>
  </w:abstractNum>
  <w:abstractNum w:abstractNumId="2">
    <w:nsid w:val="0F08E8A9"/>
    <w:multiLevelType w:val="hybridMultilevel"/>
    <w:tmpl w:val="00000000"/>
    <w:lvl w:ilvl="0">
      <w:start w:val="1"/>
      <w:numFmt w:val="decimal"/>
      <w:lvlText w:val="（%1）"/>
      <w:lvlJc w:val="left"/>
      <w:pPr>
        <w:ind w:left="3643" w:hanging="1059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007" w:hanging="10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5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3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7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3" w:hanging="1059"/>
      </w:pPr>
      <w:rPr>
        <w:rFonts w:hint="default"/>
      </w:rPr>
    </w:lvl>
  </w:abstractNum>
  <w:abstractNum w:abstractNumId="3">
    <w:nsid w:val="15485AB0"/>
    <w:multiLevelType w:val="hybridMultilevel"/>
    <w:tmpl w:val="00000000"/>
    <w:lvl w:ilvl="0">
      <w:start w:val="1"/>
      <w:numFmt w:val="decimal"/>
      <w:lvlText w:val="（%1）"/>
      <w:lvlJc w:val="left"/>
      <w:pPr>
        <w:ind w:left="2157" w:hanging="1052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3839" w:hanging="1053"/>
        <w:jc w:val="righ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2">
      <w:start w:val="2"/>
      <w:numFmt w:val="decimal"/>
      <w:lvlText w:val="%3）"/>
      <w:lvlJc w:val="left"/>
      <w:pPr>
        <w:ind w:left="2157" w:hanging="631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8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4" w:hanging="631"/>
      </w:pPr>
      <w:rPr>
        <w:rFonts w:hint="default"/>
      </w:rPr>
    </w:lvl>
  </w:abstractNum>
  <w:abstractNum w:abstractNumId="4">
    <w:nsid w:val="1655F1F2"/>
    <w:multiLevelType w:val="hybridMultilevel"/>
    <w:tmpl w:val="00000000"/>
    <w:lvl w:ilvl="0">
      <w:start w:val="1"/>
      <w:numFmt w:val="decimal"/>
      <w:lvlText w:val="%1."/>
      <w:lvlJc w:val="left"/>
      <w:pPr>
        <w:ind w:left="3215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631"/>
      </w:pPr>
      <w:rPr>
        <w:rFonts w:hint="default"/>
      </w:rPr>
    </w:lvl>
  </w:abstractNum>
  <w:abstractNum w:abstractNumId="5">
    <w:nsid w:val="20F8AC63"/>
    <w:multiLevelType w:val="hybridMultilevel"/>
    <w:tmpl w:val="00000000"/>
    <w:lvl w:ilvl="0">
      <w:start w:val="1"/>
      <w:numFmt w:val="decimal"/>
      <w:lvlText w:val="%1）"/>
      <w:lvlJc w:val="left"/>
      <w:pPr>
        <w:ind w:left="2157" w:hanging="657"/>
        <w:jc w:val="left"/>
      </w:pPr>
      <w:rPr>
        <w:rFonts w:ascii="楷体" w:eastAsia="楷体" w:hAnsi="楷体" w:cs="楷体" w:hint="default"/>
        <w:spacing w:val="-18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75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91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7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1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657"/>
      </w:pPr>
      <w:rPr>
        <w:rFonts w:hint="default"/>
      </w:rPr>
    </w:lvl>
  </w:abstractNum>
  <w:abstractNum w:abstractNumId="6">
    <w:nsid w:val="2C12D11E"/>
    <w:multiLevelType w:val="hybridMultilevel"/>
    <w:tmpl w:val="00000000"/>
    <w:lvl w:ilvl="0">
      <w:start w:val="1"/>
      <w:numFmt w:val="decimal"/>
      <w:lvlText w:val="（%1）"/>
      <w:lvlJc w:val="left"/>
      <w:pPr>
        <w:ind w:left="3643" w:hanging="1059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007" w:hanging="10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5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3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7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3" w:hanging="1059"/>
      </w:pPr>
      <w:rPr>
        <w:rFonts w:hint="default"/>
      </w:rPr>
    </w:lvl>
  </w:abstractNum>
  <w:abstractNum w:abstractNumId="7">
    <w:nsid w:val="2E1DF1C4"/>
    <w:multiLevelType w:val="hybridMultilevel"/>
    <w:tmpl w:val="00000000"/>
    <w:lvl w:ilvl="0">
      <w:start w:val="1"/>
      <w:numFmt w:val="decimal"/>
      <w:lvlText w:val="%1"/>
      <w:lvlJc w:val="left"/>
      <w:pPr>
        <w:ind w:left="2578" w:hanging="42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1" w:hanging="421"/>
      </w:pPr>
      <w:rPr>
        <w:rFonts w:hint="default"/>
      </w:rPr>
    </w:lvl>
  </w:abstractNum>
  <w:abstractNum w:abstractNumId="8">
    <w:nsid w:val="2E34D7F5"/>
    <w:multiLevelType w:val="hybridMultilevel"/>
    <w:tmpl w:val="00000000"/>
    <w:lvl w:ilvl="0">
      <w:start w:val="1"/>
      <w:numFmt w:val="decimal"/>
      <w:lvlText w:val="(%1)"/>
      <w:lvlJc w:val="left"/>
      <w:pPr>
        <w:ind w:left="2157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3839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3）"/>
      <w:lvlJc w:val="left"/>
      <w:pPr>
        <w:ind w:left="2157" w:hanging="635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8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8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4" w:hanging="635"/>
      </w:pPr>
      <w:rPr>
        <w:rFonts w:hint="default"/>
      </w:rPr>
    </w:lvl>
  </w:abstractNum>
  <w:abstractNum w:abstractNumId="9">
    <w:nsid w:val="30E78BD3"/>
    <w:multiLevelType w:val="hybridMultilevel"/>
    <w:tmpl w:val="00000000"/>
    <w:lvl w:ilvl="0">
      <w:start w:val="1"/>
      <w:numFmt w:val="decimal"/>
      <w:lvlText w:val="%1."/>
      <w:lvlJc w:val="left"/>
      <w:pPr>
        <w:ind w:left="3215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631"/>
      </w:pPr>
      <w:rPr>
        <w:rFonts w:hint="default"/>
      </w:rPr>
    </w:lvl>
  </w:abstractNum>
  <w:abstractNum w:abstractNumId="10">
    <w:nsid w:val="3174DAC4"/>
    <w:multiLevelType w:val="hybridMultilevel"/>
    <w:tmpl w:val="00000000"/>
    <w:lvl w:ilvl="0">
      <w:start w:val="11"/>
      <w:numFmt w:val="decimal"/>
      <w:lvlText w:val="%1"/>
      <w:lvlJc w:val="left"/>
      <w:pPr>
        <w:ind w:left="3211" w:hanging="105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211" w:hanging="105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039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1051"/>
      </w:pPr>
      <w:rPr>
        <w:rFonts w:hint="default"/>
      </w:rPr>
    </w:lvl>
  </w:abstractNum>
  <w:abstractNum w:abstractNumId="11">
    <w:nsid w:val="35B8E25A"/>
    <w:multiLevelType w:val="hybridMultilevel"/>
    <w:tmpl w:val="00000000"/>
    <w:lvl w:ilvl="0">
      <w:start w:val="1"/>
      <w:numFmt w:val="decimal"/>
      <w:lvlText w:val="（%1）"/>
      <w:lvlJc w:val="left"/>
      <w:pPr>
        <w:ind w:left="2157" w:hanging="1052"/>
        <w:jc w:val="left"/>
      </w:pPr>
      <w:rPr>
        <w:rFonts w:ascii="楷体" w:eastAsia="楷体" w:hAnsi="楷体" w:cs="楷体" w:hint="default"/>
        <w:color w:val="414040"/>
        <w:spacing w:val="-144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048" w:hanging="1053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5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8" w:hanging="1053"/>
      </w:pPr>
      <w:rPr>
        <w:rFonts w:hint="default"/>
      </w:rPr>
    </w:lvl>
  </w:abstractNum>
  <w:abstractNum w:abstractNumId="12">
    <w:nsid w:val="3D06AF6F"/>
    <w:multiLevelType w:val="hybridMultilevel"/>
    <w:tmpl w:val="00000000"/>
    <w:lvl w:ilvl="0">
      <w:start w:val="1"/>
      <w:numFmt w:val="decimal"/>
      <w:lvlText w:val="%1."/>
      <w:lvlJc w:val="left"/>
      <w:pPr>
        <w:ind w:left="3215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631"/>
      </w:pPr>
      <w:rPr>
        <w:rFonts w:hint="default"/>
      </w:rPr>
    </w:lvl>
  </w:abstractNum>
  <w:abstractNum w:abstractNumId="13">
    <w:nsid w:val="45F2B05A"/>
    <w:multiLevelType w:val="hybridMultilevel"/>
    <w:tmpl w:val="00000000"/>
    <w:lvl w:ilvl="0">
      <w:start w:val="6"/>
      <w:numFmt w:val="decimal"/>
      <w:lvlText w:val="%1"/>
      <w:lvlJc w:val="left"/>
      <w:pPr>
        <w:ind w:left="2578" w:hanging="42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1" w:hanging="421"/>
      </w:pPr>
      <w:rPr>
        <w:rFonts w:hint="default"/>
      </w:rPr>
    </w:lvl>
  </w:abstractNum>
  <w:abstractNum w:abstractNumId="14">
    <w:nsid w:val="466B6E1E"/>
    <w:multiLevelType w:val="hybridMultilevel"/>
    <w:tmpl w:val="00000000"/>
    <w:lvl w:ilvl="0">
      <w:start w:val="1"/>
      <w:numFmt w:val="decimal"/>
      <w:lvlText w:val="（%1）"/>
      <w:lvlJc w:val="left"/>
      <w:pPr>
        <w:ind w:left="2157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7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9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1052"/>
      </w:pPr>
      <w:rPr>
        <w:rFonts w:hint="default"/>
      </w:rPr>
    </w:lvl>
  </w:abstractNum>
  <w:abstractNum w:abstractNumId="15">
    <w:nsid w:val="49E2D8BF"/>
    <w:multiLevelType w:val="hybridMultilevel"/>
    <w:tmpl w:val="00000000"/>
    <w:lvl w:ilvl="0">
      <w:start w:val="1"/>
      <w:numFmt w:val="decimal"/>
      <w:lvlText w:val="%1）"/>
      <w:lvlJc w:val="left"/>
      <w:pPr>
        <w:ind w:left="4883" w:hanging="626"/>
        <w:jc w:val="righ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123" w:hanging="6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7" w:hanging="6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11" w:hanging="6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6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99" w:hanging="6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3" w:hanging="6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6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626"/>
      </w:pPr>
      <w:rPr>
        <w:rFonts w:hint="default"/>
      </w:rPr>
    </w:lvl>
  </w:abstractNum>
  <w:abstractNum w:abstractNumId="16">
    <w:nsid w:val="56FC424A"/>
    <w:multiLevelType w:val="hybridMultilevel"/>
    <w:tmpl w:val="00000000"/>
    <w:lvl w:ilvl="0">
      <w:start w:val="2"/>
      <w:numFmt w:val="decimal"/>
      <w:lvlText w:val="%1"/>
      <w:lvlJc w:val="left"/>
      <w:pPr>
        <w:ind w:left="2157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7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2"/>
      <w:numFmt w:val="decimal"/>
      <w:lvlText w:val="%3）"/>
      <w:lvlJc w:val="left"/>
      <w:pPr>
        <w:ind w:left="5095" w:hanging="628"/>
        <w:jc w:val="left"/>
      </w:pPr>
      <w:rPr>
        <w:rFonts w:ascii="楷体" w:eastAsia="楷体" w:hAnsi="楷体" w:cs="楷体" w:hint="default"/>
        <w:spacing w:val="-6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820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2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5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8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1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34" w:hanging="628"/>
      </w:pPr>
      <w:rPr>
        <w:rFonts w:hint="default"/>
      </w:rPr>
    </w:lvl>
  </w:abstractNum>
  <w:abstractNum w:abstractNumId="17">
    <w:nsid w:val="5A3D91CE"/>
    <w:multiLevelType w:val="hybridMultilevel"/>
    <w:tmpl w:val="00000000"/>
    <w:lvl w:ilvl="0">
      <w:start w:val="1"/>
      <w:numFmt w:val="decimal"/>
      <w:lvlText w:val="（%1）"/>
      <w:lvlJc w:val="left"/>
      <w:pPr>
        <w:ind w:left="2157" w:hanging="1060"/>
        <w:jc w:val="left"/>
      </w:pPr>
      <w:rPr>
        <w:rFonts w:ascii="楷体" w:eastAsia="楷体" w:hAnsi="楷体" w:cs="楷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7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9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1060"/>
      </w:pPr>
      <w:rPr>
        <w:rFonts w:hint="default"/>
      </w:rPr>
    </w:lvl>
  </w:abstractNum>
  <w:abstractNum w:abstractNumId="18">
    <w:nsid w:val="5DACADC2"/>
    <w:multiLevelType w:val="hybridMultilevel"/>
    <w:tmpl w:val="00000000"/>
    <w:lvl w:ilvl="0">
      <w:start w:val="1"/>
      <w:numFmt w:val="decimal"/>
      <w:lvlText w:val="%1"/>
      <w:lvlJc w:val="left"/>
      <w:pPr>
        <w:ind w:left="289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1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7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5" w:hanging="735"/>
      </w:pPr>
      <w:rPr>
        <w:rFonts w:hint="default"/>
      </w:rPr>
    </w:lvl>
  </w:abstractNum>
  <w:abstractNum w:abstractNumId="19">
    <w:nsid w:val="68CA2DDA"/>
    <w:multiLevelType w:val="hybridMultilevel"/>
    <w:tmpl w:val="00000000"/>
    <w:lvl w:ilvl="0">
      <w:start w:val="1"/>
      <w:numFmt w:val="decimal"/>
      <w:lvlText w:val="（%1）"/>
      <w:lvlJc w:val="left"/>
      <w:pPr>
        <w:ind w:left="3643" w:hanging="1059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007" w:hanging="10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5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3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7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3" w:hanging="1059"/>
      </w:pPr>
      <w:rPr>
        <w:rFonts w:hint="default"/>
      </w:rPr>
    </w:lvl>
  </w:abstractNum>
  <w:abstractNum w:abstractNumId="20">
    <w:nsid w:val="6DDF8767"/>
    <w:multiLevelType w:val="hybridMultilevel"/>
    <w:tmpl w:val="00000000"/>
    <w:lvl w:ilvl="0">
      <w:start w:val="1"/>
      <w:numFmt w:val="decimal"/>
      <w:lvlText w:val="%1）"/>
      <w:lvlJc w:val="left"/>
      <w:pPr>
        <w:ind w:left="2157" w:hanging="631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7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9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631"/>
      </w:pPr>
      <w:rPr>
        <w:rFonts w:hint="default"/>
      </w:rPr>
    </w:lvl>
  </w:abstractNum>
  <w:abstractNum w:abstractNumId="21">
    <w:nsid w:val="6FBB3D52"/>
    <w:multiLevelType w:val="hybridMultilevel"/>
    <w:tmpl w:val="00000000"/>
    <w:lvl w:ilvl="0">
      <w:start w:val="1"/>
      <w:numFmt w:val="decimal"/>
      <w:lvlText w:val="%1."/>
      <w:lvlJc w:val="left"/>
      <w:pPr>
        <w:ind w:left="3216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9" w:hanging="631"/>
      </w:pPr>
      <w:rPr>
        <w:rFonts w:hint="default"/>
      </w:rPr>
    </w:lvl>
  </w:abstractNum>
  <w:abstractNum w:abstractNumId="22">
    <w:nsid w:val="733A0E3D"/>
    <w:multiLevelType w:val="hybridMultilevel"/>
    <w:tmpl w:val="00000000"/>
    <w:lvl w:ilvl="0">
      <w:start w:val="10"/>
      <w:numFmt w:val="decimal"/>
      <w:lvlText w:val="%1"/>
      <w:lvlJc w:val="left"/>
      <w:pPr>
        <w:ind w:left="2787" w:hanging="63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3208" w:hanging="105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200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4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9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4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4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9" w:hanging="1051"/>
      </w:pPr>
      <w:rPr>
        <w:rFonts w:hint="default"/>
      </w:rPr>
    </w:lvl>
  </w:abstractNum>
  <w:abstractNum w:abstractNumId="23">
    <w:nsid w:val="79001624"/>
    <w:multiLevelType w:val="hybridMultilevel"/>
    <w:tmpl w:val="00000000"/>
    <w:lvl w:ilvl="0">
      <w:start w:val="2"/>
      <w:numFmt w:val="decimal"/>
      <w:lvlText w:val="%1"/>
      <w:lvlJc w:val="left"/>
      <w:pPr>
        <w:ind w:left="2157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57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2"/>
      <w:numFmt w:val="decimal"/>
      <w:lvlText w:val="%3）"/>
      <w:lvlJc w:val="left"/>
      <w:pPr>
        <w:ind w:left="5095" w:hanging="628"/>
        <w:jc w:val="left"/>
      </w:pPr>
      <w:rPr>
        <w:rFonts w:ascii="楷体" w:eastAsia="楷体" w:hAnsi="楷体" w:cs="楷体" w:hint="default"/>
        <w:spacing w:val="-6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820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2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5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8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1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34" w:hanging="628"/>
      </w:pPr>
      <w:rPr>
        <w:rFonts w:hint="default"/>
      </w:rPr>
    </w:lvl>
  </w:abstractNum>
  <w:abstractNum w:abstractNumId="24">
    <w:nsid w:val="7B96DE75"/>
    <w:multiLevelType w:val="hybridMultilevel"/>
    <w:tmpl w:val="00000000"/>
    <w:lvl w:ilvl="0">
      <w:start w:val="1"/>
      <w:numFmt w:val="decimal"/>
      <w:lvlText w:val="%1"/>
      <w:lvlJc w:val="left"/>
      <w:pPr>
        <w:ind w:left="2578" w:hanging="42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5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1" w:hanging="421"/>
      </w:pPr>
      <w:rPr>
        <w:rFonts w:hint="default"/>
      </w:rPr>
    </w:lvl>
  </w:abstractNum>
  <w:abstractNum w:abstractNumId="25">
    <w:nsid w:val="7FA02B32"/>
    <w:multiLevelType w:val="hybridMultilevel"/>
    <w:tmpl w:val="00000000"/>
    <w:lvl w:ilvl="0">
      <w:start w:val="1"/>
      <w:numFmt w:val="decimal"/>
      <w:lvlText w:val="%1."/>
      <w:lvlJc w:val="left"/>
      <w:pPr>
        <w:ind w:left="2157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7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9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7" w:hanging="423"/>
      </w:pPr>
      <w:rPr>
        <w:rFonts w:hint="default"/>
      </w:rPr>
    </w:lvl>
  </w:abstractNum>
  <w:num w:numId="1">
    <w:abstractNumId w:val="1"/>
  </w:num>
  <w:num w:numId="2">
    <w:abstractNumId w:val="25"/>
  </w:num>
  <w:num w:numId="3">
    <w:abstractNumId w:val="4"/>
  </w:num>
  <w:num w:numId="4">
    <w:abstractNumId w:val="19"/>
  </w:num>
  <w:num w:numId="5">
    <w:abstractNumId w:val="2"/>
  </w:num>
  <w:num w:numId="6">
    <w:abstractNumId w:val="6"/>
  </w:num>
  <w:num w:numId="7">
    <w:abstractNumId w:val="12"/>
  </w:num>
  <w:num w:numId="8">
    <w:abstractNumId w:val="9"/>
  </w:num>
  <w:num w:numId="9">
    <w:abstractNumId w:val="21"/>
  </w:num>
  <w:num w:numId="10">
    <w:abstractNumId w:val="14"/>
  </w:num>
  <w:num w:numId="11">
    <w:abstractNumId w:val="11"/>
  </w:num>
  <w:num w:numId="12">
    <w:abstractNumId w:val="5"/>
  </w:num>
  <w:num w:numId="13">
    <w:abstractNumId w:val="8"/>
  </w:num>
  <w:num w:numId="14">
    <w:abstractNumId w:val="20"/>
  </w:num>
  <w:num w:numId="15">
    <w:abstractNumId w:val="3"/>
  </w:num>
  <w:num w:numId="16">
    <w:abstractNumId w:val="17"/>
  </w:num>
  <w:num w:numId="17">
    <w:abstractNumId w:val="0"/>
  </w:num>
  <w:num w:numId="18">
    <w:abstractNumId w:val="22"/>
  </w:num>
  <w:num w:numId="19">
    <w:abstractNumId w:val="13"/>
  </w:num>
  <w:num w:numId="20">
    <w:abstractNumId w:val="24"/>
  </w:num>
  <w:num w:numId="21">
    <w:abstractNumId w:val="15"/>
  </w:num>
  <w:num w:numId="22">
    <w:abstractNumId w:val="23"/>
  </w:num>
  <w:num w:numId="23">
    <w:abstractNumId w:val="18"/>
  </w:num>
  <w:num w:numId="24">
    <w:abstractNumId w:val="16"/>
  </w:num>
  <w:num w:numId="25">
    <w:abstractNumId w:val="7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before="24"/>
      <w:ind w:left="4685"/>
      <w:outlineLvl w:val="0"/>
    </w:pPr>
    <w:rPr>
      <w:rFonts w:ascii="楷体" w:eastAsia="楷体" w:hAnsi="楷体" w:cs="楷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2157"/>
      <w:outlineLvl w:val="1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157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2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image" Target="media/image3.png" /><Relationship Id="rId32" Type="http://schemas.openxmlformats.org/officeDocument/2006/relationships/hyperlink" Target="https://d.book118.com/328141022100006023" TargetMode="Externa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2023-12-20T20:29:48Z</dcterms:created>
  <dcterms:modified xsi:type="dcterms:W3CDTF">2023-12-20T20:29:48Z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LastSaved">
    <vt:filetime>2023-12-20T00:00:00Z</vt:filetime>
  </property>
</Properties>
</file>