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C63" w:rsidRPr="00312655" w:rsidP="00312655">
      <w:pPr>
        <w:tabs>
          <w:tab w:val="left" w:pos="0"/>
          <w:tab w:val="left" w:pos="180"/>
        </w:tabs>
        <w:spacing w:before="156" w:beforeLines="50" w:line="240" w:lineRule="atLeast"/>
        <w:ind w:right="-334" w:rightChars="-159"/>
        <w:jc w:val="center"/>
        <w:rPr>
          <w:rFonts w:hint="eastAsia"/>
          <w:b/>
          <w:bCs/>
          <w:szCs w:val="21"/>
        </w:rPr>
      </w:pPr>
      <w:r w:rsidRPr="00312655">
        <w:rPr>
          <w:rFonts w:hint="eastAsia"/>
          <w:b/>
          <w:bCs/>
          <w:szCs w:val="21"/>
        </w:rPr>
        <w:t>复习</w:t>
      </w:r>
      <w:r w:rsidRPr="00312655" w:rsidR="00C63A8C">
        <w:rPr>
          <w:rFonts w:hint="eastAsia"/>
          <w:b/>
          <w:bCs/>
          <w:szCs w:val="21"/>
        </w:rPr>
        <w:t>主要知识点</w:t>
      </w:r>
    </w:p>
    <w:p w:rsidR="009C5771" w:rsidRPr="00312655" w:rsidP="00312655">
      <w:pPr>
        <w:pStyle w:val="BodyText2"/>
        <w:spacing w:before="156" w:beforeLines="50" w:line="240" w:lineRule="atLeast"/>
        <w:ind w:right="32" w:rightChars="15"/>
        <w:jc w:val="both"/>
        <w:rPr>
          <w:rFonts w:ascii="宋体" w:hAnsi="宋体" w:hint="eastAsia"/>
          <w:color w:val="FF6600"/>
          <w:sz w:val="21"/>
          <w:szCs w:val="21"/>
        </w:rPr>
      </w:pPr>
      <w:r w:rsidRPr="00312655">
        <w:rPr>
          <w:rFonts w:ascii="宋体" w:hAnsi="宋体" w:hint="eastAsia"/>
          <w:color w:val="FF6600"/>
          <w:sz w:val="21"/>
          <w:szCs w:val="21"/>
        </w:rPr>
        <w:t>第一章</w:t>
      </w:r>
    </w:p>
    <w:p w:rsidR="0035694E" w:rsidRPr="00312655" w:rsidP="003C1ECF">
      <w:pPr>
        <w:pStyle w:val="BodyText2"/>
        <w:numPr>
          <w:ilvl w:val="0"/>
          <w:numId w:val="1"/>
        </w:numPr>
        <w:spacing w:before="156" w:beforeLines="50" w:line="240" w:lineRule="atLeast"/>
        <w:ind w:right="32" w:rightChars="15"/>
        <w:jc w:val="both"/>
        <w:rPr>
          <w:rFonts w:ascii="宋体" w:hAnsi="宋体" w:hint="eastAsia"/>
          <w:b/>
          <w:sz w:val="21"/>
          <w:szCs w:val="21"/>
        </w:rPr>
      </w:pPr>
      <w:r w:rsidRPr="00312655" w:rsidR="00965F46">
        <w:rPr>
          <w:rFonts w:ascii="宋体" w:hAnsi="宋体" w:hint="eastAsia"/>
          <w:b/>
          <w:sz w:val="21"/>
          <w:szCs w:val="21"/>
        </w:rPr>
        <w:t>如何理解</w:t>
      </w:r>
      <w:r w:rsidRPr="00312655" w:rsidR="00965F46">
        <w:rPr>
          <w:rFonts w:ascii="宋体" w:hAnsi="宋体" w:hint="eastAsia"/>
          <w:b/>
          <w:bCs/>
          <w:sz w:val="21"/>
          <w:szCs w:val="21"/>
        </w:rPr>
        <w:t>投资银行</w:t>
      </w:r>
      <w:r w:rsidRPr="00312655" w:rsidR="00660CD7">
        <w:rPr>
          <w:rFonts w:ascii="宋体" w:hAnsi="宋体" w:hint="eastAsia"/>
          <w:b/>
          <w:sz w:val="21"/>
          <w:szCs w:val="21"/>
        </w:rPr>
        <w:t>。</w:t>
      </w:r>
    </w:p>
    <w:p w:rsidR="001F1219"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sidR="0035694E">
        <w:rPr>
          <w:rFonts w:ascii="宋体" w:hAnsi="宋体" w:hint="eastAsia"/>
          <w:sz w:val="21"/>
          <w:szCs w:val="21"/>
        </w:rPr>
        <w:t>投资银行是在资本市场上从事证券发行、承销、交易及相关的金融创新和开发等活动，为长期资金盈余者和短缺者双方提供资金融通服务的中介性金融机构</w:t>
      </w:r>
      <w:r w:rsidRPr="00312655" w:rsidR="00E86330">
        <w:rPr>
          <w:rFonts w:ascii="宋体" w:hAnsi="宋体" w:hint="eastAsia"/>
          <w:sz w:val="21"/>
          <w:szCs w:val="21"/>
        </w:rPr>
        <w:t>。</w:t>
      </w:r>
    </w:p>
    <w:p w:rsidR="00712B57" w:rsidRPr="00312655" w:rsidP="003C1ECF">
      <w:pPr>
        <w:pStyle w:val="BodyText2"/>
        <w:numPr>
          <w:ilvl w:val="0"/>
          <w:numId w:val="1"/>
        </w:numPr>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投资银行如何帮助</w:t>
      </w:r>
      <w:r w:rsidRPr="00312655">
        <w:rPr>
          <w:rFonts w:ascii="宋体" w:hAnsi="宋体" w:hint="eastAsia"/>
          <w:b/>
          <w:sz w:val="21"/>
          <w:szCs w:val="21"/>
          <w:u w:val="single"/>
        </w:rPr>
        <w:t>企业</w:t>
      </w:r>
      <w:r w:rsidRPr="00312655">
        <w:rPr>
          <w:rFonts w:ascii="宋体" w:hAnsi="宋体" w:hint="eastAsia"/>
          <w:b/>
          <w:sz w:val="21"/>
          <w:szCs w:val="21"/>
        </w:rPr>
        <w:t>实现价值增值</w:t>
      </w:r>
      <w:r w:rsidRPr="00312655" w:rsidR="00C63A8C">
        <w:rPr>
          <w:rFonts w:ascii="宋体" w:hAnsi="宋体" w:hint="eastAsia"/>
          <w:b/>
          <w:sz w:val="21"/>
          <w:szCs w:val="21"/>
        </w:rPr>
        <w:t>（综合理解）</w:t>
      </w:r>
      <w:r w:rsidRPr="00312655" w:rsidR="00660CD7">
        <w:rPr>
          <w:rFonts w:ascii="宋体" w:hAnsi="宋体" w:hint="eastAsia"/>
          <w:b/>
          <w:sz w:val="21"/>
          <w:szCs w:val="21"/>
        </w:rPr>
        <w:t>。</w:t>
      </w:r>
    </w:p>
    <w:p w:rsidR="00D34DF1" w:rsidRPr="00312655" w:rsidP="00312655">
      <w:pPr>
        <w:pStyle w:val="BodyText2"/>
        <w:spacing w:before="156" w:beforeLines="50" w:line="240" w:lineRule="atLeast"/>
        <w:ind w:right="32" w:firstLine="210" w:rightChars="15" w:firstLineChars="100"/>
        <w:jc w:val="both"/>
        <w:rPr>
          <w:rFonts w:ascii="宋体" w:hAnsi="宋体"/>
          <w:sz w:val="21"/>
          <w:szCs w:val="21"/>
        </w:rPr>
      </w:pPr>
      <w:r w:rsidRPr="00312655">
        <w:rPr>
          <w:rFonts w:ascii="宋体" w:hAnsi="宋体" w:hint="eastAsia"/>
          <w:sz w:val="21"/>
          <w:szCs w:val="21"/>
        </w:rPr>
        <w:t>一级增值</w:t>
      </w:r>
      <w:r w:rsidRPr="00312655" w:rsidR="00F7632D">
        <w:rPr>
          <w:rFonts w:ascii="宋体" w:hAnsi="宋体" w:hint="eastAsia"/>
          <w:sz w:val="21"/>
          <w:szCs w:val="21"/>
        </w:rPr>
        <w:t>（私募股权增值）</w:t>
      </w:r>
      <w:r w:rsidRPr="00312655">
        <w:rPr>
          <w:rFonts w:ascii="宋体" w:hAnsi="宋体"/>
          <w:sz w:val="21"/>
          <w:szCs w:val="21"/>
        </w:rPr>
        <w:t>——</w:t>
      </w:r>
      <w:r w:rsidRPr="00312655">
        <w:rPr>
          <w:rFonts w:ascii="宋体" w:hAnsi="宋体" w:hint="eastAsia"/>
          <w:sz w:val="21"/>
          <w:szCs w:val="21"/>
        </w:rPr>
        <w:t>股权直接投资，在私募资本市场，</w:t>
      </w:r>
      <w:r w:rsidRPr="00312655">
        <w:rPr>
          <w:rFonts w:ascii="宋体" w:hAnsi="宋体" w:hint="eastAsia"/>
          <w:sz w:val="21"/>
          <w:szCs w:val="21"/>
          <w:u w:val="single"/>
        </w:rPr>
        <w:t>企业</w:t>
      </w:r>
      <w:r w:rsidRPr="00312655">
        <w:rPr>
          <w:rFonts w:ascii="宋体" w:hAnsi="宋体" w:hint="eastAsia"/>
          <w:sz w:val="21"/>
          <w:szCs w:val="21"/>
        </w:rPr>
        <w:t>通过溢价引入风险资本实现创业资本增值</w:t>
      </w:r>
      <w:r w:rsidRPr="00312655" w:rsidR="00E86330">
        <w:rPr>
          <w:rFonts w:ascii="宋体" w:hAnsi="宋体" w:hint="eastAsia"/>
          <w:sz w:val="21"/>
          <w:szCs w:val="21"/>
        </w:rPr>
        <w:t>。</w:t>
      </w:r>
      <w:r w:rsidRPr="00312655">
        <w:rPr>
          <w:rFonts w:ascii="宋体" w:hAnsi="宋体" w:hint="eastAsia"/>
          <w:sz w:val="21"/>
          <w:szCs w:val="21"/>
        </w:rPr>
        <w:t>　　</w:t>
      </w:r>
    </w:p>
    <w:p w:rsidR="00F7632D" w:rsidRPr="00312655" w:rsidP="00312655">
      <w:pPr>
        <w:pStyle w:val="BodyText2"/>
        <w:spacing w:before="156" w:beforeLines="50" w:line="240" w:lineRule="atLeast"/>
        <w:ind w:right="32" w:firstLine="210" w:rightChars="15" w:firstLineChars="100"/>
        <w:jc w:val="both"/>
        <w:rPr>
          <w:rFonts w:ascii="宋体" w:hAnsi="宋体" w:hint="eastAsia"/>
          <w:sz w:val="21"/>
          <w:szCs w:val="21"/>
        </w:rPr>
      </w:pPr>
      <w:r w:rsidRPr="00312655" w:rsidR="00D34DF1">
        <w:rPr>
          <w:rFonts w:ascii="宋体" w:hAnsi="宋体" w:hint="eastAsia"/>
          <w:sz w:val="21"/>
          <w:szCs w:val="21"/>
        </w:rPr>
        <w:t>二级增值</w:t>
      </w:r>
      <w:r w:rsidRPr="00312655" w:rsidR="000A4472">
        <w:rPr>
          <w:rFonts w:ascii="宋体" w:hAnsi="宋体" w:hint="eastAsia"/>
          <w:sz w:val="21"/>
          <w:szCs w:val="21"/>
        </w:rPr>
        <w:t>（IPO增值）</w:t>
      </w:r>
      <w:r w:rsidRPr="00312655" w:rsidR="00D34DF1">
        <w:rPr>
          <w:rFonts w:ascii="宋体" w:hAnsi="宋体"/>
          <w:sz w:val="21"/>
          <w:szCs w:val="21"/>
        </w:rPr>
        <w:t>——IPO</w:t>
      </w:r>
      <w:r w:rsidRPr="00312655" w:rsidR="00D34DF1">
        <w:rPr>
          <w:rFonts w:ascii="宋体" w:hAnsi="宋体" w:hint="eastAsia"/>
          <w:sz w:val="21"/>
          <w:szCs w:val="21"/>
        </w:rPr>
        <w:t>上市，在证券发行市场中，</w:t>
      </w:r>
      <w:r w:rsidRPr="00312655" w:rsidR="00D34DF1">
        <w:rPr>
          <w:rFonts w:ascii="宋体" w:hAnsi="宋体" w:hint="eastAsia"/>
          <w:sz w:val="21"/>
          <w:szCs w:val="21"/>
          <w:u w:val="single"/>
        </w:rPr>
        <w:t>企业</w:t>
      </w:r>
      <w:r w:rsidRPr="00312655" w:rsidR="00D34DF1">
        <w:rPr>
          <w:rFonts w:ascii="宋体" w:hAnsi="宋体" w:hint="eastAsia"/>
          <w:sz w:val="21"/>
          <w:szCs w:val="21"/>
        </w:rPr>
        <w:t>通过证券发行上市形成的溢价收益</w:t>
      </w:r>
      <w:r w:rsidRPr="00312655" w:rsidR="00E86330">
        <w:rPr>
          <w:rFonts w:ascii="宋体" w:hAnsi="宋体" w:hint="eastAsia"/>
          <w:sz w:val="21"/>
          <w:szCs w:val="21"/>
        </w:rPr>
        <w:t>。</w:t>
      </w:r>
      <w:r w:rsidRPr="00312655" w:rsidR="00D34DF1">
        <w:rPr>
          <w:rFonts w:ascii="宋体" w:hAnsi="宋体" w:hint="eastAsia"/>
          <w:sz w:val="21"/>
          <w:szCs w:val="21"/>
        </w:rPr>
        <w:t>　</w:t>
      </w:r>
    </w:p>
    <w:p w:rsidR="008A6F4A" w:rsidRPr="00312655" w:rsidP="00312655">
      <w:pPr>
        <w:pStyle w:val="BodyText2"/>
        <w:spacing w:before="156" w:beforeLines="50" w:line="240" w:lineRule="atLeast"/>
        <w:ind w:right="32" w:firstLine="210" w:rightChars="15" w:firstLineChars="100"/>
        <w:jc w:val="both"/>
        <w:rPr>
          <w:rFonts w:ascii="宋体" w:hAnsi="宋体"/>
          <w:sz w:val="21"/>
          <w:szCs w:val="21"/>
        </w:rPr>
      </w:pPr>
      <w:r w:rsidRPr="00312655" w:rsidR="00F7632D">
        <w:rPr>
          <w:rFonts w:ascii="宋体" w:hAnsi="宋体" w:hint="eastAsia"/>
          <w:sz w:val="21"/>
          <w:szCs w:val="21"/>
        </w:rPr>
        <w:t>三级增值（二级市场增值）</w:t>
      </w:r>
      <w:r w:rsidRPr="00312655" w:rsidR="00F7632D">
        <w:rPr>
          <w:rFonts w:ascii="宋体" w:hAnsi="宋体"/>
          <w:sz w:val="21"/>
          <w:szCs w:val="21"/>
        </w:rPr>
        <w:t>——</w:t>
      </w:r>
      <w:r w:rsidRPr="00312655" w:rsidR="00F7632D">
        <w:rPr>
          <w:rFonts w:ascii="宋体" w:hAnsi="宋体" w:hint="eastAsia"/>
          <w:sz w:val="21"/>
          <w:szCs w:val="21"/>
        </w:rPr>
        <w:t>二级市场交易，在证券交易市场中，投资者获得证券交易的差价收益　　</w:t>
      </w:r>
    </w:p>
    <w:p w:rsidR="008A6F4A" w:rsidRPr="00312655" w:rsidP="00312655">
      <w:pPr>
        <w:pStyle w:val="BodyText2"/>
        <w:spacing w:before="156" w:beforeLines="50" w:line="240" w:lineRule="atLeast"/>
        <w:ind w:right="32" w:rightChars="15"/>
        <w:jc w:val="both"/>
        <w:rPr>
          <w:rFonts w:ascii="宋体" w:hAnsi="宋体"/>
          <w:sz w:val="21"/>
          <w:szCs w:val="21"/>
        </w:rPr>
      </w:pPr>
      <w:r w:rsidRPr="00312655" w:rsidR="00F7632D">
        <w:rPr>
          <w:rFonts w:ascii="宋体" w:hAnsi="宋体" w:hint="eastAsia"/>
          <w:sz w:val="21"/>
          <w:szCs w:val="21"/>
        </w:rPr>
        <w:t>　四级增值（并购重组增值）</w:t>
      </w:r>
      <w:r w:rsidRPr="00312655" w:rsidR="00F7632D">
        <w:rPr>
          <w:rFonts w:ascii="宋体" w:hAnsi="宋体"/>
          <w:sz w:val="21"/>
          <w:szCs w:val="21"/>
        </w:rPr>
        <w:t>——</w:t>
      </w:r>
      <w:r w:rsidRPr="00312655" w:rsidR="00F7632D">
        <w:rPr>
          <w:rFonts w:ascii="宋体" w:hAnsi="宋体" w:hint="eastAsia"/>
          <w:sz w:val="21"/>
          <w:szCs w:val="21"/>
        </w:rPr>
        <w:t>资本运营，来自</w:t>
      </w:r>
      <w:r w:rsidRPr="00312655" w:rsidR="00F7632D">
        <w:rPr>
          <w:rFonts w:ascii="宋体" w:hAnsi="宋体" w:hint="eastAsia"/>
          <w:sz w:val="21"/>
          <w:szCs w:val="21"/>
          <w:u w:val="single"/>
        </w:rPr>
        <w:t>上市公司</w:t>
      </w:r>
      <w:r w:rsidRPr="00312655" w:rsidR="00F7632D">
        <w:rPr>
          <w:rFonts w:ascii="宋体" w:hAnsi="宋体" w:hint="eastAsia"/>
          <w:sz w:val="21"/>
          <w:szCs w:val="21"/>
        </w:rPr>
        <w:t>的并购重组所实现的差价收益　　</w:t>
      </w:r>
    </w:p>
    <w:p w:rsidR="008A6F4A" w:rsidRPr="00312655" w:rsidP="00312655">
      <w:pPr>
        <w:pStyle w:val="BodyText2"/>
        <w:spacing w:before="156" w:beforeLines="50" w:line="240" w:lineRule="atLeast"/>
        <w:ind w:right="32" w:firstLine="210" w:rightChars="15" w:firstLineChars="100"/>
        <w:jc w:val="both"/>
        <w:rPr>
          <w:rFonts w:ascii="宋体" w:hAnsi="宋体" w:hint="eastAsia"/>
          <w:sz w:val="21"/>
          <w:szCs w:val="21"/>
        </w:rPr>
      </w:pPr>
      <w:r w:rsidRPr="00312655" w:rsidR="00F7632D">
        <w:rPr>
          <w:rFonts w:ascii="宋体" w:hAnsi="宋体" w:hint="eastAsia"/>
          <w:sz w:val="21"/>
          <w:szCs w:val="21"/>
        </w:rPr>
        <w:t>五级增值（金融衍生工具增值）</w:t>
      </w:r>
      <w:r w:rsidRPr="00312655" w:rsidR="00F7632D">
        <w:rPr>
          <w:rFonts w:ascii="宋体" w:hAnsi="宋体"/>
          <w:sz w:val="21"/>
          <w:szCs w:val="21"/>
        </w:rPr>
        <w:t>——</w:t>
      </w:r>
      <w:r w:rsidRPr="00312655" w:rsidR="00F7632D">
        <w:rPr>
          <w:rFonts w:ascii="宋体" w:hAnsi="宋体" w:hint="eastAsia"/>
          <w:sz w:val="21"/>
          <w:szCs w:val="21"/>
        </w:rPr>
        <w:t>金融创新与金融工程，来自金融衍生工具的运用　　</w:t>
      </w:r>
    </w:p>
    <w:p w:rsidR="00AD4765" w:rsidRPr="00312655" w:rsidP="00312655">
      <w:pPr>
        <w:pStyle w:val="BodyText2"/>
        <w:spacing w:line="240" w:lineRule="atLeast"/>
        <w:jc w:val="both"/>
        <w:rPr>
          <w:rFonts w:ascii="宋体" w:hAnsi="宋体" w:hint="eastAsia"/>
          <w:sz w:val="21"/>
          <w:szCs w:val="21"/>
          <w:u w:val="single"/>
        </w:rPr>
      </w:pPr>
    </w:p>
    <w:p w:rsidR="00C20586" w:rsidRPr="00312655" w:rsidP="003C1ECF">
      <w:pPr>
        <w:pStyle w:val="BodyText2"/>
        <w:numPr>
          <w:ilvl w:val="0"/>
          <w:numId w:val="45"/>
        </w:numPr>
        <w:spacing w:line="240" w:lineRule="atLeast"/>
        <w:jc w:val="both"/>
        <w:rPr>
          <w:rFonts w:ascii="宋体" w:hAnsi="宋体" w:hint="eastAsia"/>
          <w:sz w:val="21"/>
          <w:szCs w:val="21"/>
        </w:rPr>
      </w:pPr>
      <w:r w:rsidRPr="00312655">
        <w:rPr>
          <w:rFonts w:ascii="宋体" w:hAnsi="宋体" w:hint="eastAsia"/>
          <w:sz w:val="21"/>
          <w:szCs w:val="21"/>
          <w:u w:val="single"/>
        </w:rPr>
        <w:t>风险投资</w:t>
      </w:r>
      <w:r w:rsidRPr="00312655">
        <w:rPr>
          <w:rFonts w:ascii="宋体" w:hAnsi="宋体" w:hint="eastAsia"/>
          <w:sz w:val="21"/>
          <w:szCs w:val="21"/>
        </w:rPr>
        <w:t>：创造一级增值，包括创业方案设计、风险资本管理、财务顾问和管理顾问</w:t>
      </w:r>
    </w:p>
    <w:p w:rsidR="00C20586" w:rsidRPr="00312655" w:rsidP="003C1ECF">
      <w:pPr>
        <w:pStyle w:val="BodyText2"/>
        <w:numPr>
          <w:ilvl w:val="0"/>
          <w:numId w:val="45"/>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u w:val="single"/>
        </w:rPr>
        <w:t>证券发行业务</w:t>
      </w:r>
      <w:r w:rsidRPr="00312655">
        <w:rPr>
          <w:rFonts w:ascii="宋体" w:hAnsi="宋体" w:hint="eastAsia"/>
          <w:sz w:val="21"/>
          <w:szCs w:val="21"/>
        </w:rPr>
        <w:t>：创造二级增值收益，包括为企业和政府部门融资、证券公募发行、私募发行</w:t>
      </w:r>
    </w:p>
    <w:p w:rsidR="00C20586" w:rsidRPr="00312655" w:rsidP="003C1ECF">
      <w:pPr>
        <w:pStyle w:val="BodyText2"/>
        <w:numPr>
          <w:ilvl w:val="0"/>
          <w:numId w:val="45"/>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u w:val="single"/>
        </w:rPr>
        <w:t>证券经纪与自营业务</w:t>
      </w:r>
      <w:r w:rsidRPr="00312655">
        <w:rPr>
          <w:rFonts w:ascii="宋体" w:hAnsi="宋体" w:hint="eastAsia"/>
          <w:sz w:val="21"/>
          <w:szCs w:val="21"/>
        </w:rPr>
        <w:t>：创造三级增值收益，充当证券经纪商、自营商和做市商</w:t>
      </w:r>
    </w:p>
    <w:p w:rsidR="000A4472" w:rsidRPr="00312655" w:rsidP="003C1ECF">
      <w:pPr>
        <w:pStyle w:val="BodyText2"/>
        <w:numPr>
          <w:ilvl w:val="0"/>
          <w:numId w:val="45"/>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u w:val="single"/>
        </w:rPr>
        <w:t>基金资产管理</w:t>
      </w:r>
      <w:r w:rsidRPr="00312655">
        <w:rPr>
          <w:rFonts w:ascii="宋体" w:hAnsi="宋体" w:hint="eastAsia"/>
          <w:sz w:val="21"/>
          <w:szCs w:val="21"/>
        </w:rPr>
        <w:t>：创造三级增值收益，包括证券投资基金设立与证券组合管理</w:t>
      </w:r>
    </w:p>
    <w:p w:rsidR="00AD4765" w:rsidRPr="00312655" w:rsidP="003C1ECF">
      <w:pPr>
        <w:pStyle w:val="BodyText2"/>
        <w:numPr>
          <w:ilvl w:val="0"/>
          <w:numId w:val="45"/>
        </w:numPr>
        <w:spacing w:line="240" w:lineRule="atLeast"/>
        <w:jc w:val="both"/>
        <w:rPr>
          <w:rFonts w:ascii="宋体" w:hAnsi="宋体"/>
          <w:sz w:val="21"/>
          <w:szCs w:val="21"/>
        </w:rPr>
      </w:pPr>
      <w:r w:rsidRPr="00312655">
        <w:rPr>
          <w:rFonts w:ascii="宋体" w:hAnsi="宋体" w:hint="eastAsia"/>
          <w:sz w:val="21"/>
          <w:szCs w:val="21"/>
          <w:u w:val="single"/>
        </w:rPr>
        <w:t>兼并收购</w:t>
      </w:r>
      <w:r w:rsidRPr="00312655">
        <w:rPr>
          <w:rFonts w:ascii="宋体" w:hAnsi="宋体" w:hint="eastAsia"/>
          <w:sz w:val="21"/>
          <w:szCs w:val="21"/>
        </w:rPr>
        <w:t>：创造四级增值收益，包括企业兼并、收购、分拆、托管、股权置换方案设计及融资安排</w:t>
      </w:r>
    </w:p>
    <w:p w:rsidR="000A4472" w:rsidRPr="00312655" w:rsidP="003C1ECF">
      <w:pPr>
        <w:pStyle w:val="BodyText2"/>
        <w:numPr>
          <w:ilvl w:val="0"/>
          <w:numId w:val="45"/>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u w:val="single"/>
        </w:rPr>
        <w:t>项目融资</w:t>
      </w:r>
      <w:r w:rsidRPr="00312655">
        <w:rPr>
          <w:rFonts w:ascii="宋体" w:hAnsi="宋体" w:hint="eastAsia"/>
          <w:sz w:val="21"/>
          <w:szCs w:val="21"/>
        </w:rPr>
        <w:t>：创造五级增值，包括</w:t>
      </w:r>
      <w:r w:rsidRPr="00312655">
        <w:rPr>
          <w:rFonts w:ascii="宋体" w:hAnsi="宋体"/>
          <w:sz w:val="21"/>
          <w:szCs w:val="21"/>
        </w:rPr>
        <w:t>BOT</w:t>
      </w:r>
      <w:r w:rsidRPr="00312655">
        <w:rPr>
          <w:rFonts w:ascii="宋体" w:hAnsi="宋体" w:hint="eastAsia"/>
          <w:sz w:val="21"/>
          <w:szCs w:val="21"/>
        </w:rPr>
        <w:t>融资、产品支付、项目债券融资等</w:t>
      </w:r>
    </w:p>
    <w:p w:rsidR="000A4472" w:rsidRPr="00312655" w:rsidP="003C1ECF">
      <w:pPr>
        <w:pStyle w:val="BodyText2"/>
        <w:numPr>
          <w:ilvl w:val="0"/>
          <w:numId w:val="45"/>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u w:val="single"/>
        </w:rPr>
        <w:t>金融工程</w:t>
      </w:r>
      <w:r w:rsidRPr="00312655">
        <w:rPr>
          <w:rFonts w:ascii="宋体" w:hAnsi="宋体" w:hint="eastAsia"/>
          <w:sz w:val="21"/>
          <w:szCs w:val="21"/>
        </w:rPr>
        <w:t>：创造五级增值，包括各种衍生工具交易、资产证券化及各种复杂交易结构设计</w:t>
      </w:r>
    </w:p>
    <w:p w:rsidR="00D34DF1" w:rsidRPr="00312655" w:rsidP="003C1ECF">
      <w:pPr>
        <w:pStyle w:val="BodyText2"/>
        <w:numPr>
          <w:ilvl w:val="0"/>
          <w:numId w:val="45"/>
        </w:numPr>
        <w:spacing w:line="240" w:lineRule="atLeast"/>
        <w:jc w:val="both"/>
        <w:rPr>
          <w:rFonts w:ascii="宋体" w:hAnsi="宋体" w:hint="eastAsia"/>
          <w:sz w:val="21"/>
          <w:szCs w:val="21"/>
        </w:rPr>
      </w:pPr>
      <w:r w:rsidRPr="00312655" w:rsidR="0097544A">
        <w:rPr>
          <w:rFonts w:ascii="宋体" w:hAnsi="宋体" w:hint="eastAsia"/>
          <w:sz w:val="21"/>
          <w:szCs w:val="21"/>
          <w:u w:val="single"/>
        </w:rPr>
        <w:t>理财顾问</w:t>
      </w:r>
      <w:r w:rsidRPr="00312655" w:rsidR="0097544A">
        <w:rPr>
          <w:rFonts w:ascii="宋体" w:hAnsi="宋体" w:hint="eastAsia"/>
          <w:sz w:val="21"/>
          <w:szCs w:val="21"/>
        </w:rPr>
        <w:t>：创造各级增值，包括财务顾问（政府和企业）和投资顾问（个人和机构）</w:t>
      </w:r>
    </w:p>
    <w:p w:rsidR="00712B57" w:rsidRPr="00312655" w:rsidP="003C1ECF">
      <w:pPr>
        <w:pStyle w:val="BodyText2"/>
        <w:numPr>
          <w:ilvl w:val="0"/>
          <w:numId w:val="1"/>
        </w:numPr>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投资银行在资本市场中的主要功能及其认识</w:t>
      </w:r>
      <w:r w:rsidRPr="00312655" w:rsidR="00660CD7">
        <w:rPr>
          <w:rFonts w:ascii="宋体" w:hAnsi="宋体" w:hint="eastAsia"/>
          <w:b/>
          <w:sz w:val="21"/>
          <w:szCs w:val="21"/>
        </w:rPr>
        <w:t>。</w:t>
      </w:r>
    </w:p>
    <w:p w:rsidR="0035694E" w:rsidRPr="00312655" w:rsidP="00312655">
      <w:pPr>
        <w:pStyle w:val="BodyText2"/>
        <w:spacing w:line="240" w:lineRule="atLeast"/>
        <w:ind w:left="2512" w:right="32" w:hanging="2092" w:leftChars="200" w:rightChars="15" w:hangingChars="996"/>
        <w:jc w:val="both"/>
        <w:rPr>
          <w:rFonts w:ascii="宋体" w:hAnsi="宋体"/>
          <w:sz w:val="21"/>
          <w:szCs w:val="21"/>
        </w:rPr>
      </w:pPr>
      <w:r w:rsidRPr="00312655">
        <w:rPr>
          <w:rFonts w:ascii="宋体" w:hAnsi="宋体" w:hint="eastAsia"/>
          <w:sz w:val="21"/>
          <w:szCs w:val="21"/>
        </w:rPr>
        <w:t>投资银行是现代金融体系的核心，在资本市场的运行中起着主导性的作用。</w:t>
      </w:r>
    </w:p>
    <w:p w:rsidR="00D34DF1" w:rsidRPr="00EE21B3" w:rsidP="00312655">
      <w:pPr>
        <w:pStyle w:val="BodyText2"/>
        <w:spacing w:line="240" w:lineRule="atLeast"/>
        <w:ind w:right="32" w:firstLine="420" w:rightChars="15" w:firstLineChars="200"/>
        <w:jc w:val="both"/>
        <w:rPr>
          <w:rFonts w:ascii="宋体" w:hAnsi="宋体"/>
          <w:color w:val="FF00FF"/>
          <w:sz w:val="21"/>
          <w:szCs w:val="21"/>
        </w:rPr>
      </w:pPr>
      <w:r w:rsidRPr="00312655" w:rsidR="0035694E">
        <w:rPr>
          <w:rFonts w:ascii="宋体" w:hAnsi="宋体"/>
          <w:color w:val="FF00FF"/>
          <w:sz w:val="21"/>
          <w:szCs w:val="21"/>
        </w:rPr>
        <w:fldChar w:fldCharType="begin" w:dirty="1"/>
      </w:r>
      <w:r w:rsidRPr="00312655" w:rsidR="0035694E">
        <w:rPr>
          <w:rFonts w:ascii="宋体" w:hAnsi="宋体"/>
          <w:color w:val="FF00FF"/>
          <w:sz w:val="21"/>
          <w:szCs w:val="21"/>
        </w:rPr>
        <w:instrText xml:space="preserve"> </w:instrText>
      </w:r>
      <w:r w:rsidRPr="00312655" w:rsidR="0035694E">
        <w:rPr>
          <w:rFonts w:ascii="宋体" w:hAnsi="宋体" w:hint="eastAsia"/>
          <w:color w:val="FF00FF"/>
          <w:sz w:val="21"/>
          <w:szCs w:val="21"/>
        </w:rPr>
        <w:instrText>= 1 \* GB3</w:instrText>
      </w:r>
      <w:r w:rsidRPr="00312655" w:rsidR="0035694E">
        <w:rPr>
          <w:rFonts w:ascii="宋体" w:hAnsi="宋体"/>
          <w:color w:val="FF00FF"/>
          <w:sz w:val="21"/>
          <w:szCs w:val="21"/>
        </w:rPr>
        <w:instrText xml:space="preserve"> </w:instrText>
      </w:r>
      <w:r w:rsidRPr="00312655" w:rsidR="0035694E">
        <w:rPr>
          <w:rFonts w:ascii="宋体" w:hAnsi="宋体"/>
          <w:color w:val="FF00FF"/>
          <w:sz w:val="21"/>
          <w:szCs w:val="21"/>
        </w:rPr>
        <w:fldChar w:fldCharType="separate"/>
      </w:r>
      <w:r w:rsidRPr="00312655" w:rsidR="0035694E">
        <w:rPr>
          <w:rFonts w:ascii="宋体" w:hAnsi="宋体" w:hint="eastAsia"/>
          <w:noProof/>
          <w:color w:val="FF00FF"/>
          <w:sz w:val="21"/>
          <w:szCs w:val="21"/>
        </w:rPr>
        <w:t>①</w:t>
      </w:r>
      <w:r w:rsidRPr="00312655" w:rsidR="0035694E">
        <w:rPr>
          <w:rFonts w:ascii="宋体" w:hAnsi="宋体"/>
          <w:color w:val="FF00FF"/>
          <w:sz w:val="21"/>
          <w:szCs w:val="21"/>
        </w:rPr>
        <w:fldChar w:fldCharType="end"/>
      </w:r>
      <w:r w:rsidRPr="00312655" w:rsidR="0035694E">
        <w:rPr>
          <w:rFonts w:ascii="宋体" w:hAnsi="宋体" w:hint="eastAsia"/>
          <w:color w:val="FF00FF"/>
          <w:sz w:val="21"/>
          <w:szCs w:val="21"/>
        </w:rPr>
        <w:t>媒介资金供需</w:t>
      </w:r>
      <w:r w:rsidRPr="00EE21B3">
        <w:rPr>
          <w:rFonts w:ascii="宋体" w:hAnsi="宋体" w:hint="eastAsia"/>
          <w:color w:val="FF00FF"/>
          <w:sz w:val="21"/>
          <w:szCs w:val="21"/>
        </w:rPr>
        <w:t>：</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r w:rsidRPr="00312655">
        <w:rPr>
          <w:rFonts w:ascii="宋体" w:hAnsi="宋体" w:hint="eastAsia"/>
          <w:sz w:val="21"/>
          <w:szCs w:val="21"/>
        </w:rPr>
        <w:t>　</w:t>
      </w:r>
      <w:r w:rsidRPr="00312655" w:rsidR="00F663A4">
        <w:rPr>
          <w:rFonts w:ascii="宋体" w:hAnsi="宋体" w:hint="eastAsia"/>
          <w:sz w:val="21"/>
          <w:szCs w:val="21"/>
        </w:rPr>
        <w:t xml:space="preserve"> </w:t>
      </w:r>
      <w:r w:rsidRPr="00312655">
        <w:rPr>
          <w:rFonts w:ascii="宋体" w:hAnsi="宋体" w:hint="eastAsia"/>
          <w:sz w:val="21"/>
          <w:szCs w:val="21"/>
        </w:rPr>
        <w:t>直接融资的主要媒介：投资银行不介入投资者和筹资者的权利义务关系</w:t>
      </w:r>
      <w:r w:rsidRPr="00312655" w:rsidR="00F663A4">
        <w:rPr>
          <w:rFonts w:ascii="宋体" w:hAnsi="宋体" w:hint="eastAsia"/>
          <w:sz w:val="21"/>
          <w:szCs w:val="21"/>
        </w:rPr>
        <w:t>,</w:t>
      </w:r>
      <w:r w:rsidRPr="00312655">
        <w:rPr>
          <w:rFonts w:ascii="宋体" w:hAnsi="宋体" w:hint="eastAsia"/>
          <w:sz w:val="21"/>
          <w:szCs w:val="21"/>
        </w:rPr>
        <w:t>投资者和筹资者相互承担权利和义务</w:t>
      </w:r>
    </w:p>
    <w:p w:rsidR="00D34DF1" w:rsidRPr="00312655" w:rsidP="00312655">
      <w:pPr>
        <w:pStyle w:val="BodyText2"/>
        <w:spacing w:line="240" w:lineRule="atLeast"/>
        <w:ind w:right="32" w:firstLine="735" w:rightChars="15" w:firstLineChars="350"/>
        <w:jc w:val="both"/>
        <w:rPr>
          <w:rFonts w:ascii="宋体" w:hAnsi="宋体"/>
          <w:sz w:val="21"/>
          <w:szCs w:val="21"/>
        </w:rPr>
      </w:pPr>
      <w:r w:rsidRPr="00312655">
        <w:rPr>
          <w:rFonts w:ascii="宋体" w:hAnsi="宋体" w:hint="eastAsia"/>
          <w:sz w:val="21"/>
          <w:szCs w:val="21"/>
        </w:rPr>
        <w:t>期限中介：通过期限转换，使资金运用灵活机动；</w:t>
      </w:r>
    </w:p>
    <w:p w:rsidR="00D34DF1" w:rsidRPr="00312655" w:rsidP="00312655">
      <w:pPr>
        <w:pStyle w:val="BodyText2"/>
        <w:spacing w:line="240" w:lineRule="atLeast"/>
        <w:ind w:right="32" w:firstLine="735" w:rightChars="15" w:firstLineChars="350"/>
        <w:jc w:val="both"/>
        <w:rPr>
          <w:rFonts w:ascii="宋体" w:hAnsi="宋体" w:hint="eastAsia"/>
          <w:sz w:val="21"/>
          <w:szCs w:val="21"/>
        </w:rPr>
      </w:pPr>
      <w:r w:rsidRPr="00312655">
        <w:rPr>
          <w:rFonts w:ascii="宋体" w:hAnsi="宋体" w:hint="eastAsia"/>
          <w:sz w:val="21"/>
          <w:szCs w:val="21"/>
        </w:rPr>
        <w:t>风险中介：降低投资和融资风险；</w:t>
      </w:r>
    </w:p>
    <w:p w:rsidR="00D34DF1" w:rsidRPr="00312655" w:rsidP="00312655">
      <w:pPr>
        <w:pStyle w:val="BodyText2"/>
        <w:spacing w:line="240" w:lineRule="atLeast"/>
        <w:ind w:right="32" w:firstLine="735" w:rightChars="15" w:firstLineChars="350"/>
        <w:jc w:val="both"/>
        <w:rPr>
          <w:rFonts w:ascii="宋体" w:hAnsi="宋体" w:hint="eastAsia"/>
          <w:sz w:val="21"/>
          <w:szCs w:val="21"/>
        </w:rPr>
      </w:pPr>
      <w:r w:rsidRPr="00312655">
        <w:rPr>
          <w:rFonts w:ascii="宋体" w:hAnsi="宋体" w:hint="eastAsia"/>
          <w:sz w:val="21"/>
          <w:szCs w:val="21"/>
        </w:rPr>
        <w:t>信息中介：通过规模效应、专业化和分工，有效地降低了信息加工及合约成本；</w:t>
      </w:r>
    </w:p>
    <w:p w:rsidR="00D34DF1" w:rsidRPr="00312655" w:rsidP="00312655">
      <w:pPr>
        <w:pStyle w:val="BodyText2"/>
        <w:spacing w:line="240" w:lineRule="atLeast"/>
        <w:ind w:left="1995" w:right="32" w:hanging="1260" w:leftChars="350" w:rightChars="15" w:hangingChars="600"/>
        <w:jc w:val="both"/>
        <w:rPr>
          <w:rFonts w:ascii="宋体" w:hAnsi="宋体" w:hint="eastAsia"/>
          <w:sz w:val="21"/>
          <w:szCs w:val="21"/>
        </w:rPr>
        <w:sectPr>
          <w:pgSz w:w="11906" w:h="16838"/>
          <w:pgMar w:top="1440" w:right="1800" w:bottom="1440" w:left="1800" w:header="851" w:footer="992" w:gutter="0"/>
          <w:cols w:space="425"/>
          <w:docGrid w:type="lines" w:linePitch="312"/>
        </w:sectPr>
      </w:pPr>
      <w:r w:rsidRPr="00312655">
        <w:rPr>
          <w:rFonts w:ascii="宋体" w:hAnsi="宋体" w:hint="eastAsia"/>
          <w:sz w:val="21"/>
          <w:szCs w:val="21"/>
        </w:rPr>
        <w:t>流动性中介：为客户提供各种票据、证券以及现金之间的互换机制，满足客户的流</w:t>
      </w:r>
      <w:r w:rsidRPr="00312655" w:rsidR="00CF0223">
        <w:rPr>
          <w:rFonts w:ascii="宋体" w:hAnsi="宋体" w:hint="eastAsia"/>
          <w:sz w:val="21"/>
          <w:szCs w:val="21"/>
        </w:rPr>
        <w:t xml:space="preserve"> </w:t>
      </w:r>
      <w:r w:rsidRPr="00312655">
        <w:rPr>
          <w:rFonts w:ascii="宋体" w:hAnsi="宋体" w:hint="eastAsia"/>
          <w:sz w:val="21"/>
          <w:szCs w:val="21"/>
        </w:rPr>
        <w:t>动性需求。</w:t>
      </w:r>
    </w:p>
    <w:p w:rsidR="00D34DF1" w:rsidRPr="00312655" w:rsidP="00312655">
      <w:pPr>
        <w:pStyle w:val="BodyText2"/>
        <w:spacing w:line="240" w:lineRule="atLeast"/>
        <w:ind w:left="2512" w:right="32" w:hanging="2092" w:leftChars="200" w:rightChars="15" w:hangingChars="996"/>
        <w:jc w:val="both"/>
        <w:rPr>
          <w:rFonts w:ascii="宋体" w:hAnsi="宋体" w:hint="eastAsia"/>
          <w:color w:val="FF00FF"/>
          <w:sz w:val="21"/>
          <w:szCs w:val="21"/>
        </w:rPr>
      </w:pPr>
      <w:r w:rsidRPr="00312655" w:rsidR="0035694E">
        <w:rPr>
          <w:rFonts w:ascii="宋体" w:hAnsi="宋体" w:hint="eastAsia"/>
          <w:color w:val="FF00FF"/>
          <w:sz w:val="21"/>
          <w:szCs w:val="21"/>
        </w:rPr>
        <w:t xml:space="preserve"> </w:t>
      </w:r>
      <w:r w:rsidRPr="00312655" w:rsidR="0035694E">
        <w:rPr>
          <w:rFonts w:ascii="宋体" w:hAnsi="宋体"/>
          <w:color w:val="FF00FF"/>
          <w:sz w:val="21"/>
          <w:szCs w:val="21"/>
        </w:rPr>
        <w:fldChar w:fldCharType="begin" w:dirty="1"/>
      </w:r>
      <w:r w:rsidRPr="00312655" w:rsidR="0035694E">
        <w:rPr>
          <w:rFonts w:ascii="宋体" w:hAnsi="宋体"/>
          <w:color w:val="FF00FF"/>
          <w:sz w:val="21"/>
          <w:szCs w:val="21"/>
        </w:rPr>
        <w:instrText xml:space="preserve"> </w:instrText>
      </w:r>
      <w:r w:rsidRPr="00312655" w:rsidR="0035694E">
        <w:rPr>
          <w:rFonts w:ascii="宋体" w:hAnsi="宋体" w:hint="eastAsia"/>
          <w:color w:val="FF00FF"/>
          <w:sz w:val="21"/>
          <w:szCs w:val="21"/>
        </w:rPr>
        <w:instrText>= 2 \* GB3</w:instrText>
      </w:r>
      <w:r w:rsidRPr="00312655" w:rsidR="0035694E">
        <w:rPr>
          <w:rFonts w:ascii="宋体" w:hAnsi="宋体"/>
          <w:color w:val="FF00FF"/>
          <w:sz w:val="21"/>
          <w:szCs w:val="21"/>
        </w:rPr>
        <w:instrText xml:space="preserve"> </w:instrText>
      </w:r>
      <w:r w:rsidRPr="00312655" w:rsidR="0035694E">
        <w:rPr>
          <w:rFonts w:ascii="宋体" w:hAnsi="宋体"/>
          <w:color w:val="FF00FF"/>
          <w:sz w:val="21"/>
          <w:szCs w:val="21"/>
        </w:rPr>
        <w:fldChar w:fldCharType="separate"/>
      </w:r>
      <w:r w:rsidRPr="00312655" w:rsidR="0035694E">
        <w:rPr>
          <w:rFonts w:ascii="宋体" w:hAnsi="宋体" w:hint="eastAsia"/>
          <w:noProof/>
          <w:color w:val="FF00FF"/>
          <w:sz w:val="21"/>
          <w:szCs w:val="21"/>
        </w:rPr>
        <w:t>②</w:t>
      </w:r>
      <w:r w:rsidRPr="00312655" w:rsidR="0035694E">
        <w:rPr>
          <w:rFonts w:ascii="宋体" w:hAnsi="宋体"/>
          <w:color w:val="FF00FF"/>
          <w:sz w:val="21"/>
          <w:szCs w:val="21"/>
        </w:rPr>
        <w:fldChar w:fldCharType="end"/>
      </w:r>
      <w:r w:rsidRPr="00312655" w:rsidR="0035694E">
        <w:rPr>
          <w:rFonts w:ascii="宋体" w:hAnsi="宋体" w:hint="eastAsia"/>
          <w:color w:val="FF00FF"/>
          <w:sz w:val="21"/>
          <w:szCs w:val="21"/>
        </w:rPr>
        <w:t>构造证券市场</w:t>
      </w:r>
      <w:r w:rsidRPr="00312655" w:rsidR="00617CB8">
        <w:rPr>
          <w:rFonts w:ascii="宋体" w:hAnsi="宋体" w:hint="eastAsia"/>
          <w:color w:val="FF00FF"/>
          <w:sz w:val="21"/>
          <w:szCs w:val="21"/>
        </w:rPr>
        <w:t>：</w:t>
      </w:r>
    </w:p>
    <w:p w:rsidR="00D34DF1" w:rsidRPr="00312655" w:rsidP="003C1ECF">
      <w:pPr>
        <w:pStyle w:val="BodyText2"/>
        <w:numPr>
          <w:ilvl w:val="0"/>
          <w:numId w:val="12"/>
        </w:numPr>
        <w:spacing w:line="240" w:lineRule="atLeast"/>
        <w:ind w:left="2512" w:right="32" w:hanging="2092" w:leftChars="200" w:rightChars="15" w:hangingChars="996"/>
        <w:jc w:val="both"/>
        <w:rPr>
          <w:rFonts w:ascii="宋体" w:hAnsi="宋体"/>
          <w:sz w:val="21"/>
          <w:szCs w:val="21"/>
        </w:rPr>
      </w:pPr>
      <w:r w:rsidRPr="00312655">
        <w:rPr>
          <w:rFonts w:ascii="宋体" w:hAnsi="宋体" w:hint="eastAsia"/>
          <w:sz w:val="21"/>
          <w:szCs w:val="21"/>
        </w:rPr>
        <w:t>在证券发行市场中，投资银行通过咨询、承销、分销、代销、私募等方式帮助构造证券市场；</w:t>
      </w:r>
    </w:p>
    <w:p w:rsidR="00D34DF1" w:rsidRPr="00312655" w:rsidP="003C1ECF">
      <w:pPr>
        <w:pStyle w:val="BodyText2"/>
        <w:numPr>
          <w:ilvl w:val="0"/>
          <w:numId w:val="12"/>
        </w:numPr>
        <w:spacing w:line="240" w:lineRule="atLeast"/>
        <w:ind w:left="2512" w:right="32" w:hanging="2092" w:leftChars="200" w:rightChars="15" w:hangingChars="996"/>
        <w:jc w:val="both"/>
        <w:rPr>
          <w:rFonts w:ascii="宋体" w:hAnsi="宋体" w:hint="eastAsia"/>
          <w:sz w:val="21"/>
          <w:szCs w:val="21"/>
        </w:rPr>
      </w:pPr>
      <w:r w:rsidRPr="00312655">
        <w:rPr>
          <w:rFonts w:ascii="宋体" w:hAnsi="宋体" w:hint="eastAsia"/>
          <w:sz w:val="21"/>
          <w:szCs w:val="21"/>
        </w:rPr>
        <w:t>在证券交易市场中，投资银行以自营商、经纪商和做市商的多重身份参与，对维持证券价格的稳定性和连续性，提高交易效率，起到了重要作用；</w:t>
      </w:r>
    </w:p>
    <w:p w:rsidR="00D34DF1" w:rsidRPr="00312655" w:rsidP="003C1ECF">
      <w:pPr>
        <w:pStyle w:val="BodyText2"/>
        <w:numPr>
          <w:ilvl w:val="0"/>
          <w:numId w:val="12"/>
        </w:numPr>
        <w:spacing w:line="240" w:lineRule="atLeast"/>
        <w:ind w:left="2512" w:right="32" w:hanging="2092" w:leftChars="200" w:rightChars="15" w:hangingChars="996"/>
        <w:jc w:val="both"/>
        <w:rPr>
          <w:rFonts w:ascii="宋体" w:hAnsi="宋体" w:hint="eastAsia"/>
          <w:sz w:val="21"/>
          <w:szCs w:val="21"/>
        </w:rPr>
      </w:pPr>
      <w:r w:rsidRPr="00312655">
        <w:rPr>
          <w:rFonts w:ascii="宋体" w:hAnsi="宋体" w:hint="eastAsia"/>
          <w:sz w:val="21"/>
          <w:szCs w:val="21"/>
        </w:rPr>
        <w:t>在证券市场业务创新中，投资银行不断开拓新的业务，有效地控制了自身风险，客观上使金融市场更加活跃；</w:t>
      </w:r>
    </w:p>
    <w:p w:rsidR="00D34DF1" w:rsidRPr="00312655" w:rsidP="003C1ECF">
      <w:pPr>
        <w:pStyle w:val="BodyText2"/>
        <w:numPr>
          <w:ilvl w:val="0"/>
          <w:numId w:val="12"/>
        </w:numPr>
        <w:spacing w:line="240" w:lineRule="atLeast"/>
        <w:ind w:left="2512" w:right="32" w:hanging="2092" w:leftChars="200" w:rightChars="15" w:hangingChars="996"/>
        <w:jc w:val="both"/>
        <w:rPr>
          <w:rFonts w:ascii="宋体" w:hAnsi="宋体" w:hint="eastAsia"/>
          <w:sz w:val="21"/>
          <w:szCs w:val="21"/>
        </w:rPr>
      </w:pPr>
      <w:r w:rsidRPr="00312655">
        <w:rPr>
          <w:rFonts w:ascii="宋体" w:hAnsi="宋体" w:hint="eastAsia"/>
          <w:sz w:val="21"/>
          <w:szCs w:val="21"/>
        </w:rPr>
        <w:t>在建立市场游戏规则中，投资银行有利于证券市场的有序竞争和信息传播。</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p>
    <w:p w:rsidR="00D34DF1" w:rsidRPr="00312655" w:rsidP="00312655">
      <w:pPr>
        <w:pStyle w:val="BodyText2"/>
        <w:spacing w:line="240" w:lineRule="atLeast"/>
        <w:ind w:left="2512" w:right="32" w:hanging="2092" w:leftChars="200" w:rightChars="15" w:hangingChars="996"/>
        <w:jc w:val="both"/>
        <w:rPr>
          <w:rFonts w:ascii="宋体" w:hAnsi="宋体" w:hint="eastAsia"/>
          <w:color w:val="FF00FF"/>
          <w:sz w:val="21"/>
          <w:szCs w:val="21"/>
        </w:rPr>
      </w:pPr>
      <w:r w:rsidRPr="00312655" w:rsidR="0035694E">
        <w:rPr>
          <w:rFonts w:ascii="宋体" w:hAnsi="宋体"/>
          <w:color w:val="FF00FF"/>
          <w:sz w:val="21"/>
          <w:szCs w:val="21"/>
        </w:rPr>
        <w:fldChar w:fldCharType="begin" w:dirty="1"/>
      </w:r>
      <w:r w:rsidRPr="00312655" w:rsidR="0035694E">
        <w:rPr>
          <w:rFonts w:ascii="宋体" w:hAnsi="宋体"/>
          <w:color w:val="FF00FF"/>
          <w:sz w:val="21"/>
          <w:szCs w:val="21"/>
        </w:rPr>
        <w:instrText xml:space="preserve"> </w:instrText>
      </w:r>
      <w:r w:rsidRPr="00312655" w:rsidR="0035694E">
        <w:rPr>
          <w:rFonts w:ascii="宋体" w:hAnsi="宋体" w:hint="eastAsia"/>
          <w:color w:val="FF00FF"/>
          <w:sz w:val="21"/>
          <w:szCs w:val="21"/>
        </w:rPr>
        <w:instrText>= 3 \* GB3</w:instrText>
      </w:r>
      <w:r w:rsidRPr="00312655" w:rsidR="0035694E">
        <w:rPr>
          <w:rFonts w:ascii="宋体" w:hAnsi="宋体"/>
          <w:color w:val="FF00FF"/>
          <w:sz w:val="21"/>
          <w:szCs w:val="21"/>
        </w:rPr>
        <w:instrText xml:space="preserve"> </w:instrText>
      </w:r>
      <w:r w:rsidRPr="00312655" w:rsidR="0035694E">
        <w:rPr>
          <w:rFonts w:ascii="宋体" w:hAnsi="宋体"/>
          <w:color w:val="FF00FF"/>
          <w:sz w:val="21"/>
          <w:szCs w:val="21"/>
        </w:rPr>
        <w:fldChar w:fldCharType="separate"/>
      </w:r>
      <w:r w:rsidRPr="00312655" w:rsidR="0035694E">
        <w:rPr>
          <w:rFonts w:ascii="宋体" w:hAnsi="宋体" w:hint="eastAsia"/>
          <w:noProof/>
          <w:color w:val="FF00FF"/>
          <w:sz w:val="21"/>
          <w:szCs w:val="21"/>
        </w:rPr>
        <w:t>③</w:t>
      </w:r>
      <w:r w:rsidRPr="00312655" w:rsidR="0035694E">
        <w:rPr>
          <w:rFonts w:ascii="宋体" w:hAnsi="宋体"/>
          <w:color w:val="FF00FF"/>
          <w:sz w:val="21"/>
          <w:szCs w:val="21"/>
        </w:rPr>
        <w:fldChar w:fldCharType="end"/>
      </w:r>
      <w:r w:rsidRPr="00312655" w:rsidR="0035694E">
        <w:rPr>
          <w:rFonts w:ascii="宋体" w:hAnsi="宋体" w:hint="eastAsia"/>
          <w:color w:val="FF00FF"/>
          <w:sz w:val="21"/>
          <w:szCs w:val="21"/>
        </w:rPr>
        <w:t>优化资源配置</w:t>
      </w:r>
      <w:r w:rsidRPr="00312655" w:rsidR="00617CB8">
        <w:rPr>
          <w:rFonts w:ascii="宋体" w:hAnsi="宋体" w:hint="eastAsia"/>
          <w:color w:val="FF00FF"/>
          <w:sz w:val="21"/>
          <w:szCs w:val="21"/>
        </w:rPr>
        <w:t>：</w:t>
      </w:r>
    </w:p>
    <w:p w:rsidR="00D34DF1" w:rsidRPr="00312655" w:rsidP="00312655">
      <w:pPr>
        <w:pStyle w:val="BodyText2"/>
        <w:spacing w:line="240" w:lineRule="atLeast"/>
        <w:ind w:left="630" w:right="32" w:leftChars="300" w:rightChars="15"/>
        <w:jc w:val="both"/>
        <w:rPr>
          <w:rFonts w:ascii="宋体" w:hAnsi="宋体"/>
          <w:sz w:val="21"/>
          <w:szCs w:val="21"/>
        </w:rPr>
      </w:pPr>
      <w:r w:rsidRPr="00312655">
        <w:rPr>
          <w:rFonts w:ascii="宋体" w:hAnsi="宋体" w:hint="eastAsia"/>
          <w:sz w:val="21"/>
          <w:szCs w:val="21"/>
        </w:rPr>
        <w:t>投资银行是连接宏观经济决策与微观企业行为的枢纽，推动市场机制在资源配置中的基础作用。体现</w:t>
      </w:r>
      <w:r w:rsidRPr="00312655" w:rsidR="00CF0223">
        <w:rPr>
          <w:rFonts w:ascii="宋体" w:hAnsi="宋体" w:hint="eastAsia"/>
          <w:sz w:val="21"/>
          <w:szCs w:val="21"/>
        </w:rPr>
        <w:t>在</w:t>
      </w:r>
      <w:r w:rsidRPr="00312655">
        <w:rPr>
          <w:rFonts w:ascii="宋体" w:hAnsi="宋体" w:hint="eastAsia"/>
          <w:sz w:val="21"/>
          <w:szCs w:val="21"/>
        </w:rPr>
        <w:t>：</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r w:rsidRPr="00312655" w:rsidR="00CF0223">
        <w:rPr>
          <w:rFonts w:ascii="宋体" w:hAnsi="宋体" w:hint="eastAsia"/>
          <w:sz w:val="21"/>
          <w:szCs w:val="21"/>
        </w:rPr>
        <w:t>　（1）</w:t>
      </w:r>
      <w:r w:rsidRPr="00312655">
        <w:rPr>
          <w:rFonts w:ascii="宋体" w:hAnsi="宋体" w:hint="eastAsia"/>
          <w:sz w:val="21"/>
          <w:szCs w:val="21"/>
        </w:rPr>
        <w:t>投资银行通过其资金媒介作用促进了资源合理配置</w:t>
      </w:r>
    </w:p>
    <w:p w:rsidR="00D34DF1" w:rsidRPr="00312655" w:rsidP="00312655">
      <w:pPr>
        <w:pStyle w:val="BodyText2"/>
        <w:spacing w:line="240" w:lineRule="atLeast"/>
        <w:ind w:left="1155" w:right="32" w:hanging="525" w:leftChars="300" w:rightChars="15" w:hangingChars="250"/>
        <w:jc w:val="both"/>
        <w:rPr>
          <w:rFonts w:ascii="宋体" w:hAnsi="宋体" w:hint="eastAsia"/>
          <w:sz w:val="21"/>
          <w:szCs w:val="21"/>
        </w:rPr>
      </w:pPr>
      <w:r w:rsidRPr="00312655" w:rsidR="00CF0223">
        <w:rPr>
          <w:rFonts w:ascii="宋体" w:hAnsi="宋体" w:hint="eastAsia"/>
          <w:sz w:val="21"/>
          <w:szCs w:val="21"/>
        </w:rPr>
        <w:t>（2）</w:t>
      </w:r>
      <w:r w:rsidRPr="00312655">
        <w:rPr>
          <w:rFonts w:ascii="宋体" w:hAnsi="宋体" w:hint="eastAsia"/>
          <w:sz w:val="21"/>
          <w:szCs w:val="21"/>
        </w:rPr>
        <w:t>投资银行的股票、债券发行业务，不仅有助于企业产权结构，而且有助于完善企业治理结构</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r w:rsidRPr="00312655" w:rsidR="00CF0223">
        <w:rPr>
          <w:rFonts w:ascii="宋体" w:hAnsi="宋体" w:hint="eastAsia"/>
          <w:sz w:val="21"/>
          <w:szCs w:val="21"/>
        </w:rPr>
        <w:t>　（3）</w:t>
      </w:r>
      <w:r w:rsidRPr="00312655">
        <w:rPr>
          <w:rFonts w:ascii="宋体" w:hAnsi="宋体" w:hint="eastAsia"/>
          <w:sz w:val="21"/>
          <w:szCs w:val="21"/>
        </w:rPr>
        <w:t>投资银行的并购业务：促进了产业结构调整和生产的社会化；</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r w:rsidRPr="00312655" w:rsidR="00CF0223">
        <w:rPr>
          <w:rFonts w:ascii="宋体" w:hAnsi="宋体" w:hint="eastAsia"/>
          <w:sz w:val="21"/>
          <w:szCs w:val="21"/>
        </w:rPr>
        <w:t>　（4）</w:t>
      </w:r>
      <w:r w:rsidRPr="00312655">
        <w:rPr>
          <w:rFonts w:ascii="宋体" w:hAnsi="宋体" w:hint="eastAsia"/>
          <w:sz w:val="21"/>
          <w:szCs w:val="21"/>
        </w:rPr>
        <w:t>投资银行的基金管理业务：客观上促进了资本向更有效率、更有前途的产业和企业流动，而且使资金从所有者手中到需求者手中的过程缩短；</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r w:rsidRPr="00312655" w:rsidR="00CF0223">
        <w:rPr>
          <w:rFonts w:ascii="宋体" w:hAnsi="宋体" w:hint="eastAsia"/>
          <w:sz w:val="21"/>
          <w:szCs w:val="21"/>
        </w:rPr>
        <w:t>　（5）</w:t>
      </w:r>
      <w:r w:rsidRPr="00312655">
        <w:rPr>
          <w:rFonts w:ascii="宋体" w:hAnsi="宋体" w:hint="eastAsia"/>
          <w:sz w:val="21"/>
          <w:szCs w:val="21"/>
        </w:rPr>
        <w:t>投资银行的风险投资业务：促进了产业的升级换代和经济结构的进步。</w:t>
      </w:r>
    </w:p>
    <w:p w:rsidR="00D34DF1" w:rsidRPr="00312655" w:rsidP="00312655">
      <w:pPr>
        <w:pStyle w:val="BodyText2"/>
        <w:spacing w:line="240" w:lineRule="atLeast"/>
        <w:ind w:left="2512" w:right="32" w:hanging="2092" w:leftChars="200" w:rightChars="15" w:hangingChars="996"/>
        <w:jc w:val="both"/>
        <w:rPr>
          <w:rFonts w:ascii="宋体" w:hAnsi="宋体" w:hint="eastAsia"/>
          <w:sz w:val="21"/>
          <w:szCs w:val="21"/>
        </w:rPr>
      </w:pPr>
    </w:p>
    <w:p w:rsidR="00D34DF1" w:rsidRPr="00312655" w:rsidP="00312655">
      <w:pPr>
        <w:pStyle w:val="BodyText2"/>
        <w:spacing w:line="240" w:lineRule="atLeast"/>
        <w:ind w:left="2512" w:right="32" w:hanging="2092" w:leftChars="200" w:rightChars="15" w:hangingChars="996"/>
        <w:jc w:val="both"/>
        <w:rPr>
          <w:rFonts w:ascii="宋体" w:hAnsi="宋体" w:hint="eastAsia"/>
          <w:color w:val="FF00FF"/>
          <w:sz w:val="21"/>
          <w:szCs w:val="21"/>
        </w:rPr>
      </w:pPr>
      <w:r w:rsidRPr="00312655" w:rsidR="0035694E">
        <w:rPr>
          <w:rFonts w:ascii="宋体" w:hAnsi="宋体" w:hint="eastAsia"/>
          <w:color w:val="FF00FF"/>
          <w:sz w:val="21"/>
          <w:szCs w:val="21"/>
        </w:rPr>
        <w:t xml:space="preserve"> </w:t>
      </w:r>
      <w:r w:rsidRPr="00312655" w:rsidR="0035694E">
        <w:rPr>
          <w:rFonts w:ascii="宋体" w:hAnsi="宋体"/>
          <w:color w:val="FF00FF"/>
          <w:sz w:val="21"/>
          <w:szCs w:val="21"/>
        </w:rPr>
        <w:fldChar w:fldCharType="begin" w:dirty="1"/>
      </w:r>
      <w:r w:rsidRPr="00312655" w:rsidR="0035694E">
        <w:rPr>
          <w:rFonts w:ascii="宋体" w:hAnsi="宋体"/>
          <w:color w:val="FF00FF"/>
          <w:sz w:val="21"/>
          <w:szCs w:val="21"/>
        </w:rPr>
        <w:instrText xml:space="preserve"> </w:instrText>
      </w:r>
      <w:r w:rsidRPr="00312655" w:rsidR="0035694E">
        <w:rPr>
          <w:rFonts w:ascii="宋体" w:hAnsi="宋体" w:hint="eastAsia"/>
          <w:color w:val="FF00FF"/>
          <w:sz w:val="21"/>
          <w:szCs w:val="21"/>
        </w:rPr>
        <w:instrText>= 4 \* GB3</w:instrText>
      </w:r>
      <w:r w:rsidRPr="00312655" w:rsidR="0035694E">
        <w:rPr>
          <w:rFonts w:ascii="宋体" w:hAnsi="宋体"/>
          <w:color w:val="FF00FF"/>
          <w:sz w:val="21"/>
          <w:szCs w:val="21"/>
        </w:rPr>
        <w:instrText xml:space="preserve"> </w:instrText>
      </w:r>
      <w:r w:rsidRPr="00312655" w:rsidR="0035694E">
        <w:rPr>
          <w:rFonts w:ascii="宋体" w:hAnsi="宋体"/>
          <w:color w:val="FF00FF"/>
          <w:sz w:val="21"/>
          <w:szCs w:val="21"/>
        </w:rPr>
        <w:fldChar w:fldCharType="separate"/>
      </w:r>
      <w:r w:rsidRPr="00312655" w:rsidR="0035694E">
        <w:rPr>
          <w:rFonts w:ascii="宋体" w:hAnsi="宋体" w:hint="eastAsia"/>
          <w:noProof/>
          <w:color w:val="FF00FF"/>
          <w:sz w:val="21"/>
          <w:szCs w:val="21"/>
        </w:rPr>
        <w:t>④</w:t>
      </w:r>
      <w:r w:rsidRPr="00312655" w:rsidR="0035694E">
        <w:rPr>
          <w:rFonts w:ascii="宋体" w:hAnsi="宋体"/>
          <w:color w:val="FF00FF"/>
          <w:sz w:val="21"/>
          <w:szCs w:val="21"/>
        </w:rPr>
        <w:fldChar w:fldCharType="end"/>
      </w:r>
      <w:r w:rsidRPr="00312655" w:rsidR="0035694E">
        <w:rPr>
          <w:rFonts w:ascii="宋体" w:hAnsi="宋体" w:hint="eastAsia"/>
          <w:color w:val="FF00FF"/>
          <w:sz w:val="21"/>
          <w:szCs w:val="21"/>
        </w:rPr>
        <w:t>促进产业集中</w:t>
      </w:r>
    </w:p>
    <w:p w:rsidR="00D34DF1" w:rsidRPr="00312655" w:rsidP="00312655">
      <w:pPr>
        <w:pStyle w:val="BodyText2"/>
        <w:spacing w:before="156" w:beforeLines="50" w:line="240" w:lineRule="atLeast"/>
        <w:ind w:right="32" w:firstLine="630" w:rightChars="15" w:firstLineChars="300"/>
        <w:jc w:val="both"/>
        <w:rPr>
          <w:rFonts w:ascii="宋体" w:hAnsi="宋体"/>
          <w:sz w:val="21"/>
          <w:szCs w:val="21"/>
        </w:rPr>
      </w:pPr>
      <w:r w:rsidRPr="00312655">
        <w:rPr>
          <w:rFonts w:ascii="宋体" w:hAnsi="宋体" w:hint="eastAsia"/>
          <w:sz w:val="21"/>
          <w:szCs w:val="21"/>
        </w:rPr>
        <w:t>投资银行对产业集中的促进作用：</w:t>
      </w:r>
    </w:p>
    <w:p w:rsidR="00D34DF1"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sidR="008A6F4A">
        <w:rPr>
          <w:rFonts w:ascii="宋体" w:hAnsi="宋体" w:hint="eastAsia"/>
          <w:sz w:val="21"/>
          <w:szCs w:val="21"/>
        </w:rPr>
        <w:t>（1）</w:t>
      </w:r>
      <w:r w:rsidRPr="00312655">
        <w:rPr>
          <w:rFonts w:ascii="宋体" w:hAnsi="宋体" w:hint="eastAsia"/>
          <w:sz w:val="21"/>
          <w:szCs w:val="21"/>
        </w:rPr>
        <w:t>产业集中模式：</w:t>
      </w:r>
      <w:r w:rsidRPr="00312655" w:rsidR="008A6F4A">
        <w:rPr>
          <w:rFonts w:ascii="宋体" w:hAnsi="宋体" w:hint="eastAsia"/>
          <w:sz w:val="21"/>
          <w:szCs w:val="21"/>
        </w:rPr>
        <w:t>形成</w:t>
      </w:r>
      <w:r w:rsidRPr="00312655">
        <w:rPr>
          <w:rFonts w:ascii="宋体" w:hAnsi="宋体" w:hint="eastAsia"/>
          <w:sz w:val="21"/>
          <w:szCs w:val="21"/>
        </w:rPr>
        <w:t>优胜劣汰，并购导致产业集中，总体经济效率提高。</w:t>
      </w:r>
    </w:p>
    <w:p w:rsidR="0035694E"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sidR="008A6F4A">
        <w:rPr>
          <w:rFonts w:ascii="宋体" w:hAnsi="宋体" w:hint="eastAsia"/>
          <w:sz w:val="21"/>
          <w:szCs w:val="21"/>
        </w:rPr>
        <w:t>（2）</w:t>
      </w:r>
      <w:r w:rsidRPr="00312655" w:rsidR="00D34DF1">
        <w:rPr>
          <w:rFonts w:ascii="宋体" w:hAnsi="宋体" w:hint="eastAsia"/>
          <w:sz w:val="21"/>
          <w:szCs w:val="21"/>
        </w:rPr>
        <w:t>全球五次并购浪潮都离不开投资银行的主导。</w:t>
      </w:r>
    </w:p>
    <w:p w:rsidR="00712B57" w:rsidRPr="00312655" w:rsidP="003C1ECF">
      <w:pPr>
        <w:pStyle w:val="BodyText2"/>
        <w:numPr>
          <w:ilvl w:val="0"/>
          <w:numId w:val="1"/>
        </w:numPr>
        <w:spacing w:before="156" w:beforeLines="50" w:line="240" w:lineRule="atLeast"/>
        <w:ind w:right="32" w:rightChars="15"/>
        <w:jc w:val="both"/>
        <w:rPr>
          <w:rFonts w:ascii="宋体" w:hAnsi="宋体" w:hint="eastAsia"/>
          <w:sz w:val="21"/>
          <w:szCs w:val="21"/>
        </w:rPr>
      </w:pPr>
      <w:r w:rsidRPr="00312655" w:rsidR="00742F56">
        <w:rPr>
          <w:rFonts w:ascii="宋体" w:hAnsi="宋体" w:hint="eastAsia"/>
          <w:b/>
          <w:sz w:val="21"/>
          <w:szCs w:val="21"/>
        </w:rPr>
        <w:t>投资银行</w:t>
      </w:r>
      <w:r w:rsidRPr="00312655">
        <w:rPr>
          <w:rFonts w:ascii="宋体" w:hAnsi="宋体" w:hint="eastAsia"/>
          <w:b/>
          <w:sz w:val="21"/>
          <w:szCs w:val="21"/>
        </w:rPr>
        <w:t>在现代经济中的作用</w:t>
      </w:r>
      <w:r w:rsidRPr="00312655">
        <w:rPr>
          <w:rFonts w:ascii="宋体" w:hAnsi="宋体" w:hint="eastAsia"/>
          <w:sz w:val="21"/>
          <w:szCs w:val="21"/>
        </w:rPr>
        <w:t>。</w:t>
      </w:r>
    </w:p>
    <w:p w:rsidR="0035694E" w:rsidRPr="00312655" w:rsidP="00312655">
      <w:pPr>
        <w:pStyle w:val="BodyText2"/>
        <w:spacing w:before="156" w:beforeLines="50" w:line="240" w:lineRule="atLeast"/>
        <w:ind w:right="32" w:rightChars="15"/>
        <w:jc w:val="both"/>
        <w:rPr>
          <w:rFonts w:ascii="宋体" w:hAnsi="宋体"/>
          <w:color w:val="FF00FF"/>
          <w:sz w:val="21"/>
          <w:szCs w:val="21"/>
        </w:rPr>
      </w:pPr>
      <w:r w:rsidRPr="00312655">
        <w:rPr>
          <w:rFonts w:ascii="宋体" w:hAnsi="宋体" w:hint="eastAsia"/>
          <w:color w:val="FF00FF"/>
          <w:sz w:val="21"/>
          <w:szCs w:val="21"/>
        </w:rPr>
        <w:t>（</w:t>
      </w:r>
      <w:r w:rsidRPr="00312655">
        <w:rPr>
          <w:rFonts w:ascii="宋体" w:hAnsi="宋体"/>
          <w:color w:val="FF00FF"/>
          <w:sz w:val="21"/>
          <w:szCs w:val="21"/>
        </w:rPr>
        <w:t>1</w:t>
      </w:r>
      <w:r w:rsidRPr="00312655">
        <w:rPr>
          <w:rFonts w:ascii="宋体" w:hAnsi="宋体" w:hint="eastAsia"/>
          <w:color w:val="FF00FF"/>
          <w:sz w:val="21"/>
          <w:szCs w:val="21"/>
        </w:rPr>
        <w:t>）降低资源流失，促进经济增长</w:t>
      </w:r>
    </w:p>
    <w:p w:rsidR="0035694E" w:rsidRPr="00312655" w:rsidP="003C1ECF">
      <w:pPr>
        <w:pStyle w:val="BodyText2"/>
        <w:numPr>
          <w:ilvl w:val="0"/>
          <w:numId w:val="10"/>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资本市场发展，金融限制减少，将促进储蓄转化为投资，降低资源流失率，提高经济成长率。</w:t>
      </w:r>
    </w:p>
    <w:p w:rsidR="0035694E" w:rsidRPr="00312655" w:rsidP="00312655">
      <w:pPr>
        <w:pStyle w:val="BodyText2"/>
        <w:spacing w:before="156" w:beforeLines="50" w:line="240" w:lineRule="atLeast"/>
        <w:ind w:right="32" w:rightChars="15"/>
        <w:jc w:val="both"/>
        <w:rPr>
          <w:rFonts w:ascii="宋体" w:hAnsi="宋体"/>
          <w:color w:val="FF00FF"/>
          <w:sz w:val="21"/>
          <w:szCs w:val="21"/>
        </w:rPr>
      </w:pPr>
      <w:r w:rsidRPr="00312655">
        <w:rPr>
          <w:rFonts w:ascii="宋体" w:hAnsi="宋体" w:hint="eastAsia"/>
          <w:color w:val="FF00FF"/>
          <w:sz w:val="21"/>
          <w:szCs w:val="21"/>
        </w:rPr>
        <w:t>（</w:t>
      </w:r>
      <w:r w:rsidRPr="00312655">
        <w:rPr>
          <w:rFonts w:ascii="宋体" w:hAnsi="宋体"/>
          <w:color w:val="FF00FF"/>
          <w:sz w:val="21"/>
          <w:szCs w:val="21"/>
        </w:rPr>
        <w:t>2</w:t>
      </w:r>
      <w:r w:rsidRPr="00312655">
        <w:rPr>
          <w:rFonts w:ascii="宋体" w:hAnsi="宋体" w:hint="eastAsia"/>
          <w:color w:val="FF00FF"/>
          <w:sz w:val="21"/>
          <w:szCs w:val="21"/>
        </w:rPr>
        <w:t>）便利资金流动，降低金融风险</w:t>
      </w:r>
      <w:r w:rsidRPr="00312655" w:rsidR="00113615">
        <w:rPr>
          <w:rFonts w:ascii="宋体" w:hAnsi="宋体" w:hint="eastAsia"/>
          <w:color w:val="FF00FF"/>
          <w:sz w:val="21"/>
          <w:szCs w:val="21"/>
        </w:rPr>
        <w:t>.</w:t>
      </w:r>
    </w:p>
    <w:p w:rsidR="0035694E" w:rsidRPr="00312655" w:rsidP="003C1ECF">
      <w:pPr>
        <w:pStyle w:val="BodyText2"/>
        <w:numPr>
          <w:ilvl w:val="0"/>
          <w:numId w:val="11"/>
        </w:numPr>
        <w:spacing w:before="156" w:beforeLines="50" w:line="240" w:lineRule="atLeast"/>
        <w:ind w:left="714" w:right="32" w:hanging="357" w:rightChars="15"/>
        <w:jc w:val="both"/>
        <w:rPr>
          <w:rFonts w:ascii="宋体" w:hAnsi="宋体"/>
          <w:sz w:val="21"/>
          <w:szCs w:val="21"/>
        </w:rPr>
      </w:pPr>
      <w:r w:rsidRPr="00312655">
        <w:rPr>
          <w:rFonts w:ascii="宋体" w:hAnsi="宋体" w:hint="eastAsia"/>
          <w:sz w:val="21"/>
          <w:szCs w:val="21"/>
        </w:rPr>
        <w:t>提供价格发现机制和信息传递机制</w:t>
      </w:r>
    </w:p>
    <w:p w:rsidR="0035694E" w:rsidRPr="00312655" w:rsidP="003C1ECF">
      <w:pPr>
        <w:pStyle w:val="BodyText2"/>
        <w:numPr>
          <w:ilvl w:val="0"/>
          <w:numId w:val="11"/>
        </w:numPr>
        <w:spacing w:before="156" w:beforeLines="50" w:line="240" w:lineRule="atLeast"/>
        <w:ind w:left="714" w:right="32" w:hanging="357" w:rightChars="15"/>
        <w:jc w:val="both"/>
        <w:rPr>
          <w:rFonts w:ascii="宋体" w:hAnsi="宋体" w:hint="eastAsia"/>
          <w:sz w:val="21"/>
          <w:szCs w:val="21"/>
        </w:rPr>
      </w:pPr>
      <w:r w:rsidRPr="00312655">
        <w:rPr>
          <w:rFonts w:ascii="宋体" w:hAnsi="宋体" w:hint="eastAsia"/>
          <w:sz w:val="21"/>
          <w:szCs w:val="21"/>
        </w:rPr>
        <w:t>提供交易场所</w:t>
      </w:r>
    </w:p>
    <w:p w:rsidR="0035694E" w:rsidRPr="00312655" w:rsidP="003C1ECF">
      <w:pPr>
        <w:pStyle w:val="BodyText2"/>
        <w:numPr>
          <w:ilvl w:val="0"/>
          <w:numId w:val="11"/>
        </w:numPr>
        <w:spacing w:before="156" w:beforeLines="50" w:line="240" w:lineRule="atLeast"/>
        <w:ind w:left="714" w:right="32" w:hanging="357" w:rightChars="15"/>
        <w:jc w:val="both"/>
        <w:rPr>
          <w:rFonts w:ascii="宋体" w:hAnsi="宋体" w:hint="eastAsia"/>
          <w:sz w:val="21"/>
          <w:szCs w:val="21"/>
        </w:rPr>
      </w:pPr>
      <w:r w:rsidRPr="00312655">
        <w:rPr>
          <w:rFonts w:ascii="宋体" w:hAnsi="宋体" w:hint="eastAsia"/>
          <w:sz w:val="21"/>
          <w:szCs w:val="21"/>
        </w:rPr>
        <w:t>降低交易成本</w:t>
      </w:r>
    </w:p>
    <w:p w:rsidR="0035694E" w:rsidRPr="00312655" w:rsidP="003C1ECF">
      <w:pPr>
        <w:pStyle w:val="BodyText2"/>
        <w:numPr>
          <w:ilvl w:val="0"/>
          <w:numId w:val="11"/>
        </w:numPr>
        <w:spacing w:before="156" w:beforeLines="50" w:line="240" w:lineRule="atLeast"/>
        <w:ind w:left="714" w:right="32" w:hanging="357" w:rightChars="15"/>
        <w:jc w:val="both"/>
        <w:rPr>
          <w:rFonts w:ascii="宋体" w:hAnsi="宋体" w:hint="eastAsia"/>
          <w:sz w:val="21"/>
          <w:szCs w:val="21"/>
        </w:rPr>
      </w:pPr>
      <w:r w:rsidRPr="00312655">
        <w:rPr>
          <w:rFonts w:ascii="宋体" w:hAnsi="宋体" w:hint="eastAsia"/>
          <w:sz w:val="21"/>
          <w:szCs w:val="21"/>
        </w:rPr>
        <w:t>提供有效的分配风险的手段</w:t>
      </w:r>
    </w:p>
    <w:p w:rsidR="00660CD7" w:rsidRPr="00312655" w:rsidP="00312655">
      <w:pPr>
        <w:pStyle w:val="BodyText2"/>
        <w:spacing w:before="156" w:beforeLines="50" w:line="240" w:lineRule="atLeast"/>
        <w:ind w:right="32" w:rightChars="15"/>
        <w:jc w:val="both"/>
        <w:rPr>
          <w:rFonts w:ascii="宋体" w:hAnsi="宋体" w:hint="eastAsia"/>
          <w:sz w:val="21"/>
          <w:szCs w:val="21"/>
        </w:rPr>
      </w:pPr>
    </w:p>
    <w:p w:rsidR="00712B57" w:rsidRPr="00312655" w:rsidP="00312655">
      <w:pPr>
        <w:pStyle w:val="BodyText2"/>
        <w:spacing w:before="156" w:beforeLines="50" w:line="240" w:lineRule="atLeast"/>
        <w:ind w:right="32" w:rightChars="15"/>
        <w:jc w:val="both"/>
        <w:rPr>
          <w:rFonts w:ascii="宋体" w:hAnsi="宋体" w:hint="eastAsia"/>
          <w:color w:val="FF6600"/>
          <w:sz w:val="21"/>
          <w:szCs w:val="21"/>
        </w:rPr>
      </w:pPr>
      <w:r w:rsidRPr="00312655">
        <w:rPr>
          <w:rFonts w:ascii="宋体" w:hAnsi="宋体" w:hint="eastAsia"/>
          <w:color w:val="FF6600"/>
          <w:sz w:val="21"/>
          <w:szCs w:val="21"/>
        </w:rPr>
        <w:t>第二章</w:t>
      </w:r>
    </w:p>
    <w:p w:rsidR="00660CD7" w:rsidRPr="00312655" w:rsidP="00312655">
      <w:pPr>
        <w:pStyle w:val="BodyText2"/>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1．</w:t>
      </w:r>
      <w:r w:rsidRPr="00312655" w:rsidR="00712B57">
        <w:rPr>
          <w:rFonts w:ascii="宋体" w:hAnsi="宋体" w:hint="eastAsia"/>
          <w:b/>
          <w:sz w:val="21"/>
          <w:szCs w:val="21"/>
        </w:rPr>
        <w:t>了解美国和中国投资银行的发展历程</w:t>
      </w:r>
      <w:r w:rsidRPr="00312655">
        <w:rPr>
          <w:rFonts w:ascii="宋体" w:hAnsi="宋体" w:hint="eastAsia"/>
          <w:b/>
          <w:sz w:val="21"/>
          <w:szCs w:val="21"/>
        </w:rPr>
        <w:t>。</w:t>
      </w:r>
    </w:p>
    <w:p w:rsidR="008E0A99" w:rsidRPr="00312655" w:rsidP="00312655">
      <w:pPr>
        <w:pStyle w:val="BodyText2"/>
        <w:spacing w:before="156" w:beforeLines="50" w:line="240" w:lineRule="atLeast"/>
        <w:ind w:right="32" w:rightChars="15"/>
        <w:jc w:val="both"/>
        <w:rPr>
          <w:rFonts w:ascii="宋体" w:hAnsi="宋体"/>
          <w:sz w:val="21"/>
          <w:szCs w:val="21"/>
        </w:rPr>
        <w:sectPr>
          <w:type w:val="nextPage"/>
          <w:pgSz w:w="11906" w:h="16838"/>
          <w:pgMar w:top="1440" w:right="1800" w:bottom="1440" w:left="1800" w:header="851" w:footer="992" w:gutter="0"/>
          <w:pgNumType w:start="2"/>
          <w:cols w:space="425"/>
          <w:titlePg w:val="0"/>
          <w:docGrid w:type="lines" w:linePitch="312"/>
        </w:sectPr>
      </w:pPr>
      <w:r w:rsidRPr="00312655">
        <w:rPr>
          <w:rFonts w:ascii="宋体" w:hAnsi="宋体" w:hint="eastAsia"/>
          <w:b/>
          <w:sz w:val="21"/>
          <w:szCs w:val="21"/>
        </w:rPr>
        <w:t>美国</w:t>
      </w:r>
      <w:r w:rsidRPr="00312655">
        <w:rPr>
          <w:rFonts w:ascii="宋体" w:hAnsi="宋体" w:hint="eastAsia"/>
          <w:sz w:val="21"/>
          <w:szCs w:val="21"/>
        </w:rPr>
        <w:t>：</w:t>
      </w:r>
      <w:r w:rsidRPr="00312655">
        <w:rPr>
          <w:rFonts w:ascii="宋体" w:hAnsi="宋体"/>
          <w:sz w:val="21"/>
          <w:szCs w:val="21"/>
        </w:rPr>
        <w:t>1</w:t>
      </w:r>
      <w:r w:rsidRPr="00312655">
        <w:rPr>
          <w:rFonts w:ascii="宋体" w:hAnsi="宋体" w:hint="eastAsia"/>
          <w:sz w:val="21"/>
          <w:szCs w:val="21"/>
        </w:rPr>
        <w:t>、《格拉斯</w:t>
      </w:r>
      <w:r w:rsidRPr="00312655">
        <w:rPr>
          <w:rFonts w:ascii="宋体" w:hAnsi="宋体"/>
          <w:sz w:val="21"/>
          <w:szCs w:val="21"/>
        </w:rPr>
        <w:t>·</w:t>
      </w:r>
      <w:r w:rsidRPr="00312655">
        <w:rPr>
          <w:rFonts w:ascii="宋体" w:hAnsi="宋体" w:hint="eastAsia"/>
          <w:sz w:val="21"/>
          <w:szCs w:val="21"/>
        </w:rPr>
        <w:t>斯蒂格尔法》之前的投资银行</w:t>
      </w:r>
    </w:p>
    <w:p w:rsidR="008E0A99" w:rsidRPr="00312655" w:rsidP="003C1ECF">
      <w:pPr>
        <w:pStyle w:val="BodyText2"/>
        <w:numPr>
          <w:ilvl w:val="0"/>
          <w:numId w:val="13"/>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自然混业经营阶段：</w:t>
      </w:r>
    </w:p>
    <w:p w:rsidR="008E0A99"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商业银行特别是州银行和私人银行都兼营银行和投资银行业务；</w:t>
      </w:r>
    </w:p>
    <w:p w:rsidR="008E0A99"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w:t>
      </w:r>
      <w:r w:rsidRPr="00312655">
        <w:rPr>
          <w:rFonts w:ascii="宋体" w:hAnsi="宋体"/>
          <w:sz w:val="21"/>
          <w:szCs w:val="21"/>
        </w:rPr>
        <w:t>1864</w:t>
      </w:r>
      <w:r w:rsidRPr="00312655">
        <w:rPr>
          <w:rFonts w:ascii="宋体" w:hAnsi="宋体" w:hint="eastAsia"/>
          <w:sz w:val="21"/>
          <w:szCs w:val="21"/>
        </w:rPr>
        <w:t>年颁布的《国民银行法》（</w:t>
      </w:r>
      <w:r w:rsidRPr="00312655">
        <w:rPr>
          <w:rFonts w:ascii="宋体" w:hAnsi="宋体"/>
          <w:sz w:val="21"/>
          <w:szCs w:val="21"/>
        </w:rPr>
        <w:t>National Banking Act</w:t>
      </w:r>
      <w:r w:rsidRPr="00312655">
        <w:rPr>
          <w:rFonts w:ascii="宋体" w:hAnsi="宋体" w:hint="eastAsia"/>
          <w:sz w:val="21"/>
          <w:szCs w:val="21"/>
        </w:rPr>
        <w:t>）禁止国民银行进入证券市场。</w:t>
      </w:r>
    </w:p>
    <w:p w:rsidR="008E0A99"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w:t>
      </w:r>
      <w:r w:rsidRPr="00312655">
        <w:rPr>
          <w:rFonts w:ascii="宋体" w:hAnsi="宋体"/>
          <w:sz w:val="21"/>
          <w:szCs w:val="21"/>
        </w:rPr>
        <w:t>2</w:t>
      </w:r>
      <w:r w:rsidRPr="00312655">
        <w:rPr>
          <w:rFonts w:ascii="宋体" w:hAnsi="宋体" w:hint="eastAsia"/>
          <w:sz w:val="21"/>
          <w:szCs w:val="21"/>
        </w:rPr>
        <w:t>）</w:t>
      </w:r>
      <w:r w:rsidRPr="00312655">
        <w:rPr>
          <w:rFonts w:ascii="宋体" w:hAnsi="宋体"/>
          <w:sz w:val="21"/>
          <w:szCs w:val="21"/>
        </w:rPr>
        <w:t>20</w:t>
      </w:r>
      <w:r w:rsidRPr="00312655">
        <w:rPr>
          <w:rFonts w:ascii="宋体" w:hAnsi="宋体" w:hint="eastAsia"/>
          <w:sz w:val="21"/>
          <w:szCs w:val="21"/>
        </w:rPr>
        <w:t>世纪</w:t>
      </w:r>
      <w:r w:rsidRPr="00312655">
        <w:rPr>
          <w:rFonts w:ascii="宋体" w:hAnsi="宋体"/>
          <w:sz w:val="21"/>
          <w:szCs w:val="21"/>
        </w:rPr>
        <w:t>20</w:t>
      </w:r>
      <w:r w:rsidRPr="00312655">
        <w:rPr>
          <w:rFonts w:ascii="宋体" w:hAnsi="宋体" w:hint="eastAsia"/>
          <w:sz w:val="21"/>
          <w:szCs w:val="21"/>
        </w:rPr>
        <w:t>年代的繁荣</w:t>
      </w:r>
    </w:p>
    <w:p w:rsidR="008E0A99" w:rsidRPr="00312655" w:rsidP="003C1ECF">
      <w:pPr>
        <w:pStyle w:val="BodyText2"/>
        <w:numPr>
          <w:ilvl w:val="0"/>
          <w:numId w:val="14"/>
        </w:numPr>
        <w:spacing w:before="156" w:beforeLines="50" w:line="240" w:lineRule="atLeast"/>
        <w:ind w:right="32" w:rightChars="15"/>
        <w:jc w:val="both"/>
        <w:rPr>
          <w:rFonts w:ascii="宋体" w:hAnsi="宋体" w:hint="eastAsia"/>
          <w:sz w:val="21"/>
          <w:szCs w:val="21"/>
        </w:rPr>
      </w:pPr>
      <w:r w:rsidRPr="00312655">
        <w:rPr>
          <w:rFonts w:ascii="宋体" w:hAnsi="宋体"/>
          <w:sz w:val="21"/>
          <w:szCs w:val="21"/>
        </w:rPr>
        <w:t>1927</w:t>
      </w:r>
      <w:r w:rsidRPr="00312655">
        <w:rPr>
          <w:rFonts w:ascii="宋体" w:hAnsi="宋体" w:hint="eastAsia"/>
          <w:sz w:val="21"/>
          <w:szCs w:val="21"/>
        </w:rPr>
        <w:t>年</w:t>
      </w:r>
      <w:r w:rsidRPr="00312655">
        <w:rPr>
          <w:rFonts w:ascii="宋体" w:hAnsi="宋体" w:hint="eastAsia"/>
          <w:color w:val="FF00FF"/>
          <w:sz w:val="21"/>
          <w:szCs w:val="21"/>
        </w:rPr>
        <w:t>《麦克法登法》</w:t>
      </w:r>
      <w:r w:rsidRPr="00312655">
        <w:rPr>
          <w:rFonts w:ascii="宋体" w:hAnsi="宋体" w:hint="eastAsia"/>
          <w:sz w:val="21"/>
          <w:szCs w:val="21"/>
        </w:rPr>
        <w:t>（</w:t>
      </w:r>
      <w:r w:rsidRPr="00312655">
        <w:rPr>
          <w:rFonts w:ascii="宋体" w:hAnsi="宋体"/>
          <w:sz w:val="21"/>
          <w:szCs w:val="21"/>
        </w:rPr>
        <w:t>The Mcfadden Act</w:t>
      </w:r>
      <w:r w:rsidRPr="00312655">
        <w:rPr>
          <w:rFonts w:ascii="宋体" w:hAnsi="宋体" w:hint="eastAsia"/>
          <w:sz w:val="21"/>
          <w:szCs w:val="21"/>
        </w:rPr>
        <w:t>）使商业银行的分支机构涉足承销领域</w:t>
      </w:r>
    </w:p>
    <w:p w:rsidR="008E0A99" w:rsidRPr="00312655" w:rsidP="003C1ECF">
      <w:pPr>
        <w:pStyle w:val="BodyText2"/>
        <w:numPr>
          <w:ilvl w:val="0"/>
          <w:numId w:val="14"/>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商业银行主要开展经纪人业务和向客户提供保证金贷款，大量商业银行资金进入股市。</w:t>
      </w:r>
    </w:p>
    <w:p w:rsidR="00A94882" w:rsidRPr="00312655" w:rsidP="003C1ECF">
      <w:pPr>
        <w:pStyle w:val="BodyText2"/>
        <w:numPr>
          <w:ilvl w:val="0"/>
          <w:numId w:val="46"/>
        </w:numPr>
        <w:spacing w:before="156" w:beforeLines="50" w:line="240" w:lineRule="atLeast"/>
        <w:ind w:right="32" w:rightChars="15"/>
        <w:jc w:val="both"/>
        <w:rPr>
          <w:rFonts w:ascii="宋体" w:hAnsi="宋体"/>
          <w:sz w:val="21"/>
          <w:szCs w:val="21"/>
        </w:rPr>
      </w:pPr>
      <w:r w:rsidRPr="00312655" w:rsidR="00615BC2">
        <w:rPr>
          <w:rFonts w:ascii="宋体" w:hAnsi="宋体" w:hint="eastAsia"/>
          <w:sz w:val="21"/>
          <w:szCs w:val="21"/>
        </w:rPr>
        <w:t>　　</w:t>
      </w:r>
      <w:r w:rsidRPr="00312655">
        <w:rPr>
          <w:rFonts w:ascii="宋体" w:hAnsi="宋体"/>
          <w:sz w:val="21"/>
          <w:szCs w:val="21"/>
        </w:rPr>
        <w:t>1</w:t>
      </w:r>
      <w:r w:rsidRPr="00312655">
        <w:rPr>
          <w:rFonts w:ascii="宋体" w:hAnsi="宋体" w:hint="eastAsia"/>
          <w:sz w:val="21"/>
          <w:szCs w:val="21"/>
        </w:rPr>
        <w:t>933年《证券法》：确立了信息披露制度：证券发行公司在销售证券前需在联邦贸易委员会（</w:t>
      </w:r>
      <w:r w:rsidRPr="00312655">
        <w:rPr>
          <w:rFonts w:ascii="宋体" w:hAnsi="宋体"/>
          <w:sz w:val="21"/>
          <w:szCs w:val="21"/>
        </w:rPr>
        <w:t>FTC</w:t>
      </w:r>
      <w:r w:rsidRPr="00312655">
        <w:rPr>
          <w:rFonts w:ascii="宋体" w:hAnsi="宋体" w:hint="eastAsia"/>
          <w:sz w:val="21"/>
          <w:szCs w:val="21"/>
        </w:rPr>
        <w:t>）登记注册；承销商承担见证责任。</w:t>
      </w:r>
    </w:p>
    <w:p w:rsidR="00615BC2" w:rsidRPr="00312655" w:rsidP="00312655">
      <w:pPr>
        <w:pStyle w:val="BodyText2"/>
        <w:spacing w:before="156" w:beforeLines="50" w:line="240" w:lineRule="atLeast"/>
        <w:ind w:right="32" w:rightChars="15"/>
        <w:jc w:val="both"/>
        <w:rPr>
          <w:rFonts w:ascii="宋体" w:hAnsi="宋体" w:hint="eastAsia"/>
          <w:sz w:val="21"/>
          <w:szCs w:val="21"/>
        </w:rPr>
      </w:pPr>
      <w:r w:rsidRPr="00312655" w:rsidR="00A94882">
        <w:rPr>
          <w:rFonts w:ascii="宋体" w:hAnsi="宋体" w:hint="eastAsia"/>
          <w:sz w:val="21"/>
          <w:szCs w:val="21"/>
        </w:rPr>
        <w:t>　　确立了</w:t>
      </w:r>
      <w:r w:rsidRPr="00312655" w:rsidR="00A94882">
        <w:rPr>
          <w:rFonts w:ascii="宋体" w:hAnsi="宋体" w:hint="eastAsia"/>
          <w:sz w:val="21"/>
          <w:szCs w:val="21"/>
        </w:rPr>
        <w:t>“</w:t>
      </w:r>
      <w:r w:rsidRPr="00312655" w:rsidR="00A94882">
        <w:rPr>
          <w:rFonts w:ascii="宋体" w:hAnsi="宋体" w:hint="eastAsia"/>
          <w:sz w:val="21"/>
          <w:szCs w:val="21"/>
        </w:rPr>
        <w:t>申请禁止期</w:t>
      </w:r>
      <w:r w:rsidRPr="00312655" w:rsidR="00A94882">
        <w:rPr>
          <w:rFonts w:ascii="宋体" w:hAnsi="宋体" w:hint="eastAsia"/>
          <w:sz w:val="21"/>
          <w:szCs w:val="21"/>
        </w:rPr>
        <w:t>”</w:t>
      </w:r>
      <w:r w:rsidRPr="00312655" w:rsidR="00A94882">
        <w:rPr>
          <w:rFonts w:ascii="宋体" w:hAnsi="宋体" w:hint="eastAsia"/>
          <w:sz w:val="21"/>
          <w:szCs w:val="21"/>
        </w:rPr>
        <w:t>注册方法：证券发行登记需经</w:t>
      </w:r>
      <w:r w:rsidRPr="00312655" w:rsidR="00A94882">
        <w:rPr>
          <w:rFonts w:ascii="宋体" w:hAnsi="宋体"/>
          <w:sz w:val="21"/>
          <w:szCs w:val="21"/>
        </w:rPr>
        <w:t>3</w:t>
      </w:r>
      <w:r w:rsidRPr="00312655" w:rsidR="00A94882">
        <w:rPr>
          <w:rFonts w:ascii="宋体" w:hAnsi="宋体" w:hint="eastAsia"/>
          <w:sz w:val="21"/>
          <w:szCs w:val="21"/>
        </w:rPr>
        <w:t>个月的观察。</w:t>
      </w:r>
    </w:p>
    <w:p w:rsidR="00615BC2" w:rsidRPr="00312655" w:rsidP="003C1ECF">
      <w:pPr>
        <w:pStyle w:val="BodyText2"/>
        <w:numPr>
          <w:ilvl w:val="0"/>
          <w:numId w:val="15"/>
        </w:numPr>
        <w:spacing w:before="156" w:beforeLines="50" w:line="240" w:lineRule="atLeast"/>
        <w:ind w:right="32" w:rightChars="15"/>
        <w:jc w:val="both"/>
        <w:rPr>
          <w:rFonts w:ascii="宋体" w:hAnsi="宋体" w:hint="eastAsia"/>
          <w:sz w:val="21"/>
          <w:szCs w:val="21"/>
        </w:rPr>
      </w:pPr>
      <w:r w:rsidRPr="00312655">
        <w:rPr>
          <w:rFonts w:ascii="宋体" w:hAnsi="宋体"/>
          <w:sz w:val="21"/>
          <w:szCs w:val="21"/>
        </w:rPr>
        <w:t>1933</w:t>
      </w:r>
      <w:r w:rsidRPr="00312655">
        <w:rPr>
          <w:rFonts w:ascii="宋体" w:hAnsi="宋体" w:hint="eastAsia"/>
          <w:sz w:val="21"/>
          <w:szCs w:val="21"/>
        </w:rPr>
        <w:t>年《银行法》</w:t>
      </w:r>
      <w:r w:rsidRPr="00312655">
        <w:rPr>
          <w:rFonts w:ascii="宋体" w:hAnsi="宋体"/>
          <w:sz w:val="21"/>
          <w:szCs w:val="21"/>
        </w:rPr>
        <w:t>(</w:t>
      </w:r>
      <w:r w:rsidRPr="00312655">
        <w:rPr>
          <w:rFonts w:ascii="宋体" w:hAnsi="宋体" w:hint="eastAsia"/>
          <w:color w:val="FF00FF"/>
          <w:sz w:val="21"/>
          <w:szCs w:val="21"/>
        </w:rPr>
        <w:t>《格拉斯</w:t>
      </w:r>
      <w:r w:rsidRPr="00312655">
        <w:rPr>
          <w:rFonts w:ascii="宋体" w:hAnsi="宋体"/>
          <w:color w:val="FF00FF"/>
          <w:sz w:val="21"/>
          <w:szCs w:val="21"/>
        </w:rPr>
        <w:t>·</w:t>
      </w:r>
      <w:r w:rsidRPr="00312655">
        <w:rPr>
          <w:rFonts w:ascii="宋体" w:hAnsi="宋体" w:hint="eastAsia"/>
          <w:color w:val="FF00FF"/>
          <w:sz w:val="21"/>
          <w:szCs w:val="21"/>
        </w:rPr>
        <w:t>斯蒂格尔法》</w:t>
      </w:r>
      <w:r w:rsidRPr="00312655">
        <w:rPr>
          <w:rFonts w:ascii="宋体" w:hAnsi="宋体"/>
          <w:sz w:val="21"/>
          <w:szCs w:val="21"/>
        </w:rPr>
        <w:t>)</w:t>
      </w:r>
      <w:r w:rsidRPr="00312655">
        <w:rPr>
          <w:rFonts w:ascii="宋体" w:hAnsi="宋体" w:hint="eastAsia"/>
          <w:sz w:val="21"/>
          <w:szCs w:val="21"/>
        </w:rPr>
        <w:t>：投资银行和商业银行开始分离，禁止商业银行从事投资银行业务；</w:t>
      </w:r>
    </w:p>
    <w:p w:rsidR="007B654F" w:rsidRPr="00312655" w:rsidP="003C1ECF">
      <w:pPr>
        <w:pStyle w:val="BodyText2"/>
        <w:numPr>
          <w:ilvl w:val="0"/>
          <w:numId w:val="47"/>
        </w:numPr>
        <w:spacing w:before="156" w:beforeLines="50" w:line="240" w:lineRule="atLeast"/>
        <w:ind w:right="32" w:rightChars="15"/>
        <w:jc w:val="both"/>
        <w:rPr>
          <w:rFonts w:ascii="宋体" w:hAnsi="宋体"/>
          <w:sz w:val="21"/>
          <w:szCs w:val="21"/>
        </w:rPr>
      </w:pPr>
      <w:r w:rsidRPr="00312655">
        <w:rPr>
          <w:rFonts w:ascii="宋体" w:hAnsi="宋体"/>
          <w:sz w:val="21"/>
          <w:szCs w:val="21"/>
        </w:rPr>
        <w:t>1934</w:t>
      </w:r>
      <w:r w:rsidRPr="00312655">
        <w:rPr>
          <w:rFonts w:ascii="宋体" w:hAnsi="宋体" w:hint="eastAsia"/>
          <w:sz w:val="21"/>
          <w:szCs w:val="21"/>
        </w:rPr>
        <w:t>年《证券交易法》：对一级市场和二级市场进行进一步规范；证券交易委员会负责证券发行注册，并管理证券交易所。</w:t>
      </w:r>
    </w:p>
    <w:p w:rsidR="00F62FF2" w:rsidRPr="00312655" w:rsidP="003C1ECF">
      <w:pPr>
        <w:pStyle w:val="BodyText2"/>
        <w:numPr>
          <w:ilvl w:val="0"/>
          <w:numId w:val="48"/>
        </w:numPr>
        <w:spacing w:before="156" w:beforeLines="50" w:line="240" w:lineRule="atLeast"/>
        <w:ind w:right="32" w:rightChars="15"/>
        <w:jc w:val="both"/>
        <w:rPr>
          <w:rFonts w:ascii="宋体" w:hAnsi="宋体"/>
          <w:sz w:val="21"/>
          <w:szCs w:val="21"/>
        </w:rPr>
      </w:pPr>
      <w:r w:rsidRPr="00312655" w:rsidR="007B654F">
        <w:rPr>
          <w:rFonts w:ascii="宋体" w:hAnsi="宋体"/>
          <w:sz w:val="21"/>
          <w:szCs w:val="21"/>
        </w:rPr>
        <w:t>1937</w:t>
      </w:r>
      <w:r w:rsidRPr="00312655" w:rsidR="007B654F">
        <w:rPr>
          <w:rFonts w:ascii="宋体" w:hAnsi="宋体" w:hint="eastAsia"/>
          <w:sz w:val="21"/>
          <w:szCs w:val="21"/>
        </w:rPr>
        <w:t>年成立全国证券交易商协会（</w:t>
      </w:r>
      <w:r w:rsidRPr="00312655" w:rsidR="007B654F">
        <w:rPr>
          <w:rFonts w:ascii="宋体" w:hAnsi="宋体"/>
          <w:sz w:val="21"/>
          <w:szCs w:val="21"/>
        </w:rPr>
        <w:t>NASD</w:t>
      </w:r>
      <w:r w:rsidRPr="00312655" w:rsidR="007B654F">
        <w:rPr>
          <w:rFonts w:ascii="宋体" w:hAnsi="宋体" w:hint="eastAsia"/>
          <w:sz w:val="21"/>
          <w:szCs w:val="21"/>
        </w:rPr>
        <w:t>），规定交易所规则和手续适用于场外市场。</w:t>
      </w:r>
    </w:p>
    <w:p w:rsidR="00615BC2" w:rsidRPr="00312655" w:rsidP="00312655">
      <w:pPr>
        <w:pStyle w:val="BodyText2"/>
        <w:spacing w:before="156" w:beforeLines="50" w:line="240" w:lineRule="atLeast"/>
        <w:ind w:right="32" w:firstLine="480" w:rightChars="15"/>
        <w:jc w:val="both"/>
        <w:rPr>
          <w:rFonts w:ascii="宋体" w:hAnsi="宋体" w:hint="eastAsia"/>
          <w:b/>
          <w:sz w:val="21"/>
          <w:szCs w:val="21"/>
        </w:rPr>
      </w:pPr>
    </w:p>
    <w:p w:rsidR="00615BC2"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b/>
          <w:sz w:val="21"/>
          <w:szCs w:val="21"/>
        </w:rPr>
        <w:t>中国</w:t>
      </w:r>
      <w:r w:rsidRPr="00312655">
        <w:rPr>
          <w:rFonts w:ascii="宋体" w:hAnsi="宋体" w:hint="eastAsia"/>
          <w:sz w:val="21"/>
          <w:szCs w:val="21"/>
        </w:rPr>
        <w:t>投资银行业的发展历程</w:t>
      </w:r>
    </w:p>
    <w:p w:rsidR="00615BC2"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w:t>
      </w:r>
      <w:r w:rsidRPr="00312655">
        <w:rPr>
          <w:rFonts w:ascii="宋体" w:hAnsi="宋体"/>
          <w:sz w:val="21"/>
          <w:szCs w:val="21"/>
        </w:rPr>
        <w:t>1</w:t>
      </w:r>
      <w:r w:rsidRPr="00312655">
        <w:rPr>
          <w:rFonts w:ascii="宋体" w:hAnsi="宋体" w:hint="eastAsia"/>
          <w:sz w:val="21"/>
          <w:szCs w:val="21"/>
        </w:rPr>
        <w:t>）投资银行主体</w:t>
      </w:r>
    </w:p>
    <w:p w:rsidR="00615BC2" w:rsidRPr="00312655" w:rsidP="003C1ECF">
      <w:pPr>
        <w:pStyle w:val="BodyText2"/>
        <w:numPr>
          <w:ilvl w:val="0"/>
          <w:numId w:val="16"/>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投资银行业务由四家专业银行和一些大的信托投资公司下设的营业网点和经营机构承办，兼营证券业务的信托投资公司是投资银行主体。</w:t>
      </w:r>
    </w:p>
    <w:p w:rsidR="00615BC2" w:rsidRPr="00312655" w:rsidP="003C1ECF">
      <w:pPr>
        <w:pStyle w:val="BodyText2"/>
        <w:numPr>
          <w:ilvl w:val="0"/>
          <w:numId w:val="16"/>
        </w:numPr>
        <w:spacing w:before="156" w:beforeLines="50" w:line="240" w:lineRule="atLeast"/>
        <w:ind w:right="32" w:rightChars="15"/>
        <w:jc w:val="both"/>
        <w:rPr>
          <w:rFonts w:ascii="宋体" w:hAnsi="宋体" w:hint="eastAsia"/>
          <w:sz w:val="21"/>
          <w:szCs w:val="21"/>
        </w:rPr>
      </w:pPr>
      <w:r w:rsidRPr="00312655">
        <w:rPr>
          <w:rFonts w:ascii="宋体" w:hAnsi="宋体"/>
          <w:sz w:val="21"/>
          <w:szCs w:val="21"/>
        </w:rPr>
        <w:t>1987</w:t>
      </w:r>
      <w:r w:rsidRPr="00312655">
        <w:rPr>
          <w:rFonts w:ascii="宋体" w:hAnsi="宋体" w:hint="eastAsia"/>
          <w:sz w:val="21"/>
          <w:szCs w:val="21"/>
        </w:rPr>
        <w:t>年</w:t>
      </w:r>
      <w:r w:rsidRPr="00312655">
        <w:rPr>
          <w:rFonts w:ascii="宋体" w:hAnsi="宋体"/>
          <w:sz w:val="21"/>
          <w:szCs w:val="21"/>
        </w:rPr>
        <w:t>9</w:t>
      </w:r>
      <w:r w:rsidRPr="00312655">
        <w:rPr>
          <w:rFonts w:ascii="宋体" w:hAnsi="宋体" w:hint="eastAsia"/>
          <w:sz w:val="21"/>
          <w:szCs w:val="21"/>
        </w:rPr>
        <w:t>月，</w:t>
      </w:r>
      <w:r w:rsidRPr="00312655">
        <w:rPr>
          <w:rFonts w:ascii="宋体" w:hAnsi="宋体" w:hint="eastAsia"/>
          <w:color w:val="FF00FF"/>
          <w:sz w:val="21"/>
          <w:szCs w:val="21"/>
        </w:rPr>
        <w:t>第一家投资银行</w:t>
      </w:r>
      <w:r w:rsidRPr="00312655">
        <w:rPr>
          <w:rFonts w:ascii="宋体" w:hAnsi="宋体"/>
          <w:color w:val="FF00FF"/>
          <w:sz w:val="21"/>
          <w:szCs w:val="21"/>
        </w:rPr>
        <w:t>——</w:t>
      </w:r>
      <w:r w:rsidRPr="00312655">
        <w:rPr>
          <w:rFonts w:ascii="宋体" w:hAnsi="宋体" w:hint="eastAsia"/>
          <w:color w:val="FF00FF"/>
          <w:sz w:val="21"/>
          <w:szCs w:val="21"/>
        </w:rPr>
        <w:t>深圳经济特区证券公司成立</w:t>
      </w:r>
      <w:r w:rsidRPr="00312655">
        <w:rPr>
          <w:rFonts w:ascii="宋体" w:hAnsi="宋体" w:hint="eastAsia"/>
          <w:sz w:val="21"/>
          <w:szCs w:val="21"/>
        </w:rPr>
        <w:t>。</w:t>
      </w:r>
    </w:p>
    <w:p w:rsidR="00615BC2" w:rsidRPr="00312655" w:rsidP="003C1ECF">
      <w:pPr>
        <w:pStyle w:val="BodyText2"/>
        <w:numPr>
          <w:ilvl w:val="0"/>
          <w:numId w:val="16"/>
        </w:numPr>
        <w:spacing w:before="156" w:beforeLines="50" w:line="240" w:lineRule="atLeast"/>
        <w:ind w:right="32" w:rightChars="15"/>
        <w:jc w:val="both"/>
        <w:rPr>
          <w:rFonts w:ascii="宋体" w:hAnsi="宋体" w:hint="eastAsia"/>
          <w:sz w:val="21"/>
          <w:szCs w:val="21"/>
        </w:rPr>
      </w:pPr>
      <w:r w:rsidRPr="00312655">
        <w:rPr>
          <w:rFonts w:ascii="宋体" w:hAnsi="宋体"/>
          <w:sz w:val="21"/>
          <w:szCs w:val="21"/>
        </w:rPr>
        <w:t>1988</w:t>
      </w:r>
      <w:r w:rsidRPr="00312655">
        <w:rPr>
          <w:rFonts w:ascii="宋体" w:hAnsi="宋体" w:hint="eastAsia"/>
          <w:sz w:val="21"/>
          <w:szCs w:val="21"/>
        </w:rPr>
        <w:t>年</w:t>
      </w:r>
      <w:r w:rsidRPr="00312655">
        <w:rPr>
          <w:rFonts w:ascii="宋体" w:hAnsi="宋体"/>
          <w:sz w:val="21"/>
          <w:szCs w:val="21"/>
        </w:rPr>
        <w:t>7</w:t>
      </w:r>
      <w:r w:rsidRPr="00312655">
        <w:rPr>
          <w:rFonts w:ascii="宋体" w:hAnsi="宋体" w:hint="eastAsia"/>
          <w:sz w:val="21"/>
          <w:szCs w:val="21"/>
        </w:rPr>
        <w:t>月，</w:t>
      </w:r>
      <w:r w:rsidRPr="00312655">
        <w:rPr>
          <w:rFonts w:ascii="宋体" w:hAnsi="宋体" w:hint="eastAsia"/>
          <w:color w:val="FF00FF"/>
          <w:sz w:val="21"/>
          <w:szCs w:val="21"/>
        </w:rPr>
        <w:t>首家股份制投资银行</w:t>
      </w:r>
      <w:r w:rsidRPr="00312655">
        <w:rPr>
          <w:rFonts w:ascii="宋体" w:hAnsi="宋体"/>
          <w:color w:val="FF00FF"/>
          <w:sz w:val="21"/>
          <w:szCs w:val="21"/>
        </w:rPr>
        <w:t>——</w:t>
      </w:r>
      <w:r w:rsidRPr="00312655">
        <w:rPr>
          <w:rFonts w:ascii="宋体" w:hAnsi="宋体" w:hint="eastAsia"/>
          <w:color w:val="FF00FF"/>
          <w:sz w:val="21"/>
          <w:szCs w:val="21"/>
        </w:rPr>
        <w:t>上海万国证券公司</w:t>
      </w:r>
      <w:r w:rsidRPr="00312655">
        <w:rPr>
          <w:rFonts w:ascii="宋体" w:hAnsi="宋体" w:hint="eastAsia"/>
          <w:sz w:val="21"/>
          <w:szCs w:val="21"/>
        </w:rPr>
        <w:t>成立。</w:t>
      </w:r>
    </w:p>
    <w:p w:rsidR="00615BC2"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sz w:val="21"/>
          <w:szCs w:val="21"/>
        </w:rPr>
        <w:t>2</w:t>
      </w:r>
      <w:r w:rsidRPr="00312655">
        <w:rPr>
          <w:rFonts w:ascii="宋体" w:hAnsi="宋体" w:hint="eastAsia"/>
          <w:sz w:val="21"/>
          <w:szCs w:val="21"/>
        </w:rPr>
        <w:t>、扩大试验阶段（</w:t>
      </w:r>
      <w:r w:rsidRPr="00312655">
        <w:rPr>
          <w:rFonts w:ascii="宋体" w:hAnsi="宋体"/>
          <w:sz w:val="21"/>
          <w:szCs w:val="21"/>
        </w:rPr>
        <w:t>1990~1992</w:t>
      </w:r>
      <w:r w:rsidRPr="00312655">
        <w:rPr>
          <w:rFonts w:ascii="宋体" w:hAnsi="宋体" w:hint="eastAsia"/>
          <w:sz w:val="21"/>
          <w:szCs w:val="21"/>
        </w:rPr>
        <w:t>年）</w:t>
      </w:r>
    </w:p>
    <w:p w:rsidR="00615BC2"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w:t>
      </w:r>
      <w:r w:rsidRPr="00312655">
        <w:rPr>
          <w:rFonts w:ascii="宋体" w:hAnsi="宋体"/>
          <w:sz w:val="21"/>
          <w:szCs w:val="21"/>
        </w:rPr>
        <w:t>1</w:t>
      </w:r>
      <w:r w:rsidRPr="00312655">
        <w:rPr>
          <w:rFonts w:ascii="宋体" w:hAnsi="宋体" w:hint="eastAsia"/>
          <w:sz w:val="21"/>
          <w:szCs w:val="21"/>
        </w:rPr>
        <w:t>）投资银行主体：</w:t>
      </w:r>
    </w:p>
    <w:p w:rsidR="00615BC2" w:rsidRPr="00312655" w:rsidP="003C1ECF">
      <w:pPr>
        <w:pStyle w:val="BodyText2"/>
        <w:numPr>
          <w:ilvl w:val="0"/>
          <w:numId w:val="17"/>
        </w:numPr>
        <w:spacing w:before="156" w:beforeLines="50" w:line="240" w:lineRule="atLeast"/>
        <w:ind w:right="32" w:rightChars="15"/>
        <w:jc w:val="both"/>
        <w:rPr>
          <w:rFonts w:ascii="宋体" w:hAnsi="宋体" w:hint="eastAsia"/>
          <w:sz w:val="21"/>
          <w:szCs w:val="21"/>
        </w:rPr>
      </w:pPr>
      <w:r w:rsidRPr="00312655">
        <w:rPr>
          <w:rFonts w:ascii="宋体" w:hAnsi="宋体"/>
          <w:sz w:val="21"/>
          <w:szCs w:val="21"/>
        </w:rPr>
        <w:t>199</w:t>
      </w:r>
      <w:r w:rsidRPr="00312655">
        <w:rPr>
          <w:rFonts w:ascii="宋体" w:hAnsi="宋体"/>
          <w:sz w:val="21"/>
          <w:szCs w:val="21"/>
        </w:rPr>
        <w:t>0</w:t>
      </w:r>
      <w:r w:rsidRPr="00312655">
        <w:rPr>
          <w:rFonts w:ascii="宋体" w:hAnsi="宋体" w:hint="eastAsia"/>
          <w:sz w:val="21"/>
          <w:szCs w:val="21"/>
        </w:rPr>
        <w:t>年</w:t>
      </w:r>
      <w:r w:rsidRPr="00312655">
        <w:rPr>
          <w:rFonts w:ascii="宋体" w:hAnsi="宋体"/>
          <w:sz w:val="21"/>
          <w:szCs w:val="21"/>
        </w:rPr>
        <w:t>12</w:t>
      </w:r>
      <w:r w:rsidRPr="00312655">
        <w:rPr>
          <w:rFonts w:ascii="宋体" w:hAnsi="宋体" w:hint="eastAsia"/>
          <w:sz w:val="21"/>
          <w:szCs w:val="21"/>
        </w:rPr>
        <w:t>月上海证券交易所和</w:t>
      </w:r>
      <w:r w:rsidRPr="00312655">
        <w:rPr>
          <w:rFonts w:ascii="宋体" w:hAnsi="宋体"/>
          <w:sz w:val="21"/>
          <w:szCs w:val="21"/>
        </w:rPr>
        <w:t>1991</w:t>
      </w:r>
      <w:r w:rsidRPr="00312655">
        <w:rPr>
          <w:rFonts w:ascii="宋体" w:hAnsi="宋体" w:hint="eastAsia"/>
          <w:sz w:val="21"/>
          <w:szCs w:val="21"/>
        </w:rPr>
        <w:t>年</w:t>
      </w:r>
      <w:r w:rsidRPr="00312655">
        <w:rPr>
          <w:rFonts w:ascii="宋体" w:hAnsi="宋体"/>
          <w:sz w:val="21"/>
          <w:szCs w:val="21"/>
        </w:rPr>
        <w:t>7</w:t>
      </w:r>
      <w:r w:rsidRPr="00312655">
        <w:rPr>
          <w:rFonts w:ascii="宋体" w:hAnsi="宋体" w:hint="eastAsia"/>
          <w:sz w:val="21"/>
          <w:szCs w:val="21"/>
        </w:rPr>
        <w:t>月深圳证券交易所成立</w:t>
      </w:r>
    </w:p>
    <w:p w:rsidR="00615BC2"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sz w:val="21"/>
          <w:szCs w:val="21"/>
        </w:rPr>
        <w:t>3</w:t>
      </w:r>
      <w:r w:rsidRPr="00312655">
        <w:rPr>
          <w:rFonts w:ascii="宋体" w:hAnsi="宋体" w:hint="eastAsia"/>
          <w:sz w:val="21"/>
          <w:szCs w:val="21"/>
        </w:rPr>
        <w:t>、规范发展阶段（</w:t>
      </w:r>
      <w:r w:rsidRPr="00312655">
        <w:rPr>
          <w:rFonts w:ascii="宋体" w:hAnsi="宋体"/>
          <w:sz w:val="21"/>
          <w:szCs w:val="21"/>
        </w:rPr>
        <w:t>1992</w:t>
      </w:r>
      <w:r w:rsidRPr="00312655">
        <w:rPr>
          <w:rFonts w:ascii="宋体" w:hAnsi="宋体" w:hint="eastAsia"/>
          <w:sz w:val="21"/>
          <w:szCs w:val="21"/>
        </w:rPr>
        <w:t>年至今）</w:t>
      </w:r>
    </w:p>
    <w:p w:rsidR="008E0A99" w:rsidRPr="00312655" w:rsidP="00312655">
      <w:pPr>
        <w:pStyle w:val="BodyText2"/>
        <w:spacing w:before="156" w:beforeLines="50" w:line="240" w:lineRule="atLeast"/>
        <w:ind w:right="32" w:rightChars="15"/>
        <w:jc w:val="both"/>
        <w:rPr>
          <w:rFonts w:ascii="宋体" w:hAnsi="宋体" w:hint="eastAsia"/>
          <w:sz w:val="21"/>
          <w:szCs w:val="21"/>
        </w:rPr>
      </w:pPr>
      <w:r w:rsidRPr="00312655" w:rsidR="00615BC2">
        <w:rPr>
          <w:rFonts w:ascii="宋体" w:hAnsi="宋体"/>
          <w:sz w:val="21"/>
          <w:szCs w:val="21"/>
        </w:rPr>
        <w:t>1999</w:t>
      </w:r>
      <w:r w:rsidRPr="00312655" w:rsidR="00615BC2">
        <w:rPr>
          <w:rFonts w:ascii="宋体" w:hAnsi="宋体" w:hint="eastAsia"/>
          <w:sz w:val="21"/>
          <w:szCs w:val="21"/>
        </w:rPr>
        <w:t>年</w:t>
      </w:r>
      <w:r w:rsidRPr="00312655" w:rsidR="00615BC2">
        <w:rPr>
          <w:rFonts w:ascii="宋体" w:hAnsi="宋体"/>
          <w:sz w:val="21"/>
          <w:szCs w:val="21"/>
        </w:rPr>
        <w:t>7</w:t>
      </w:r>
      <w:r w:rsidRPr="00312655" w:rsidR="00615BC2">
        <w:rPr>
          <w:rFonts w:ascii="宋体" w:hAnsi="宋体" w:hint="eastAsia"/>
          <w:sz w:val="21"/>
          <w:szCs w:val="21"/>
        </w:rPr>
        <w:t>月</w:t>
      </w:r>
      <w:r w:rsidRPr="00312655" w:rsidR="00615BC2">
        <w:rPr>
          <w:rFonts w:ascii="宋体" w:hAnsi="宋体"/>
          <w:sz w:val="21"/>
          <w:szCs w:val="21"/>
        </w:rPr>
        <w:t>1</w:t>
      </w:r>
      <w:r w:rsidRPr="00312655" w:rsidR="00615BC2">
        <w:rPr>
          <w:rFonts w:ascii="宋体" w:hAnsi="宋体" w:hint="eastAsia"/>
          <w:sz w:val="21"/>
          <w:szCs w:val="21"/>
        </w:rPr>
        <w:t>日，</w:t>
      </w:r>
      <w:r w:rsidRPr="00312655" w:rsidR="00615BC2">
        <w:rPr>
          <w:rFonts w:ascii="宋体" w:hAnsi="宋体" w:hint="eastAsia"/>
          <w:color w:val="FF00FF"/>
          <w:sz w:val="21"/>
          <w:szCs w:val="21"/>
        </w:rPr>
        <w:t>《证券法》</w:t>
      </w:r>
      <w:r w:rsidRPr="00312655" w:rsidR="00615BC2">
        <w:rPr>
          <w:rFonts w:ascii="宋体" w:hAnsi="宋体" w:hint="eastAsia"/>
          <w:sz w:val="21"/>
          <w:szCs w:val="21"/>
        </w:rPr>
        <w:t>实施：分业经营；</w:t>
      </w:r>
    </w:p>
    <w:p w:rsidR="00660CD7" w:rsidRPr="00312655" w:rsidP="00312655">
      <w:pPr>
        <w:pStyle w:val="BodyText2"/>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2．</w:t>
      </w:r>
      <w:r w:rsidRPr="00312655" w:rsidR="00712B57">
        <w:rPr>
          <w:rFonts w:ascii="宋体" w:hAnsi="宋体" w:hint="eastAsia"/>
          <w:b/>
          <w:sz w:val="21"/>
          <w:szCs w:val="21"/>
        </w:rPr>
        <w:t>金融业混业</w:t>
      </w:r>
      <w:r w:rsidRPr="00312655" w:rsidR="009E249F">
        <w:rPr>
          <w:rFonts w:ascii="宋体" w:hAnsi="宋体" w:hint="eastAsia"/>
          <w:b/>
          <w:sz w:val="21"/>
          <w:szCs w:val="21"/>
        </w:rPr>
        <w:t>化</w:t>
      </w:r>
      <w:r w:rsidRPr="00312655" w:rsidR="00712B57">
        <w:rPr>
          <w:rFonts w:ascii="宋体" w:hAnsi="宋体" w:hint="eastAsia"/>
          <w:b/>
          <w:sz w:val="21"/>
          <w:szCs w:val="21"/>
        </w:rPr>
        <w:t>发展的背景和原因</w:t>
      </w:r>
      <w:r w:rsidRPr="00312655">
        <w:rPr>
          <w:rFonts w:ascii="宋体" w:hAnsi="宋体" w:hint="eastAsia"/>
          <w:b/>
          <w:sz w:val="21"/>
          <w:szCs w:val="21"/>
        </w:rPr>
        <w:t>。</w:t>
      </w:r>
    </w:p>
    <w:p w:rsidR="0024231F"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混业发展原因：</w:t>
      </w:r>
    </w:p>
    <w:p w:rsidR="0024231F" w:rsidRPr="00312655" w:rsidP="003C1ECF">
      <w:pPr>
        <w:pStyle w:val="BodyText2"/>
        <w:numPr>
          <w:ilvl w:val="0"/>
          <w:numId w:val="26"/>
        </w:numPr>
        <w:spacing w:before="156" w:beforeLines="50" w:line="240" w:lineRule="atLeast"/>
        <w:ind w:right="32" w:rightChars="15"/>
        <w:jc w:val="both"/>
        <w:rPr>
          <w:rFonts w:ascii="宋体" w:hAnsi="宋体"/>
          <w:color w:val="FF00FF"/>
          <w:sz w:val="21"/>
          <w:szCs w:val="21"/>
        </w:rPr>
      </w:pPr>
      <w:r w:rsidRPr="00312655">
        <w:rPr>
          <w:rFonts w:ascii="宋体" w:hAnsi="宋体" w:hint="eastAsia"/>
          <w:color w:val="FF00FF"/>
          <w:sz w:val="21"/>
          <w:szCs w:val="21"/>
        </w:rPr>
        <w:t>投资银行业出现了以</w:t>
      </w:r>
      <w:r w:rsidRPr="00312655">
        <w:rPr>
          <w:rFonts w:ascii="宋体" w:hAnsi="宋体"/>
          <w:color w:val="FF00FF"/>
          <w:sz w:val="21"/>
          <w:szCs w:val="21"/>
        </w:rPr>
        <w:t>“</w:t>
      </w:r>
      <w:r w:rsidRPr="00312655">
        <w:rPr>
          <w:rFonts w:ascii="宋体" w:hAnsi="宋体" w:hint="eastAsia"/>
          <w:color w:val="FF00FF"/>
          <w:sz w:val="21"/>
          <w:szCs w:val="21"/>
        </w:rPr>
        <w:t>强强联合</w:t>
      </w:r>
      <w:r w:rsidRPr="00312655">
        <w:rPr>
          <w:rFonts w:ascii="宋体" w:hAnsi="宋体"/>
          <w:color w:val="FF00FF"/>
          <w:sz w:val="21"/>
          <w:szCs w:val="21"/>
        </w:rPr>
        <w:t>”</w:t>
      </w:r>
      <w:r w:rsidRPr="00312655">
        <w:rPr>
          <w:rFonts w:ascii="宋体" w:hAnsi="宋体" w:hint="eastAsia"/>
          <w:color w:val="FF00FF"/>
          <w:sz w:val="21"/>
          <w:szCs w:val="21"/>
        </w:rPr>
        <w:t>和</w:t>
      </w:r>
      <w:r w:rsidRPr="00312655">
        <w:rPr>
          <w:rFonts w:ascii="宋体" w:hAnsi="宋体"/>
          <w:color w:val="FF00FF"/>
          <w:sz w:val="21"/>
          <w:szCs w:val="21"/>
        </w:rPr>
        <w:t>“</w:t>
      </w:r>
      <w:r w:rsidRPr="00312655">
        <w:rPr>
          <w:rFonts w:ascii="宋体" w:hAnsi="宋体" w:hint="eastAsia"/>
          <w:color w:val="FF00FF"/>
          <w:sz w:val="21"/>
          <w:szCs w:val="21"/>
        </w:rPr>
        <w:t>功能重组</w:t>
      </w:r>
      <w:r w:rsidRPr="00312655">
        <w:rPr>
          <w:rFonts w:ascii="宋体" w:hAnsi="宋体"/>
          <w:color w:val="FF00FF"/>
          <w:sz w:val="21"/>
          <w:szCs w:val="21"/>
        </w:rPr>
        <w:t>”</w:t>
      </w:r>
      <w:r w:rsidRPr="00312655">
        <w:rPr>
          <w:rFonts w:ascii="宋体" w:hAnsi="宋体" w:hint="eastAsia"/>
          <w:color w:val="FF00FF"/>
          <w:sz w:val="21"/>
          <w:szCs w:val="21"/>
        </w:rPr>
        <w:t>为显著特征的并购浪潮</w:t>
      </w:r>
    </w:p>
    <w:p w:rsidR="0024231F" w:rsidRPr="00312655" w:rsidP="00312655">
      <w:pPr>
        <w:pStyle w:val="BodyText2"/>
        <w:spacing w:before="156" w:beforeLines="50" w:line="240" w:lineRule="atLeast"/>
        <w:ind w:right="32" w:rightChars="15"/>
        <w:jc w:val="both"/>
        <w:rPr>
          <w:rFonts w:ascii="宋体" w:hAnsi="宋体" w:hint="eastAsia"/>
          <w:sz w:val="21"/>
          <w:szCs w:val="21"/>
        </w:rPr>
        <w:sectPr>
          <w:type w:val="nextPage"/>
          <w:pgSz w:w="11906" w:h="16838"/>
          <w:pgMar w:top="1440" w:right="1800" w:bottom="1440" w:left="1800" w:header="851" w:footer="992" w:gutter="0"/>
          <w:pgNumType w:start="3"/>
          <w:cols w:space="425"/>
          <w:titlePg w:val="0"/>
          <w:docGrid w:type="lines" w:linePitch="312"/>
        </w:sectPr>
      </w:pPr>
      <w:r w:rsidRPr="00312655">
        <w:rPr>
          <w:rFonts w:ascii="宋体" w:hAnsi="宋体" w:hint="eastAsia"/>
          <w:sz w:val="21"/>
          <w:szCs w:val="21"/>
        </w:rPr>
        <w:t>　　投资银行为全球并购提供多功能的金融服务。</w:t>
      </w:r>
    </w:p>
    <w:p w:rsidR="0024231F" w:rsidRPr="00312655" w:rsidP="00312655">
      <w:pPr>
        <w:pStyle w:val="BodyText2"/>
        <w:spacing w:before="156" w:beforeLines="50" w:line="240" w:lineRule="atLeast"/>
        <w:ind w:right="32" w:rightChars="15"/>
        <w:jc w:val="both"/>
        <w:rPr>
          <w:rFonts w:ascii="宋体" w:hAnsi="宋体" w:hint="eastAsia"/>
          <w:color w:val="000000"/>
          <w:sz w:val="21"/>
          <w:szCs w:val="21"/>
        </w:rPr>
      </w:pPr>
      <w:r w:rsidRPr="00312655">
        <w:rPr>
          <w:rFonts w:ascii="宋体" w:hAnsi="宋体" w:hint="eastAsia"/>
          <w:color w:val="FF00FF"/>
          <w:sz w:val="21"/>
          <w:szCs w:val="21"/>
        </w:rPr>
        <w:t>　　</w:t>
      </w:r>
      <w:r w:rsidRPr="00312655">
        <w:rPr>
          <w:rFonts w:ascii="宋体" w:hAnsi="宋体" w:hint="eastAsia"/>
          <w:color w:val="000000"/>
          <w:sz w:val="21"/>
          <w:szCs w:val="21"/>
        </w:rPr>
        <w:t>投资银行之间发生了大规模的并购活动：功能互补型合并；扩大市场型并购。</w:t>
      </w:r>
    </w:p>
    <w:p w:rsidR="0024231F" w:rsidRPr="00312655" w:rsidP="00312655">
      <w:pPr>
        <w:pStyle w:val="BodyText2"/>
        <w:spacing w:before="156" w:beforeLines="50" w:line="240" w:lineRule="atLeast"/>
        <w:ind w:right="32" w:firstLine="480" w:rightChars="15"/>
        <w:jc w:val="both"/>
        <w:rPr>
          <w:rFonts w:ascii="宋体" w:hAnsi="宋体" w:hint="eastAsia"/>
          <w:sz w:val="21"/>
          <w:szCs w:val="21"/>
        </w:rPr>
      </w:pPr>
      <w:r w:rsidRPr="00312655">
        <w:rPr>
          <w:rFonts w:ascii="宋体" w:hAnsi="宋体" w:hint="eastAsia"/>
          <w:sz w:val="21"/>
          <w:szCs w:val="21"/>
        </w:rPr>
        <w:t>次贷危机带给美国投资银行业大洗牌。</w:t>
      </w:r>
    </w:p>
    <w:p w:rsidR="00CA0CD1" w:rsidRPr="00312655" w:rsidP="003C1ECF">
      <w:pPr>
        <w:pStyle w:val="BodyText2"/>
        <w:numPr>
          <w:ilvl w:val="0"/>
          <w:numId w:val="26"/>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网络使投资银行发生了巨大变化</w:t>
      </w:r>
    </w:p>
    <w:p w:rsidR="00CA0CD1" w:rsidRPr="00312655" w:rsidP="003C1ECF">
      <w:pPr>
        <w:pStyle w:val="BodyText2"/>
        <w:numPr>
          <w:ilvl w:val="0"/>
          <w:numId w:val="26"/>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投资银行的国际化</w:t>
      </w:r>
    </w:p>
    <w:p w:rsidR="00CA0CD1" w:rsidRPr="00312655" w:rsidP="00312655">
      <w:pPr>
        <w:pStyle w:val="BodyText2"/>
        <w:spacing w:before="156" w:beforeLines="50" w:line="240" w:lineRule="atLeast"/>
        <w:ind w:left="360" w:right="32" w:rightChars="15"/>
        <w:jc w:val="both"/>
        <w:rPr>
          <w:rFonts w:ascii="宋体" w:hAnsi="宋体" w:hint="eastAsia"/>
          <w:sz w:val="21"/>
          <w:szCs w:val="21"/>
        </w:rPr>
      </w:pPr>
      <w:r w:rsidRPr="00312655">
        <w:rPr>
          <w:rFonts w:ascii="宋体" w:hAnsi="宋体" w:hint="eastAsia"/>
          <w:sz w:val="21"/>
          <w:szCs w:val="21"/>
        </w:rPr>
        <w:t>投资银行全能化：</w:t>
      </w:r>
    </w:p>
    <w:p w:rsidR="0024231F" w:rsidRPr="00312655" w:rsidP="003C1ECF">
      <w:pPr>
        <w:pStyle w:val="BodyText2"/>
        <w:numPr>
          <w:ilvl w:val="0"/>
          <w:numId w:val="27"/>
        </w:numPr>
        <w:spacing w:before="156" w:beforeLines="50" w:line="240" w:lineRule="atLeast"/>
        <w:ind w:right="32" w:rightChars="15"/>
        <w:jc w:val="both"/>
        <w:rPr>
          <w:rFonts w:ascii="宋体" w:hAnsi="宋体"/>
          <w:color w:val="FF00FF"/>
          <w:sz w:val="21"/>
          <w:szCs w:val="21"/>
        </w:rPr>
      </w:pPr>
      <w:r w:rsidRPr="00312655">
        <w:rPr>
          <w:rFonts w:ascii="宋体" w:hAnsi="宋体" w:hint="eastAsia"/>
          <w:color w:val="FF00FF"/>
          <w:sz w:val="21"/>
          <w:szCs w:val="21"/>
        </w:rPr>
        <w:t>资本市场发展使得商业银行业务大量流失</w:t>
      </w:r>
    </w:p>
    <w:p w:rsidR="0024231F" w:rsidRPr="00312655" w:rsidP="003C1ECF">
      <w:pPr>
        <w:pStyle w:val="BodyText2"/>
        <w:numPr>
          <w:ilvl w:val="0"/>
          <w:numId w:val="27"/>
        </w:numPr>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color w:val="FF00FF"/>
          <w:sz w:val="21"/>
          <w:szCs w:val="21"/>
        </w:rPr>
        <w:t>具备了较完整的金融风险防范体系：商业银行普通建立风险内控制度</w:t>
      </w:r>
      <w:r w:rsidRPr="00312655">
        <w:rPr>
          <w:rFonts w:ascii="宋体" w:hAnsi="宋体" w:hint="eastAsia"/>
          <w:sz w:val="21"/>
          <w:szCs w:val="21"/>
        </w:rPr>
        <w:t>；</w:t>
      </w:r>
      <w:r w:rsidRPr="00312655">
        <w:rPr>
          <w:rFonts w:ascii="宋体" w:hAnsi="宋体" w:hint="eastAsia"/>
          <w:color w:val="FF00FF"/>
          <w:sz w:val="21"/>
          <w:szCs w:val="21"/>
        </w:rPr>
        <w:t>金融监管水平得到提高</w:t>
      </w:r>
    </w:p>
    <w:p w:rsidR="0024231F" w:rsidRPr="00312655" w:rsidP="003C1ECF">
      <w:pPr>
        <w:pStyle w:val="BodyText2"/>
        <w:numPr>
          <w:ilvl w:val="0"/>
          <w:numId w:val="27"/>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金融创新和金融自由化推动了混业经营的发展：分业经营的无效性问题日益突出</w:t>
      </w:r>
      <w:r w:rsidRPr="00312655">
        <w:rPr>
          <w:rFonts w:ascii="宋体" w:hAnsi="宋体" w:hint="eastAsia"/>
          <w:sz w:val="21"/>
          <w:szCs w:val="21"/>
        </w:rPr>
        <w:t>；</w:t>
      </w:r>
    </w:p>
    <w:p w:rsidR="0024231F" w:rsidRPr="00312655" w:rsidP="003C1ECF">
      <w:pPr>
        <w:pStyle w:val="BodyText2"/>
        <w:numPr>
          <w:ilvl w:val="0"/>
          <w:numId w:val="27"/>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金融业的激烈竞争促进了混业经营：金融全球化</w:t>
      </w:r>
      <w:r w:rsidRPr="00312655">
        <w:rPr>
          <w:rFonts w:ascii="宋体" w:hAnsi="宋体" w:hint="eastAsia"/>
          <w:sz w:val="21"/>
          <w:szCs w:val="21"/>
        </w:rPr>
        <w:t>；</w:t>
      </w:r>
    </w:p>
    <w:p w:rsidR="00615BC2" w:rsidRPr="00312655" w:rsidP="003C1ECF">
      <w:pPr>
        <w:pStyle w:val="BodyText2"/>
        <w:numPr>
          <w:ilvl w:val="0"/>
          <w:numId w:val="27"/>
        </w:numPr>
        <w:spacing w:before="156" w:beforeLines="50" w:line="240" w:lineRule="atLeast"/>
        <w:ind w:right="32" w:rightChars="15"/>
        <w:jc w:val="both"/>
        <w:rPr>
          <w:rFonts w:ascii="宋体" w:hAnsi="宋体" w:hint="eastAsia"/>
          <w:color w:val="FF00FF"/>
          <w:sz w:val="21"/>
          <w:szCs w:val="21"/>
        </w:rPr>
      </w:pPr>
      <w:r w:rsidRPr="00312655" w:rsidR="0024231F">
        <w:rPr>
          <w:rFonts w:ascii="宋体" w:hAnsi="宋体" w:hint="eastAsia"/>
          <w:color w:val="FF00FF"/>
          <w:sz w:val="21"/>
          <w:szCs w:val="21"/>
        </w:rPr>
        <w:t>金融研究理论获得突破：对</w:t>
      </w:r>
      <w:r w:rsidRPr="00312655" w:rsidR="0024231F">
        <w:rPr>
          <w:rFonts w:ascii="宋体" w:hAnsi="宋体"/>
          <w:color w:val="FF00FF"/>
          <w:sz w:val="21"/>
          <w:szCs w:val="21"/>
        </w:rPr>
        <w:t>“</w:t>
      </w:r>
      <w:r w:rsidRPr="00312655" w:rsidR="0024231F">
        <w:rPr>
          <w:rFonts w:ascii="宋体" w:hAnsi="宋体" w:hint="eastAsia"/>
          <w:color w:val="FF00FF"/>
          <w:sz w:val="21"/>
          <w:szCs w:val="21"/>
        </w:rPr>
        <w:t>大危机</w:t>
      </w:r>
      <w:r w:rsidRPr="00312655" w:rsidR="0024231F">
        <w:rPr>
          <w:rFonts w:ascii="宋体" w:hAnsi="宋体"/>
          <w:color w:val="FF00FF"/>
          <w:sz w:val="21"/>
          <w:szCs w:val="21"/>
        </w:rPr>
        <w:t>”</w:t>
      </w:r>
      <w:r w:rsidRPr="00312655" w:rsidR="0024231F">
        <w:rPr>
          <w:rFonts w:ascii="宋体" w:hAnsi="宋体" w:hint="eastAsia"/>
          <w:color w:val="FF00FF"/>
          <w:sz w:val="21"/>
          <w:szCs w:val="21"/>
        </w:rPr>
        <w:t>银行破产倒闭的新解释；金融混业经营优于分业经营，混业经营可以降低金融业的成本。</w:t>
      </w:r>
    </w:p>
    <w:p w:rsidR="00660CD7" w:rsidRPr="00312655" w:rsidP="00312655">
      <w:pPr>
        <w:pStyle w:val="BodyText2"/>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3．</w:t>
      </w:r>
      <w:r w:rsidRPr="00312655" w:rsidR="009664B3">
        <w:rPr>
          <w:rFonts w:ascii="宋体" w:hAnsi="宋体" w:hint="eastAsia"/>
          <w:b/>
          <w:sz w:val="21"/>
          <w:szCs w:val="21"/>
        </w:rPr>
        <w:t>混业经营与分业经营的利弊</w:t>
      </w:r>
      <w:r w:rsidRPr="00312655">
        <w:rPr>
          <w:rFonts w:ascii="宋体" w:hAnsi="宋体" w:hint="eastAsia"/>
          <w:b/>
          <w:sz w:val="21"/>
          <w:szCs w:val="21"/>
        </w:rPr>
        <w:t>。</w:t>
      </w:r>
    </w:p>
    <w:p w:rsidR="0024231F" w:rsidRPr="00312655" w:rsidP="00312655">
      <w:pPr>
        <w:pStyle w:val="BodyText2"/>
        <w:spacing w:before="156" w:beforeLines="50" w:line="240" w:lineRule="atLeast"/>
        <w:ind w:right="32" w:rightChars="15"/>
        <w:jc w:val="both"/>
        <w:rPr>
          <w:rFonts w:ascii="宋体" w:hAnsi="宋体"/>
          <w:sz w:val="21"/>
          <w:szCs w:val="21"/>
          <w:u w:val="single"/>
        </w:rPr>
      </w:pPr>
      <w:r w:rsidRPr="00312655">
        <w:rPr>
          <w:rFonts w:ascii="宋体" w:hAnsi="宋体" w:hint="eastAsia"/>
          <w:sz w:val="21"/>
          <w:szCs w:val="21"/>
          <w:u w:val="single"/>
        </w:rPr>
        <w:t>银证混合型模式的利弊</w:t>
      </w:r>
    </w:p>
    <w:p w:rsidR="0024231F" w:rsidRPr="00312655" w:rsidP="003C1ECF">
      <w:pPr>
        <w:pStyle w:val="BodyText2"/>
        <w:numPr>
          <w:ilvl w:val="0"/>
          <w:numId w:val="18"/>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优点：</w:t>
      </w:r>
    </w:p>
    <w:p w:rsidR="0024231F" w:rsidRPr="00312655" w:rsidP="00312655">
      <w:pPr>
        <w:pStyle w:val="BodyText2"/>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sz w:val="21"/>
          <w:szCs w:val="21"/>
        </w:rPr>
        <w:t>　　全能银行能实现金融业的</w:t>
      </w:r>
      <w:r w:rsidRPr="00312655">
        <w:rPr>
          <w:rFonts w:ascii="宋体" w:hAnsi="宋体" w:hint="eastAsia"/>
          <w:color w:val="FF00FF"/>
          <w:sz w:val="21"/>
          <w:szCs w:val="21"/>
        </w:rPr>
        <w:t>规模效益和范围经济，降低运营成本，提高竞争力。</w:t>
      </w:r>
    </w:p>
    <w:p w:rsidR="0024231F"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有益于保障利润的稳定性，</w:t>
      </w:r>
      <w:r w:rsidRPr="00312655">
        <w:rPr>
          <w:rFonts w:ascii="宋体" w:hAnsi="宋体" w:hint="eastAsia"/>
          <w:color w:val="FF00FF"/>
          <w:sz w:val="21"/>
          <w:szCs w:val="21"/>
        </w:rPr>
        <w:t>降低风险</w:t>
      </w:r>
      <w:r w:rsidRPr="00312655">
        <w:rPr>
          <w:rFonts w:ascii="宋体" w:hAnsi="宋体" w:hint="eastAsia"/>
          <w:sz w:val="21"/>
          <w:szCs w:val="21"/>
        </w:rPr>
        <w:t>。</w:t>
      </w:r>
    </w:p>
    <w:p w:rsidR="0024231F"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有利于提高</w:t>
      </w:r>
      <w:r w:rsidRPr="00312655">
        <w:rPr>
          <w:rFonts w:ascii="宋体" w:hAnsi="宋体" w:hint="eastAsia"/>
          <w:color w:val="FF00FF"/>
          <w:sz w:val="21"/>
          <w:szCs w:val="21"/>
        </w:rPr>
        <w:t>信息的共享程度</w:t>
      </w:r>
      <w:r w:rsidRPr="00312655">
        <w:rPr>
          <w:rFonts w:ascii="宋体" w:hAnsi="宋体" w:hint="eastAsia"/>
          <w:sz w:val="21"/>
          <w:szCs w:val="21"/>
        </w:rPr>
        <w:t>。</w:t>
      </w:r>
    </w:p>
    <w:p w:rsidR="0024231F"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加强竞争，促进社会总效用的上升。</w:t>
      </w:r>
    </w:p>
    <w:p w:rsidR="0024231F" w:rsidRPr="00312655" w:rsidP="003C1ECF">
      <w:pPr>
        <w:pStyle w:val="BodyText2"/>
        <w:numPr>
          <w:ilvl w:val="0"/>
          <w:numId w:val="19"/>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弊端：</w:t>
      </w:r>
    </w:p>
    <w:p w:rsidR="0024231F" w:rsidRPr="00475A11" w:rsidP="00312655">
      <w:pPr>
        <w:pStyle w:val="BodyText2"/>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sz w:val="21"/>
          <w:szCs w:val="21"/>
        </w:rPr>
        <w:t>　</w:t>
      </w:r>
      <w:r w:rsidRPr="00312655">
        <w:rPr>
          <w:rFonts w:ascii="宋体" w:hAnsi="宋体" w:hint="eastAsia"/>
          <w:color w:val="FF00FF"/>
          <w:sz w:val="21"/>
          <w:szCs w:val="21"/>
        </w:rPr>
        <w:t>　可能会给整个金融体制带来较大风险，需建立严格的监管和风险控制制度。</w:t>
      </w:r>
    </w:p>
    <w:p w:rsidR="0024231F" w:rsidRPr="00312655" w:rsidP="00312655">
      <w:pPr>
        <w:pStyle w:val="BodyText2"/>
        <w:spacing w:before="156" w:beforeLines="50" w:line="240" w:lineRule="atLeast"/>
        <w:ind w:right="32" w:rightChars="15"/>
        <w:jc w:val="both"/>
        <w:rPr>
          <w:rFonts w:ascii="宋体" w:hAnsi="宋体"/>
          <w:sz w:val="21"/>
          <w:szCs w:val="21"/>
          <w:u w:val="single"/>
        </w:rPr>
      </w:pPr>
      <w:r w:rsidRPr="00312655">
        <w:rPr>
          <w:rFonts w:ascii="宋体" w:hAnsi="宋体" w:hint="eastAsia"/>
          <w:sz w:val="21"/>
          <w:szCs w:val="21"/>
          <w:u w:val="single"/>
        </w:rPr>
        <w:t>银证分离型模式的利弊</w:t>
      </w:r>
    </w:p>
    <w:p w:rsidR="0024231F" w:rsidRPr="00312655" w:rsidP="003C1ECF">
      <w:pPr>
        <w:pStyle w:val="BodyText2"/>
        <w:numPr>
          <w:ilvl w:val="0"/>
          <w:numId w:val="20"/>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优点：</w:t>
      </w:r>
    </w:p>
    <w:p w:rsidR="0024231F"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w:t>
      </w:r>
      <w:r w:rsidRPr="00312655">
        <w:rPr>
          <w:rFonts w:ascii="宋体" w:hAnsi="宋体" w:hint="eastAsia"/>
          <w:color w:val="FF00FF"/>
          <w:sz w:val="21"/>
          <w:szCs w:val="21"/>
        </w:rPr>
        <w:t>能有效降低整个金融体制运行中的风险</w:t>
      </w:r>
      <w:r w:rsidRPr="00312655">
        <w:rPr>
          <w:rFonts w:ascii="宋体" w:hAnsi="宋体" w:hint="eastAsia"/>
          <w:sz w:val="21"/>
          <w:szCs w:val="21"/>
        </w:rPr>
        <w:t>。</w:t>
      </w:r>
    </w:p>
    <w:p w:rsidR="0024231F"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w:t>
      </w:r>
      <w:r w:rsidRPr="00312655">
        <w:rPr>
          <w:rFonts w:ascii="宋体" w:hAnsi="宋体" w:hint="eastAsia"/>
          <w:color w:val="FF00FF"/>
          <w:sz w:val="21"/>
          <w:szCs w:val="21"/>
        </w:rPr>
        <w:t>有益于保障证券市场的公正与合理</w:t>
      </w:r>
      <w:r w:rsidRPr="00312655">
        <w:rPr>
          <w:rFonts w:ascii="宋体" w:hAnsi="宋体" w:hint="eastAsia"/>
          <w:sz w:val="21"/>
          <w:szCs w:val="21"/>
        </w:rPr>
        <w:t>。</w:t>
      </w:r>
    </w:p>
    <w:p w:rsidR="0024231F" w:rsidRPr="00312655" w:rsidP="00312655">
      <w:pPr>
        <w:pStyle w:val="BodyText2"/>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sz w:val="21"/>
          <w:szCs w:val="21"/>
        </w:rPr>
        <w:t>　　</w:t>
      </w:r>
      <w:r w:rsidRPr="00312655">
        <w:rPr>
          <w:rFonts w:ascii="宋体" w:hAnsi="宋体" w:hint="eastAsia"/>
          <w:color w:val="FF00FF"/>
          <w:sz w:val="21"/>
          <w:szCs w:val="21"/>
        </w:rPr>
        <w:t>促进了金融行业的专业化分工。</w:t>
      </w:r>
    </w:p>
    <w:p w:rsidR="0024231F" w:rsidRPr="00312655" w:rsidP="003C1ECF">
      <w:pPr>
        <w:pStyle w:val="BodyText2"/>
        <w:numPr>
          <w:ilvl w:val="0"/>
          <w:numId w:val="21"/>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弊端：</w:t>
      </w:r>
    </w:p>
    <w:p w:rsidR="0024231F" w:rsidRPr="003815A2" w:rsidP="00312655">
      <w:pPr>
        <w:pStyle w:val="BodyText2"/>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sz w:val="21"/>
          <w:szCs w:val="21"/>
        </w:rPr>
        <w:t>　</w:t>
      </w:r>
      <w:r w:rsidRPr="00312655">
        <w:rPr>
          <w:rFonts w:ascii="宋体" w:hAnsi="宋体" w:hint="eastAsia"/>
          <w:color w:val="FF00FF"/>
          <w:sz w:val="21"/>
          <w:szCs w:val="21"/>
        </w:rPr>
        <w:t>　限制了银行的业务活动，制约了本国银行的创新能力与发展壮大，削弱了本国金融机构的国际竞争力。</w:t>
      </w:r>
    </w:p>
    <w:p w:rsidR="009664B3" w:rsidRPr="00312655" w:rsidP="00312655">
      <w:pPr>
        <w:pStyle w:val="BodyText2"/>
        <w:spacing w:before="156" w:beforeLines="50" w:line="240" w:lineRule="atLeast"/>
        <w:ind w:right="32" w:rightChars="15"/>
        <w:jc w:val="both"/>
        <w:rPr>
          <w:rFonts w:ascii="宋体" w:hAnsi="宋体" w:hint="eastAsia"/>
          <w:b/>
          <w:sz w:val="21"/>
          <w:szCs w:val="21"/>
        </w:rPr>
      </w:pPr>
      <w:r w:rsidRPr="00312655" w:rsidR="00660CD7">
        <w:rPr>
          <w:rFonts w:ascii="宋体" w:hAnsi="宋体" w:hint="eastAsia"/>
          <w:b/>
          <w:sz w:val="21"/>
          <w:szCs w:val="21"/>
        </w:rPr>
        <w:t>4．</w:t>
      </w:r>
      <w:r w:rsidRPr="00312655">
        <w:rPr>
          <w:rFonts w:ascii="宋体" w:hAnsi="宋体" w:hint="eastAsia"/>
          <w:b/>
          <w:sz w:val="21"/>
          <w:szCs w:val="21"/>
        </w:rPr>
        <w:t>我国</w:t>
      </w:r>
      <w:r w:rsidRPr="00312655" w:rsidR="009E249F">
        <w:rPr>
          <w:rFonts w:ascii="宋体" w:hAnsi="宋体" w:hint="eastAsia"/>
          <w:b/>
          <w:sz w:val="21"/>
          <w:szCs w:val="21"/>
        </w:rPr>
        <w:t>金融业制度选择的原因及其发展趋势。</w:t>
      </w:r>
    </w:p>
    <w:p w:rsidR="0024231F" w:rsidRPr="00312655" w:rsidP="00312655">
      <w:pPr>
        <w:pStyle w:val="BodyText2"/>
        <w:spacing w:before="156" w:beforeLines="50" w:line="240" w:lineRule="atLeast"/>
        <w:ind w:right="32" w:rightChars="15"/>
        <w:jc w:val="both"/>
        <w:rPr>
          <w:rFonts w:ascii="宋体" w:hAnsi="宋体"/>
          <w:sz w:val="21"/>
          <w:szCs w:val="21"/>
        </w:rPr>
        <w:sectPr>
          <w:type w:val="nextPage"/>
          <w:pgSz w:w="11906" w:h="16838"/>
          <w:pgMar w:top="1440" w:right="1800" w:bottom="1440" w:left="1800" w:header="851" w:footer="992" w:gutter="0"/>
          <w:pgNumType w:start="4"/>
          <w:cols w:space="425"/>
          <w:titlePg w:val="0"/>
          <w:docGrid w:type="lines" w:linePitch="312"/>
        </w:sectPr>
      </w:pPr>
      <w:r w:rsidRPr="00312655">
        <w:rPr>
          <w:rFonts w:ascii="宋体" w:hAnsi="宋体" w:hint="eastAsia"/>
          <w:sz w:val="21"/>
          <w:szCs w:val="21"/>
        </w:rPr>
        <w:t>我国实行分离型模式的依据</w:t>
      </w:r>
    </w:p>
    <w:p w:rsidR="0024231F" w:rsidRPr="00312655" w:rsidP="003C1ECF">
      <w:pPr>
        <w:pStyle w:val="BodyText2"/>
        <w:numPr>
          <w:ilvl w:val="0"/>
          <w:numId w:val="22"/>
        </w:numPr>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color w:val="FF00FF"/>
          <w:sz w:val="21"/>
          <w:szCs w:val="21"/>
        </w:rPr>
        <w:t>我国商业银行风险控制机制薄弱</w:t>
      </w:r>
      <w:r w:rsidRPr="00312655" w:rsidR="007B4754">
        <w:rPr>
          <w:rFonts w:ascii="宋体" w:hAnsi="宋体" w:hint="eastAsia"/>
          <w:color w:val="FF00FF"/>
          <w:sz w:val="21"/>
          <w:szCs w:val="21"/>
        </w:rPr>
        <w:t>：</w:t>
      </w:r>
      <w:r w:rsidRPr="00312655" w:rsidR="007B4754">
        <w:rPr>
          <w:rFonts w:ascii="宋体" w:hAnsi="宋体" w:hint="eastAsia"/>
          <w:sz w:val="21"/>
          <w:szCs w:val="21"/>
        </w:rPr>
        <w:t>商业银行的风险控制机制不健全；</w:t>
      </w:r>
      <w:r w:rsidRPr="00312655">
        <w:rPr>
          <w:rFonts w:ascii="宋体" w:hAnsi="宋体" w:hint="eastAsia"/>
          <w:sz w:val="21"/>
          <w:szCs w:val="21"/>
        </w:rPr>
        <w:t>我国银行业的垄断状况严重；银企关系密切，易掌握企业的内幕信息。</w:t>
      </w:r>
    </w:p>
    <w:p w:rsidR="0024231F" w:rsidRPr="00312655" w:rsidP="003C1ECF">
      <w:pPr>
        <w:pStyle w:val="BodyText2"/>
        <w:numPr>
          <w:ilvl w:val="0"/>
          <w:numId w:val="23"/>
        </w:numPr>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color w:val="FF00FF"/>
          <w:sz w:val="21"/>
          <w:szCs w:val="21"/>
        </w:rPr>
        <w:t>我国证券市场处于新型＋转轨阶段：</w:t>
      </w:r>
      <w:r w:rsidRPr="00312655">
        <w:rPr>
          <w:rFonts w:ascii="宋体" w:hAnsi="宋体" w:hint="eastAsia"/>
          <w:sz w:val="21"/>
          <w:szCs w:val="21"/>
        </w:rPr>
        <w:t>规模发展迅速，但市场容量和承受力有限</w:t>
      </w:r>
      <w:r w:rsidRPr="00312655" w:rsidR="007B4754">
        <w:rPr>
          <w:rFonts w:ascii="宋体" w:hAnsi="宋体" w:hint="eastAsia"/>
          <w:sz w:val="21"/>
          <w:szCs w:val="21"/>
        </w:rPr>
        <w:t>；</w:t>
      </w:r>
      <w:r w:rsidRPr="00312655">
        <w:rPr>
          <w:rFonts w:ascii="宋体" w:hAnsi="宋体" w:hint="eastAsia"/>
          <w:sz w:val="21"/>
          <w:szCs w:val="21"/>
        </w:rPr>
        <w:t>规范程度不够，波动剧烈，金融工具有限；内幕交易频繁，公开、公平、公正极需提高。</w:t>
      </w:r>
    </w:p>
    <w:p w:rsidR="0024231F" w:rsidRPr="00312655" w:rsidP="003C1ECF">
      <w:pPr>
        <w:pStyle w:val="BodyText2"/>
        <w:numPr>
          <w:ilvl w:val="0"/>
          <w:numId w:val="24"/>
        </w:numPr>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color w:val="FF00FF"/>
          <w:sz w:val="21"/>
          <w:szCs w:val="21"/>
        </w:rPr>
        <w:t>我国金融监管体系尚不完善。</w:t>
      </w:r>
    </w:p>
    <w:p w:rsidR="004D63CF" w:rsidRPr="00312655" w:rsidP="00312655">
      <w:pPr>
        <w:spacing w:line="240" w:lineRule="atLeast"/>
        <w:ind w:firstLine="412" w:firstLineChars="196"/>
        <w:rPr>
          <w:rFonts w:ascii="宋体" w:hAnsi="宋体"/>
          <w:szCs w:val="21"/>
        </w:rPr>
      </w:pPr>
      <w:r w:rsidRPr="00312655">
        <w:rPr>
          <w:rFonts w:ascii="宋体" w:hAnsi="宋体" w:hint="eastAsia"/>
          <w:b/>
          <w:szCs w:val="21"/>
        </w:rPr>
        <w:t>我国选择分业经营模式的原因</w:t>
      </w:r>
      <w:r w:rsidRPr="00312655">
        <w:rPr>
          <w:rFonts w:ascii="宋体" w:hAnsi="宋体" w:hint="eastAsia"/>
          <w:szCs w:val="21"/>
        </w:rPr>
        <w:t>：</w:t>
      </w:r>
    </w:p>
    <w:p w:rsidR="004D63CF" w:rsidRPr="00312655" w:rsidP="00312655">
      <w:pPr>
        <w:spacing w:line="240" w:lineRule="atLeast"/>
        <w:rPr>
          <w:rFonts w:ascii="宋体" w:hAnsi="宋体"/>
          <w:szCs w:val="21"/>
        </w:rPr>
      </w:pPr>
      <w:r w:rsidRPr="00312655">
        <w:rPr>
          <w:rFonts w:ascii="宋体" w:hAnsi="宋体" w:hint="eastAsia"/>
          <w:szCs w:val="21"/>
        </w:rPr>
        <w:t>　　</w:t>
      </w:r>
      <w:r w:rsidRPr="00312655">
        <w:rPr>
          <w:rFonts w:ascii="宋体" w:hAnsi="宋体" w:hint="eastAsia"/>
          <w:szCs w:val="21"/>
        </w:rPr>
        <w:t>﹒</w:t>
      </w:r>
      <w:r w:rsidRPr="00312655">
        <w:rPr>
          <w:rFonts w:ascii="宋体" w:hAnsi="宋体" w:hint="eastAsia"/>
          <w:szCs w:val="21"/>
        </w:rPr>
        <w:t>金融机构微观制度不规范，自我约束能力不强；</w:t>
      </w:r>
    </w:p>
    <w:p w:rsidR="004D63CF" w:rsidRPr="00312655" w:rsidP="00312655">
      <w:pPr>
        <w:spacing w:line="240" w:lineRule="atLeast"/>
        <w:ind w:firstLine="420"/>
        <w:rPr>
          <w:rFonts w:ascii="宋体" w:hAnsi="宋体" w:hint="eastAsia"/>
          <w:szCs w:val="21"/>
        </w:rPr>
      </w:pPr>
      <w:r w:rsidRPr="00312655">
        <w:rPr>
          <w:rFonts w:ascii="宋体" w:hAnsi="宋体" w:hint="eastAsia"/>
          <w:szCs w:val="21"/>
        </w:rPr>
        <w:t>﹒</w:t>
      </w:r>
      <w:r w:rsidRPr="00312655">
        <w:rPr>
          <w:rFonts w:ascii="宋体" w:hAnsi="宋体" w:hint="eastAsia"/>
          <w:szCs w:val="21"/>
        </w:rPr>
        <w:t>金融监管制度不健全，监管当局的监管控制能力不强。</w:t>
      </w:r>
    </w:p>
    <w:p w:rsidR="00A64155" w:rsidRPr="00312655" w:rsidP="00312655">
      <w:pPr>
        <w:spacing w:line="240" w:lineRule="atLeast"/>
        <w:ind w:firstLine="420"/>
        <w:rPr>
          <w:rFonts w:ascii="宋体" w:hAnsi="宋体"/>
          <w:szCs w:val="21"/>
        </w:rPr>
      </w:pPr>
      <w:r w:rsidRPr="00312655">
        <w:rPr>
          <w:rFonts w:ascii="宋体" w:hAnsi="宋体" w:hint="eastAsia"/>
          <w:b/>
          <w:szCs w:val="21"/>
        </w:rPr>
        <w:t>发展趋势</w:t>
      </w:r>
    </w:p>
    <w:p w:rsidR="004D63CF" w:rsidRPr="00312655" w:rsidP="00312655">
      <w:pPr>
        <w:spacing w:line="240" w:lineRule="atLeast"/>
        <w:ind w:firstLine="420" w:firstLineChars="200"/>
        <w:rPr>
          <w:rFonts w:ascii="宋体" w:hAnsi="宋体"/>
          <w:szCs w:val="21"/>
        </w:rPr>
      </w:pPr>
      <w:r w:rsidRPr="00312655" w:rsidR="00A64155">
        <w:rPr>
          <w:rFonts w:ascii="宋体" w:hAnsi="宋体" w:hint="eastAsia"/>
          <w:szCs w:val="21"/>
        </w:rPr>
        <w:t>由于</w:t>
      </w:r>
      <w:r w:rsidRPr="00312655">
        <w:rPr>
          <w:rFonts w:ascii="宋体" w:hAnsi="宋体" w:hint="eastAsia"/>
          <w:szCs w:val="21"/>
        </w:rPr>
        <w:t>分业经营对我国金融业发展的制约：</w:t>
      </w:r>
    </w:p>
    <w:p w:rsidR="004D63CF" w:rsidRPr="00312655" w:rsidP="00312655">
      <w:pPr>
        <w:spacing w:line="240" w:lineRule="atLeast"/>
        <w:rPr>
          <w:rFonts w:ascii="宋体" w:hAnsi="宋体"/>
          <w:szCs w:val="21"/>
        </w:rPr>
      </w:pPr>
      <w:r w:rsidRPr="00312655">
        <w:rPr>
          <w:rFonts w:ascii="宋体" w:hAnsi="宋体" w:hint="eastAsia"/>
          <w:szCs w:val="21"/>
        </w:rPr>
        <w:t>　　</w:t>
      </w:r>
      <w:r w:rsidRPr="00312655">
        <w:rPr>
          <w:rFonts w:ascii="宋体" w:hAnsi="宋体" w:hint="eastAsia"/>
          <w:szCs w:val="21"/>
        </w:rPr>
        <w:t>﹒</w:t>
      </w:r>
      <w:r w:rsidRPr="00312655">
        <w:rPr>
          <w:rFonts w:ascii="宋体" w:hAnsi="宋体" w:hint="eastAsia"/>
          <w:szCs w:val="21"/>
        </w:rPr>
        <w:t>不利于实现货币市场和资本市场的合理沟通，限制了资本规模扩张；</w:t>
      </w:r>
    </w:p>
    <w:p w:rsidR="004D63CF" w:rsidRPr="00312655" w:rsidP="00312655">
      <w:pPr>
        <w:spacing w:line="240" w:lineRule="atLeast"/>
        <w:rPr>
          <w:rFonts w:ascii="宋体" w:hAnsi="宋体" w:hint="eastAsia"/>
          <w:szCs w:val="21"/>
        </w:rPr>
      </w:pPr>
      <w:r w:rsidRPr="00312655">
        <w:rPr>
          <w:rFonts w:hint="eastAsia"/>
          <w:szCs w:val="21"/>
        </w:rPr>
        <w:t>　　</w:t>
      </w:r>
      <w:r w:rsidRPr="00312655">
        <w:rPr>
          <w:rFonts w:hint="eastAsia"/>
          <w:szCs w:val="21"/>
        </w:rPr>
        <w:t>﹒</w:t>
      </w:r>
      <w:r w:rsidRPr="00312655">
        <w:rPr>
          <w:rFonts w:hint="eastAsia"/>
          <w:szCs w:val="21"/>
        </w:rPr>
        <w:t>国外</w:t>
      </w:r>
      <w:r w:rsidRPr="00312655">
        <w:rPr>
          <w:rFonts w:hint="eastAsia"/>
          <w:szCs w:val="21"/>
        </w:rPr>
        <w:t>“</w:t>
      </w:r>
      <w:r w:rsidRPr="00312655">
        <w:rPr>
          <w:rFonts w:hint="eastAsia"/>
          <w:szCs w:val="21"/>
        </w:rPr>
        <w:t>金融百货公司</w:t>
      </w:r>
      <w:r w:rsidRPr="00312655">
        <w:rPr>
          <w:rFonts w:hint="eastAsia"/>
          <w:szCs w:val="21"/>
        </w:rPr>
        <w:t>”</w:t>
      </w:r>
      <w:r w:rsidRPr="00312655">
        <w:rPr>
          <w:rFonts w:hint="eastAsia"/>
          <w:szCs w:val="21"/>
        </w:rPr>
        <w:t>的竞争，将对我国的分业经营制度产生冲击和影响。</w:t>
      </w:r>
    </w:p>
    <w:p w:rsidR="0024231F"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我国投资银行经营模式的发展趋势－－混业经营</w:t>
      </w:r>
    </w:p>
    <w:p w:rsidR="0024231F" w:rsidRPr="00312655" w:rsidP="003C1ECF">
      <w:pPr>
        <w:pStyle w:val="BodyText2"/>
        <w:numPr>
          <w:ilvl w:val="0"/>
          <w:numId w:val="25"/>
        </w:numPr>
        <w:spacing w:before="156" w:beforeLines="50" w:line="240" w:lineRule="atLeast"/>
        <w:ind w:right="32" w:rightChars="15"/>
        <w:jc w:val="both"/>
        <w:rPr>
          <w:rFonts w:ascii="宋体" w:hAnsi="宋体"/>
          <w:color w:val="FF00FF"/>
          <w:sz w:val="21"/>
          <w:szCs w:val="21"/>
        </w:rPr>
      </w:pPr>
      <w:r w:rsidRPr="00312655">
        <w:rPr>
          <w:rFonts w:ascii="宋体" w:hAnsi="宋体" w:hint="eastAsia"/>
          <w:color w:val="FF00FF"/>
          <w:sz w:val="21"/>
          <w:szCs w:val="21"/>
        </w:rPr>
        <w:t>来自国际金融市场的挑战。</w:t>
      </w:r>
    </w:p>
    <w:p w:rsidR="0024231F" w:rsidRPr="00312655" w:rsidP="003C1ECF">
      <w:pPr>
        <w:pStyle w:val="BodyText2"/>
        <w:numPr>
          <w:ilvl w:val="0"/>
          <w:numId w:val="25"/>
        </w:numPr>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color w:val="FF00FF"/>
          <w:sz w:val="21"/>
          <w:szCs w:val="21"/>
        </w:rPr>
        <w:t>商业银行是混业经营的内在推动力。</w:t>
      </w:r>
    </w:p>
    <w:p w:rsidR="0024231F" w:rsidRPr="00312655" w:rsidP="003C1ECF">
      <w:pPr>
        <w:pStyle w:val="BodyText2"/>
        <w:numPr>
          <w:ilvl w:val="0"/>
          <w:numId w:val="25"/>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分业经营限制了金融业竞争力的提升</w:t>
      </w:r>
      <w:r w:rsidRPr="00312655">
        <w:rPr>
          <w:rFonts w:ascii="宋体" w:hAnsi="宋体" w:hint="eastAsia"/>
          <w:sz w:val="21"/>
          <w:szCs w:val="21"/>
        </w:rPr>
        <w:t>。</w:t>
      </w:r>
    </w:p>
    <w:p w:rsidR="0024231F" w:rsidRPr="00312655" w:rsidP="003C1ECF">
      <w:pPr>
        <w:pStyle w:val="BodyText2"/>
        <w:numPr>
          <w:ilvl w:val="0"/>
          <w:numId w:val="25"/>
        </w:numPr>
        <w:spacing w:before="156" w:beforeLines="50" w:line="240" w:lineRule="atLeast"/>
        <w:ind w:right="32" w:rightChars="15"/>
        <w:jc w:val="both"/>
        <w:rPr>
          <w:rFonts w:ascii="宋体" w:hAnsi="宋体" w:hint="eastAsia"/>
          <w:sz w:val="21"/>
          <w:szCs w:val="21"/>
        </w:rPr>
      </w:pPr>
      <w:r w:rsidRPr="00312655" w:rsidR="00A64155">
        <w:rPr>
          <w:rFonts w:ascii="宋体" w:hAnsi="宋体" w:hint="eastAsia"/>
          <w:sz w:val="21"/>
          <w:szCs w:val="21"/>
        </w:rPr>
        <w:t>我国已经开始</w:t>
      </w:r>
      <w:r w:rsidRPr="00312655">
        <w:rPr>
          <w:rFonts w:ascii="宋体" w:hAnsi="宋体" w:hint="eastAsia"/>
          <w:sz w:val="21"/>
          <w:szCs w:val="21"/>
        </w:rPr>
        <w:t>混业模式的经验探索：金融控股集团，如光大集团、中信控股公司等，平安集团。</w:t>
      </w:r>
    </w:p>
    <w:p w:rsidR="009E249F" w:rsidRPr="00312655" w:rsidP="00312655">
      <w:pPr>
        <w:pStyle w:val="BodyText2"/>
        <w:spacing w:before="156" w:beforeLines="50" w:line="240" w:lineRule="atLeast"/>
        <w:ind w:right="32" w:rightChars="15"/>
        <w:jc w:val="both"/>
        <w:rPr>
          <w:rFonts w:ascii="宋体" w:hAnsi="宋体" w:hint="eastAsia"/>
          <w:color w:val="FF6600"/>
          <w:sz w:val="21"/>
          <w:szCs w:val="21"/>
        </w:rPr>
      </w:pPr>
      <w:r w:rsidRPr="00312655">
        <w:rPr>
          <w:rFonts w:ascii="宋体" w:hAnsi="宋体" w:hint="eastAsia"/>
          <w:color w:val="FF6600"/>
          <w:sz w:val="21"/>
          <w:szCs w:val="21"/>
        </w:rPr>
        <w:t>第三章</w:t>
      </w:r>
    </w:p>
    <w:p w:rsidR="00B13A61" w:rsidRPr="00312655" w:rsidP="003C1ECF">
      <w:pPr>
        <w:pStyle w:val="BodyText2"/>
        <w:numPr>
          <w:ilvl w:val="0"/>
          <w:numId w:val="2"/>
        </w:numPr>
        <w:spacing w:before="156" w:beforeLines="50" w:line="240" w:lineRule="atLeast"/>
        <w:ind w:right="32" w:rightChars="15"/>
        <w:jc w:val="both"/>
        <w:rPr>
          <w:sz w:val="21"/>
          <w:szCs w:val="21"/>
        </w:rPr>
      </w:pPr>
      <w:r w:rsidRPr="00312655" w:rsidR="00660CD7">
        <w:rPr>
          <w:rFonts w:ascii="宋体" w:hAnsi="宋体" w:hint="eastAsia"/>
          <w:b/>
          <w:sz w:val="21"/>
          <w:szCs w:val="21"/>
        </w:rPr>
        <w:t>投资银行分析企业价值时，在宏观、中观、微观等方面考虑的主要因素。</w:t>
      </w:r>
      <w:r w:rsidRPr="00312655">
        <w:rPr>
          <w:rFonts w:ascii="宋体" w:hAnsi="宋体"/>
          <w:b/>
          <w:sz w:val="21"/>
          <w:szCs w:val="21"/>
        </w:rPr>
        <w:br/>
      </w:r>
      <w:r w:rsidRPr="00312655">
        <w:rPr>
          <w:rFonts w:hint="eastAsia"/>
          <w:sz w:val="21"/>
          <w:szCs w:val="21"/>
        </w:rPr>
        <w:t>影响企业经营活动的</w:t>
      </w:r>
      <w:r w:rsidRPr="00312655">
        <w:rPr>
          <w:rFonts w:hint="eastAsia"/>
          <w:sz w:val="21"/>
          <w:szCs w:val="21"/>
          <w:u w:val="single"/>
        </w:rPr>
        <w:t>宏观因素</w:t>
      </w:r>
      <w:r w:rsidRPr="00312655">
        <w:rPr>
          <w:rFonts w:hint="eastAsia"/>
          <w:sz w:val="21"/>
          <w:szCs w:val="21"/>
        </w:rPr>
        <w:t>包括四个方面，即</w:t>
      </w:r>
      <w:r w:rsidRPr="00312655">
        <w:rPr>
          <w:sz w:val="21"/>
          <w:szCs w:val="21"/>
        </w:rPr>
        <w:t>PEST</w:t>
      </w:r>
      <w:r w:rsidRPr="00312655">
        <w:rPr>
          <w:rFonts w:hint="eastAsia"/>
          <w:sz w:val="21"/>
          <w:szCs w:val="21"/>
        </w:rPr>
        <w:t>（</w:t>
      </w:r>
      <w:r w:rsidRPr="00312655">
        <w:rPr>
          <w:sz w:val="21"/>
          <w:szCs w:val="21"/>
        </w:rPr>
        <w:t>Political</w:t>
      </w:r>
      <w:r w:rsidRPr="00312655">
        <w:rPr>
          <w:rFonts w:hint="eastAsia"/>
          <w:sz w:val="21"/>
          <w:szCs w:val="21"/>
        </w:rPr>
        <w:t>，</w:t>
      </w:r>
      <w:r w:rsidRPr="00312655">
        <w:rPr>
          <w:sz w:val="21"/>
          <w:szCs w:val="21"/>
        </w:rPr>
        <w:t>Economic</w:t>
      </w:r>
      <w:r w:rsidRPr="00312655">
        <w:rPr>
          <w:rFonts w:hint="eastAsia"/>
          <w:sz w:val="21"/>
          <w:szCs w:val="21"/>
        </w:rPr>
        <w:t>，</w:t>
      </w:r>
      <w:r w:rsidRPr="00312655">
        <w:rPr>
          <w:sz w:val="21"/>
          <w:szCs w:val="21"/>
        </w:rPr>
        <w:t>Social</w:t>
      </w:r>
      <w:r w:rsidRPr="00312655">
        <w:rPr>
          <w:rFonts w:hint="eastAsia"/>
          <w:sz w:val="21"/>
          <w:szCs w:val="21"/>
        </w:rPr>
        <w:t>，</w:t>
      </w:r>
      <w:r w:rsidRPr="00312655">
        <w:rPr>
          <w:sz w:val="21"/>
          <w:szCs w:val="21"/>
        </w:rPr>
        <w:t>Technological</w:t>
      </w:r>
      <w:r w:rsidRPr="00312655">
        <w:rPr>
          <w:rFonts w:hint="eastAsia"/>
          <w:sz w:val="21"/>
          <w:szCs w:val="21"/>
        </w:rPr>
        <w:t>）。</w:t>
      </w:r>
    </w:p>
    <w:p w:rsidR="00F62FF2" w:rsidRPr="00312655" w:rsidP="003C1ECF">
      <w:pPr>
        <w:pStyle w:val="BodyText2"/>
        <w:numPr>
          <w:ilvl w:val="0"/>
          <w:numId w:val="49"/>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政治和法律环境：指那些制约和影响企业的政治要素和法律系统及其运行状态。</w:t>
      </w:r>
    </w:p>
    <w:p w:rsidR="00F62FF2" w:rsidRPr="00312655" w:rsidP="003C1ECF">
      <w:pPr>
        <w:pStyle w:val="BodyText2"/>
        <w:numPr>
          <w:ilvl w:val="0"/>
          <w:numId w:val="49"/>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经济环境：指构成企业生存和发展的社会经济状况及国家的经济政策，包括社会经济结构、经济体制、发展状况、宏观经济政策等要素。</w:t>
      </w:r>
    </w:p>
    <w:p w:rsidR="00F62FF2" w:rsidRPr="00312655" w:rsidP="003C1ECF">
      <w:pPr>
        <w:pStyle w:val="BodyText2"/>
        <w:numPr>
          <w:ilvl w:val="0"/>
          <w:numId w:val="49"/>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社会文化与自然环境：前者指企业所处的社会结构、社会习俗和习惯、信仰和价值观念、文化传统和人口规模与地理分布等因素的形成和变动；后者指企业所处的生存环境与生态环境。</w:t>
      </w:r>
    </w:p>
    <w:p w:rsidR="00F62FF2" w:rsidRPr="00312655" w:rsidP="003C1ECF">
      <w:pPr>
        <w:pStyle w:val="BodyText2"/>
        <w:numPr>
          <w:ilvl w:val="0"/>
          <w:numId w:val="49"/>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技术环境：指科技要素及与该要素直接相关的各种社会现象的集合，包括国家科技体制、科技政策、科技水平和科技发展趋势等。</w:t>
      </w:r>
    </w:p>
    <w:p w:rsidR="00B13A61" w:rsidRPr="00312655" w:rsidP="00312655">
      <w:pPr>
        <w:pStyle w:val="BodyText2"/>
        <w:spacing w:before="156" w:beforeLines="50" w:line="240" w:lineRule="atLeast"/>
        <w:ind w:left="420" w:right="32" w:rightChars="15"/>
        <w:jc w:val="both"/>
        <w:rPr>
          <w:rFonts w:ascii="宋体" w:hAnsi="宋体" w:hint="eastAsia"/>
          <w:sz w:val="21"/>
          <w:szCs w:val="21"/>
        </w:rPr>
      </w:pPr>
      <w:r w:rsidRPr="00312655">
        <w:rPr>
          <w:rFonts w:ascii="宋体" w:hAnsi="宋体" w:hint="eastAsia"/>
          <w:sz w:val="21"/>
          <w:szCs w:val="21"/>
        </w:rPr>
        <w:t>对企业的</w:t>
      </w:r>
      <w:r w:rsidRPr="00312655">
        <w:rPr>
          <w:rFonts w:ascii="宋体" w:hAnsi="宋体" w:hint="eastAsia"/>
          <w:sz w:val="21"/>
          <w:szCs w:val="21"/>
          <w:u w:val="single"/>
        </w:rPr>
        <w:t>中观分析</w:t>
      </w:r>
      <w:r w:rsidRPr="00312655">
        <w:rPr>
          <w:rFonts w:ascii="宋体" w:hAnsi="宋体" w:hint="eastAsia"/>
          <w:sz w:val="21"/>
          <w:szCs w:val="21"/>
        </w:rPr>
        <w:t>——</w:t>
      </w:r>
      <w:r w:rsidRPr="00312655">
        <w:rPr>
          <w:rFonts w:ascii="宋体" w:hAnsi="宋体" w:hint="eastAsia"/>
          <w:sz w:val="21"/>
          <w:szCs w:val="21"/>
        </w:rPr>
        <w:t>产业因素</w:t>
      </w:r>
    </w:p>
    <w:p w:rsidR="00F62FF2" w:rsidRPr="00312655" w:rsidP="003C1ECF">
      <w:pPr>
        <w:pStyle w:val="BodyText2"/>
        <w:numPr>
          <w:ilvl w:val="0"/>
          <w:numId w:val="50"/>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行业环境分析包括：</w:t>
      </w:r>
    </w:p>
    <w:p w:rsidR="00B13A61" w:rsidRPr="00312655" w:rsidP="00312655">
      <w:pPr>
        <w:pStyle w:val="BodyText2"/>
        <w:spacing w:before="156" w:beforeLines="50" w:line="240" w:lineRule="atLeast"/>
        <w:ind w:right="32" w:firstLine="630" w:rightChars="15" w:firstLineChars="300"/>
        <w:jc w:val="both"/>
        <w:rPr>
          <w:rFonts w:ascii="宋体" w:hAnsi="宋体"/>
          <w:sz w:val="21"/>
          <w:szCs w:val="21"/>
        </w:rPr>
      </w:pPr>
      <w:r w:rsidRPr="00312655">
        <w:rPr>
          <w:rFonts w:ascii="宋体" w:hAnsi="宋体" w:hint="eastAsia"/>
          <w:sz w:val="21"/>
          <w:szCs w:val="21"/>
        </w:rPr>
        <w:t>行业的增长前景分析：行业所处的生命周期、以后年度的增长预测、过去年份的增长率；</w:t>
      </w:r>
    </w:p>
    <w:p w:rsidR="00B13A61" w:rsidRPr="00312655" w:rsidP="00312655">
      <w:pPr>
        <w:pStyle w:val="BodyText2"/>
        <w:spacing w:before="156" w:beforeLines="50" w:line="240" w:lineRule="atLeast"/>
        <w:ind w:left="420" w:right="32" w:firstLine="210" w:leftChars="200" w:rightChars="15" w:firstLineChars="100"/>
        <w:jc w:val="both"/>
        <w:rPr>
          <w:rFonts w:ascii="宋体" w:hAnsi="宋体"/>
          <w:sz w:val="21"/>
          <w:szCs w:val="21"/>
        </w:rPr>
        <w:sectPr>
          <w:type w:val="nextPage"/>
          <w:pgSz w:w="11906" w:h="16838"/>
          <w:pgMar w:top="1440" w:right="1800" w:bottom="1440" w:left="1800" w:header="851" w:footer="992" w:gutter="0"/>
          <w:pgNumType w:start="5"/>
          <w:cols w:space="425"/>
          <w:titlePg w:val="0"/>
          <w:docGrid w:type="lines" w:linePitch="312"/>
        </w:sectPr>
      </w:pPr>
      <w:r w:rsidRPr="00312655">
        <w:rPr>
          <w:rFonts w:ascii="宋体" w:hAnsi="宋体" w:hint="eastAsia"/>
          <w:sz w:val="21"/>
          <w:szCs w:val="21"/>
        </w:rPr>
        <w:t>行业统风险分析：行业外部影响因素对行业所在的企业发展的影响。</w:t>
      </w:r>
    </w:p>
    <w:p w:rsidR="00B13A61" w:rsidRPr="00312655" w:rsidP="003C1ECF">
      <w:pPr>
        <w:pStyle w:val="BodyText2"/>
        <w:numPr>
          <w:ilvl w:val="0"/>
          <w:numId w:val="50"/>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行业生命周期：初创期、成长期、稳定期、衰退期</w:t>
      </w:r>
    </w:p>
    <w:p w:rsidR="00B13A61" w:rsidRPr="00312655" w:rsidP="003C1ECF">
      <w:pPr>
        <w:pStyle w:val="BodyText2"/>
        <w:numPr>
          <w:ilvl w:val="0"/>
          <w:numId w:val="50"/>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行业的市场类型：反映行业内各企业之间的相互竞争地位和关系。分为：完全竞争、垄断竞争、寡头竞争、完全垄断</w:t>
      </w:r>
    </w:p>
    <w:p w:rsidR="00F62FF2" w:rsidRPr="00312655" w:rsidP="003C1ECF">
      <w:pPr>
        <w:pStyle w:val="BodyText2"/>
        <w:numPr>
          <w:ilvl w:val="0"/>
          <w:numId w:val="50"/>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政府的行业政策：</w:t>
      </w:r>
    </w:p>
    <w:p w:rsidR="00B13A6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　　促进：补贴、优惠税率、提高同类进口产品关税、保护行业的附加法规等；</w:t>
      </w:r>
    </w:p>
    <w:p w:rsidR="00B13A6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　　限制：如环保要求</w:t>
      </w:r>
    </w:p>
    <w:p w:rsidR="00B13A61" w:rsidRPr="00312655" w:rsidP="003C1ECF">
      <w:pPr>
        <w:pStyle w:val="BodyText2"/>
        <w:numPr>
          <w:ilvl w:val="0"/>
          <w:numId w:val="50"/>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企业所处的行业地位和竞争力：表明客户在行业中的竞争力及影响大小，以企业的市场占有率和市场覆盖率来表示。</w:t>
      </w:r>
    </w:p>
    <w:p w:rsidR="00B13A6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　　  分析不同企业同类产品的质量价格差异。</w:t>
      </w:r>
    </w:p>
    <w:p w:rsidR="00B13A6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　　  分析该行业的著名品牌及目标企业品牌的市场认知程度。</w:t>
      </w:r>
    </w:p>
    <w:p w:rsidR="00B13A6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　　  分析潜在进入者的影响及产品更新换代的影响</w:t>
      </w:r>
    </w:p>
    <w:p w:rsidR="00B13A61" w:rsidRPr="00312655" w:rsidP="003C1ECF">
      <w:pPr>
        <w:pStyle w:val="BodyText2"/>
        <w:numPr>
          <w:ilvl w:val="0"/>
          <w:numId w:val="50"/>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企业所处的价值链分析：如何实现更多的价值增值，功能与成本分析。</w:t>
      </w:r>
    </w:p>
    <w:p w:rsidR="00B13A61" w:rsidRPr="00312655" w:rsidP="00312655">
      <w:pPr>
        <w:pStyle w:val="BodyText2"/>
        <w:spacing w:before="156" w:beforeLines="50" w:line="240" w:lineRule="atLeast"/>
        <w:ind w:left="420" w:right="32" w:rightChars="15"/>
        <w:jc w:val="both"/>
        <w:rPr>
          <w:rFonts w:ascii="宋体" w:hAnsi="宋体" w:hint="eastAsia"/>
          <w:sz w:val="21"/>
          <w:szCs w:val="21"/>
        </w:rPr>
      </w:pPr>
      <w:r w:rsidRPr="00312655" w:rsidR="00010888">
        <w:rPr>
          <w:rFonts w:ascii="宋体" w:hAnsi="宋体" w:hint="eastAsia"/>
          <w:sz w:val="21"/>
          <w:szCs w:val="21"/>
        </w:rPr>
        <w:t>企业</w:t>
      </w:r>
      <w:r w:rsidRPr="00312655" w:rsidR="00010888">
        <w:rPr>
          <w:rFonts w:ascii="宋体" w:hAnsi="宋体" w:hint="eastAsia"/>
          <w:sz w:val="21"/>
          <w:szCs w:val="21"/>
          <w:u w:val="single"/>
        </w:rPr>
        <w:t>微观</w:t>
      </w:r>
      <w:r w:rsidRPr="00312655" w:rsidR="00010888">
        <w:rPr>
          <w:rFonts w:ascii="宋体" w:hAnsi="宋体" w:hint="eastAsia"/>
          <w:sz w:val="21"/>
          <w:szCs w:val="21"/>
        </w:rPr>
        <w:t>因素分析</w:t>
      </w:r>
    </w:p>
    <w:p w:rsidR="00010888" w:rsidRPr="00312655" w:rsidP="003C1ECF">
      <w:pPr>
        <w:pStyle w:val="BodyText2"/>
        <w:numPr>
          <w:ilvl w:val="0"/>
          <w:numId w:val="51"/>
        </w:numPr>
        <w:spacing w:before="156" w:beforeLines="50" w:line="240" w:lineRule="atLeast"/>
        <w:ind w:right="32" w:rightChars="15"/>
        <w:jc w:val="both"/>
        <w:rPr>
          <w:rFonts w:hint="eastAsia"/>
          <w:sz w:val="21"/>
          <w:szCs w:val="21"/>
        </w:rPr>
      </w:pPr>
      <w:r w:rsidRPr="00312655" w:rsidR="00B13A61">
        <w:rPr>
          <w:rFonts w:hint="eastAsia"/>
          <w:sz w:val="21"/>
          <w:szCs w:val="21"/>
        </w:rPr>
        <w:t>企业组织管理分析</w:t>
      </w:r>
      <w:r w:rsidRPr="00312655">
        <w:rPr>
          <w:rFonts w:hint="eastAsia"/>
          <w:sz w:val="21"/>
          <w:szCs w:val="21"/>
        </w:rPr>
        <w:t>，包括：企业制度、组织结构、管理中枢</w:t>
      </w:r>
    </w:p>
    <w:p w:rsidR="00F62FF2" w:rsidRPr="00312655" w:rsidP="003C1ECF">
      <w:pPr>
        <w:pStyle w:val="BodyText2"/>
        <w:numPr>
          <w:ilvl w:val="0"/>
          <w:numId w:val="51"/>
        </w:numPr>
        <w:spacing w:before="156" w:beforeLines="50" w:line="240" w:lineRule="atLeast"/>
        <w:ind w:right="32" w:rightChars="15"/>
        <w:jc w:val="both"/>
        <w:rPr>
          <w:rFonts w:ascii="宋体" w:hAnsi="宋体"/>
          <w:sz w:val="21"/>
          <w:szCs w:val="21"/>
        </w:rPr>
      </w:pPr>
      <w:r w:rsidRPr="00312655" w:rsidR="00B13A61">
        <w:rPr>
          <w:rFonts w:ascii="宋体" w:hAnsi="宋体" w:hint="eastAsia"/>
          <w:sz w:val="21"/>
          <w:szCs w:val="21"/>
        </w:rPr>
        <w:t>企业核心竞争力分析</w:t>
      </w:r>
      <w:r w:rsidRPr="00312655" w:rsidR="00010888">
        <w:rPr>
          <w:rFonts w:ascii="宋体" w:hAnsi="宋体" w:hint="eastAsia"/>
          <w:sz w:val="21"/>
          <w:szCs w:val="21"/>
        </w:rPr>
        <w:t>：主要包括企业核心业务竞争力和经营能力两个方面。</w:t>
      </w:r>
    </w:p>
    <w:p w:rsidR="00F62FF2" w:rsidRPr="00312655" w:rsidP="00312655">
      <w:pPr>
        <w:pStyle w:val="BodyText2"/>
        <w:spacing w:before="156" w:beforeLines="50" w:line="240" w:lineRule="atLeast"/>
        <w:ind w:left="160" w:right="32" w:firstLine="735" w:leftChars="76" w:rightChars="15" w:firstLineChars="350"/>
        <w:jc w:val="both"/>
        <w:rPr>
          <w:sz w:val="21"/>
          <w:szCs w:val="21"/>
        </w:rPr>
      </w:pPr>
      <w:r w:rsidRPr="00312655" w:rsidR="00010888">
        <w:rPr>
          <w:rFonts w:hint="eastAsia"/>
          <w:sz w:val="21"/>
          <w:szCs w:val="21"/>
        </w:rPr>
        <w:t>核心业务是企业的主要收入来源，核心业务分析的目的是为了评判企业主导产品、主要业务的市场表现情况及发展趋势，由此分析企业主营业务现金流量的变化。</w:t>
      </w:r>
    </w:p>
    <w:p w:rsidR="00B13A61" w:rsidRPr="00312655" w:rsidP="00312655">
      <w:pPr>
        <w:pStyle w:val="BodyText2"/>
        <w:spacing w:before="156" w:beforeLines="50" w:line="240" w:lineRule="atLeast"/>
        <w:ind w:right="32" w:firstLine="315" w:rightChars="15" w:firstLineChars="150"/>
        <w:jc w:val="both"/>
        <w:rPr>
          <w:sz w:val="21"/>
          <w:szCs w:val="21"/>
        </w:rPr>
      </w:pPr>
      <w:r w:rsidRPr="00312655" w:rsidR="00010888">
        <w:rPr>
          <w:rFonts w:hint="eastAsia"/>
          <w:sz w:val="21"/>
          <w:szCs w:val="21"/>
        </w:rPr>
        <w:t xml:space="preserve">    经营能力是企业经营活动适应外部环境要求并进行弹性与战略性调整的能力。</w:t>
      </w:r>
    </w:p>
    <w:p w:rsidR="00B13A61" w:rsidRPr="00312655" w:rsidP="003C1ECF">
      <w:pPr>
        <w:pStyle w:val="BodyText2"/>
        <w:numPr>
          <w:ilvl w:val="0"/>
          <w:numId w:val="51"/>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企业所处的成长周期分析</w:t>
      </w:r>
    </w:p>
    <w:p w:rsidR="00010888" w:rsidRPr="00312655" w:rsidP="003C1ECF">
      <w:pPr>
        <w:pStyle w:val="BodyText2"/>
        <w:numPr>
          <w:ilvl w:val="0"/>
          <w:numId w:val="52"/>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新创阶段：企业刚成立开始运作的阶段，其特点：</w:t>
      </w:r>
      <w:r w:rsidRPr="00312655">
        <w:rPr>
          <w:rFonts w:ascii="宋体" w:hAnsi="宋体"/>
          <w:sz w:val="21"/>
          <w:szCs w:val="21"/>
        </w:rPr>
        <w:t>1</w:t>
      </w:r>
      <w:r w:rsidRPr="00312655">
        <w:rPr>
          <w:rFonts w:ascii="宋体" w:hAnsi="宋体" w:hint="eastAsia"/>
          <w:sz w:val="21"/>
          <w:szCs w:val="21"/>
        </w:rPr>
        <w:t>）有很大风险：技术风险、市场风险、管理风险；</w:t>
      </w:r>
      <w:r w:rsidRPr="00312655">
        <w:rPr>
          <w:rFonts w:ascii="宋体" w:hAnsi="宋体"/>
          <w:sz w:val="21"/>
          <w:szCs w:val="21"/>
        </w:rPr>
        <w:t>2</w:t>
      </w:r>
      <w:r w:rsidRPr="00312655">
        <w:rPr>
          <w:rFonts w:ascii="宋体" w:hAnsi="宋体" w:hint="eastAsia"/>
          <w:sz w:val="21"/>
          <w:szCs w:val="21"/>
        </w:rPr>
        <w:t>）资金需求强烈，筹资成本高。</w:t>
      </w:r>
    </w:p>
    <w:p w:rsidR="00010888" w:rsidRPr="00312655" w:rsidP="003C1ECF">
      <w:pPr>
        <w:pStyle w:val="BodyText2"/>
        <w:numPr>
          <w:ilvl w:val="0"/>
          <w:numId w:val="53"/>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上升阶段：企业规模急剧膨胀；企业财务状况逐步改善</w:t>
      </w:r>
    </w:p>
    <w:p w:rsidR="00010888" w:rsidRPr="00312655" w:rsidP="003C1ECF">
      <w:pPr>
        <w:pStyle w:val="BodyText2"/>
        <w:numPr>
          <w:ilvl w:val="0"/>
          <w:numId w:val="54"/>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成熟阶段：已有相当大市场，且有大量稳定的现金流</w:t>
      </w:r>
    </w:p>
    <w:p w:rsidR="00010888" w:rsidRPr="00312655" w:rsidP="003C1ECF">
      <w:pPr>
        <w:pStyle w:val="BodyText2"/>
        <w:numPr>
          <w:ilvl w:val="0"/>
          <w:numId w:val="55"/>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衰退阶段：盈利能力降低，寻找出路</w:t>
      </w:r>
    </w:p>
    <w:p w:rsidR="00F62FF2" w:rsidRPr="00312655" w:rsidP="00312655">
      <w:pPr>
        <w:pStyle w:val="BodyText2"/>
        <w:spacing w:before="156" w:beforeLines="50" w:line="240" w:lineRule="atLeast"/>
        <w:ind w:right="32" w:firstLine="210" w:rightChars="15" w:firstLineChars="100"/>
        <w:jc w:val="both"/>
        <w:rPr>
          <w:rFonts w:ascii="宋体" w:hAnsi="宋体"/>
          <w:sz w:val="21"/>
          <w:szCs w:val="21"/>
        </w:rPr>
      </w:pPr>
      <w:r w:rsidRPr="00312655" w:rsidR="00B13A61">
        <w:rPr>
          <w:rFonts w:ascii="宋体" w:hAnsi="宋体" w:hint="eastAsia"/>
          <w:sz w:val="21"/>
          <w:szCs w:val="21"/>
        </w:rPr>
        <w:t>（</w:t>
      </w:r>
      <w:r w:rsidRPr="00312655" w:rsidR="00B13A61">
        <w:rPr>
          <w:rFonts w:ascii="宋体" w:hAnsi="宋体"/>
          <w:sz w:val="21"/>
          <w:szCs w:val="21"/>
        </w:rPr>
        <w:t>4</w:t>
      </w:r>
      <w:r w:rsidRPr="00312655" w:rsidR="00B13A61">
        <w:rPr>
          <w:rFonts w:ascii="宋体" w:hAnsi="宋体" w:hint="eastAsia"/>
          <w:sz w:val="21"/>
          <w:szCs w:val="21"/>
        </w:rPr>
        <w:t>）财务报表分析</w:t>
      </w:r>
      <w:r w:rsidRPr="00312655" w:rsidR="00010888">
        <w:rPr>
          <w:rFonts w:ascii="宋体" w:hAnsi="宋体" w:hint="eastAsia"/>
          <w:sz w:val="21"/>
          <w:szCs w:val="21"/>
        </w:rPr>
        <w:t>：是指以财务报表和其他资料为依据和起点，采用专门方法，系统分析和评价企业的过去和现在的经营成果、财务状况及其变动。</w:t>
      </w:r>
    </w:p>
    <w:p w:rsidR="00B13A61" w:rsidRPr="00312655" w:rsidP="00312655">
      <w:pPr>
        <w:pStyle w:val="BodyText2"/>
        <w:spacing w:before="156" w:beforeLines="50" w:line="240" w:lineRule="atLeast"/>
        <w:ind w:right="32" w:firstLine="105" w:rightChars="15" w:firstLineChars="50"/>
        <w:jc w:val="both"/>
        <w:rPr>
          <w:rFonts w:ascii="宋体" w:hAnsi="宋体"/>
          <w:sz w:val="21"/>
          <w:szCs w:val="21"/>
        </w:rPr>
      </w:pPr>
    </w:p>
    <w:p w:rsidR="009664B3" w:rsidRPr="00312655" w:rsidP="003C1ECF">
      <w:pPr>
        <w:pStyle w:val="BodyText2"/>
        <w:numPr>
          <w:ilvl w:val="0"/>
          <w:numId w:val="2"/>
        </w:numPr>
        <w:spacing w:before="156" w:beforeLines="50" w:line="240" w:lineRule="atLeast"/>
        <w:ind w:right="32" w:rightChars="15"/>
        <w:jc w:val="both"/>
        <w:rPr>
          <w:rFonts w:ascii="宋体" w:hAnsi="宋体" w:hint="eastAsia"/>
          <w:b/>
          <w:sz w:val="21"/>
          <w:szCs w:val="21"/>
        </w:rPr>
      </w:pPr>
      <w:r w:rsidRPr="00312655" w:rsidR="009E249F">
        <w:rPr>
          <w:rFonts w:ascii="宋体" w:hAnsi="宋体" w:hint="eastAsia"/>
          <w:b/>
          <w:sz w:val="21"/>
          <w:szCs w:val="21"/>
        </w:rPr>
        <w:t>企业价值常见的定量分析方法：</w:t>
      </w:r>
      <w:r w:rsidRPr="00312655" w:rsidR="009E249F">
        <w:rPr>
          <w:rFonts w:ascii="宋体" w:hAnsi="宋体" w:hint="eastAsia"/>
          <w:b/>
          <w:bCs/>
          <w:sz w:val="21"/>
          <w:szCs w:val="21"/>
        </w:rPr>
        <w:t>现金流折现法（收益法）</w:t>
      </w:r>
      <w:r w:rsidRPr="00312655" w:rsidR="00660CD7">
        <w:rPr>
          <w:rFonts w:ascii="宋体" w:hAnsi="宋体" w:hint="eastAsia"/>
          <w:b/>
          <w:bCs/>
          <w:sz w:val="21"/>
          <w:szCs w:val="21"/>
        </w:rPr>
        <w:t>和</w:t>
      </w:r>
      <w:r w:rsidRPr="00312655" w:rsidR="009E249F">
        <w:rPr>
          <w:rFonts w:ascii="宋体" w:hAnsi="宋体" w:hint="eastAsia"/>
          <w:b/>
          <w:sz w:val="21"/>
          <w:szCs w:val="21"/>
        </w:rPr>
        <w:t>市场比较法（市盈率法、市净率法）</w:t>
      </w:r>
      <w:r w:rsidRPr="00312655" w:rsidR="00660CD7">
        <w:rPr>
          <w:rFonts w:ascii="宋体" w:hAnsi="宋体" w:hint="eastAsia"/>
          <w:b/>
          <w:sz w:val="21"/>
          <w:szCs w:val="21"/>
        </w:rPr>
        <w:t>。</w:t>
      </w:r>
    </w:p>
    <w:p w:rsidR="006939AB" w:rsidRPr="00312655" w:rsidP="00312655">
      <w:pPr>
        <w:pStyle w:val="BodyText2"/>
        <w:spacing w:before="156" w:beforeLines="50" w:line="240" w:lineRule="atLeast"/>
        <w:ind w:right="32" w:rightChars="15"/>
        <w:jc w:val="both"/>
        <w:rPr>
          <w:rFonts w:ascii="宋体" w:hAnsi="宋体" w:hint="eastAsia"/>
          <w:sz w:val="21"/>
          <w:szCs w:val="21"/>
        </w:rPr>
        <w:sectPr>
          <w:type w:val="nextPage"/>
          <w:pgSz w:w="11906" w:h="16838"/>
          <w:pgMar w:top="1440" w:right="1800" w:bottom="1440" w:left="1800" w:header="851" w:footer="992" w:gutter="0"/>
          <w:pgNumType w:start="6"/>
          <w:cols w:space="425"/>
          <w:titlePg w:val="0"/>
          <w:docGrid w:type="lines" w:linePitch="312"/>
        </w:sectPr>
      </w:pPr>
      <w:r w:rsidRPr="00312655">
        <w:rPr>
          <w:rFonts w:ascii="宋体" w:hAnsi="宋体" w:hint="eastAsia"/>
          <w:sz w:val="21"/>
          <w:szCs w:val="21"/>
        </w:rPr>
        <w:t>（1）现金流折现模型是运用收入的资本化定价方法来决定普通股票内在价值的方法。按照收入的资本化定价方法，</w:t>
      </w:r>
      <w:r w:rsidRPr="00312655">
        <w:rPr>
          <w:rFonts w:ascii="宋体" w:hAnsi="宋体" w:hint="eastAsia"/>
          <w:color w:val="FF00FF"/>
          <w:sz w:val="21"/>
          <w:szCs w:val="21"/>
        </w:rPr>
        <w:t>任何资产的内在价值是由拥有资产的投资者在未来时期所接受的现金流决定的。由于现金流是未来时期的预期值，因此必须按照一定的贴现率返还成现值。</w:t>
      </w:r>
      <w:r w:rsidRPr="00312655">
        <w:rPr>
          <w:rFonts w:ascii="宋体" w:hAnsi="宋体" w:hint="eastAsia"/>
          <w:sz w:val="21"/>
          <w:szCs w:val="21"/>
        </w:rPr>
        <w:t>也就是说，一种资产的内在价值等于预期现金流的贴现值。</w:t>
      </w:r>
    </w:p>
    <w:p w:rsidR="007F64C5" w:rsidRPr="00312655" w:rsidP="00312655">
      <w:pPr>
        <w:pStyle w:val="ListParagraph"/>
        <w:spacing w:line="240" w:lineRule="atLeast"/>
        <w:ind w:left="3089" w:hanging="2625" w:leftChars="221" w:hangingChars="1250"/>
        <w:rPr>
          <w:rFonts w:ascii="宋体" w:hAnsi="宋体"/>
          <w:szCs w:val="21"/>
        </w:rPr>
      </w:pPr>
      <w:r w:rsidRPr="00312655">
        <w:rPr>
          <w:rFonts w:ascii="宋体" w:hAnsi="宋体" w:hint="eastAsia"/>
          <w:szCs w:val="21"/>
        </w:rPr>
        <w:t xml:space="preserve">   收益法（现金流折现法）：根据企业未来的获利，以现金流量的形态依适当的折现率折为现值。</w:t>
      </w:r>
    </w:p>
    <w:p w:rsidR="007F64C5" w:rsidRPr="00312655" w:rsidP="00312655">
      <w:pPr>
        <w:pStyle w:val="BodyText2"/>
        <w:spacing w:before="156" w:beforeLines="50" w:line="240" w:lineRule="atLeast"/>
        <w:ind w:right="32" w:firstLine="735" w:rightChars="15" w:firstLineChars="350"/>
        <w:jc w:val="both"/>
        <w:rPr>
          <w:rFonts w:ascii="宋体" w:hAnsi="宋体" w:hint="eastAsia"/>
          <w:sz w:val="21"/>
          <w:szCs w:val="21"/>
        </w:rPr>
      </w:pPr>
      <w:r w:rsidRPr="00312655">
        <w:rPr>
          <w:rFonts w:ascii="宋体" w:hAnsi="宋体" w:hint="eastAsia"/>
          <w:sz w:val="21"/>
          <w:szCs w:val="21"/>
        </w:rPr>
        <w:t>收益法的优点在于其考虑到：货币的时间价值、现金流量和风险。</w:t>
      </w:r>
    </w:p>
    <w:p w:rsidR="007F64C5" w:rsidRPr="00312655" w:rsidP="00475A11">
      <w:pPr>
        <w:pStyle w:val="BodyText2"/>
        <w:spacing w:before="156" w:beforeLines="50" w:line="240" w:lineRule="atLeast"/>
        <w:ind w:right="32" w:rightChars="15"/>
        <w:jc w:val="both"/>
        <w:rPr>
          <w:rFonts w:ascii="宋体" w:hAnsi="宋体"/>
          <w:sz w:val="21"/>
          <w:szCs w:val="21"/>
        </w:rPr>
      </w:pPr>
      <w:r w:rsidRPr="00312655" w:rsidR="0019602A">
        <w:rPr>
          <w:rFonts w:ascii="宋体" w:hAnsi="宋体" w:hint="eastAsia"/>
          <w:sz w:val="21"/>
          <w:szCs w:val="21"/>
        </w:rPr>
        <w:t>（2</w:t>
      </w:r>
      <w:r w:rsidRPr="00312655" w:rsidR="0019602A">
        <w:rPr>
          <w:rFonts w:ascii="宋体" w:hAnsi="宋体"/>
          <w:sz w:val="21"/>
          <w:szCs w:val="21"/>
        </w:rPr>
        <w:t>）</w:t>
      </w:r>
      <w:r w:rsidRPr="00312655" w:rsidR="0019602A">
        <w:rPr>
          <w:rFonts w:ascii="宋体" w:hAnsi="宋体" w:hint="eastAsia"/>
          <w:sz w:val="21"/>
          <w:szCs w:val="21"/>
        </w:rPr>
        <w:t>市场比较法：</w:t>
      </w:r>
    </w:p>
    <w:p w:rsidR="007F64C5" w:rsidRPr="00312655" w:rsidP="00312655">
      <w:pPr>
        <w:spacing w:line="240" w:lineRule="atLeast"/>
        <w:ind w:left="945" w:hanging="630" w:leftChars="150" w:hangingChars="300"/>
        <w:rPr>
          <w:rFonts w:ascii="宋体" w:hAnsi="宋体"/>
          <w:szCs w:val="21"/>
        </w:rPr>
      </w:pPr>
      <w:r w:rsidRPr="00312655">
        <w:rPr>
          <w:rFonts w:ascii="宋体" w:hAnsi="宋体" w:hint="eastAsia"/>
          <w:szCs w:val="21"/>
        </w:rPr>
        <w:t>思路：寻找特性相近的类似企业，作为企业价值比较的对象，最后再调整溢价和折价以反映与类似企业的不同之处。</w:t>
      </w:r>
      <w:r w:rsidRPr="00312655">
        <w:rPr>
          <w:rFonts w:ascii="宋体" w:hAnsi="宋体"/>
          <w:szCs w:val="21"/>
        </w:rPr>
        <w:t xml:space="preserve"> </w:t>
      </w:r>
    </w:p>
    <w:p w:rsidR="007F64C5" w:rsidRPr="00312655" w:rsidP="00312655">
      <w:pPr>
        <w:pStyle w:val="ListParagraph"/>
        <w:spacing w:line="240" w:lineRule="atLeast"/>
        <w:ind w:firstLine="262" w:firstLineChars="125"/>
        <w:rPr>
          <w:rFonts w:ascii="宋体" w:hAnsi="宋体"/>
          <w:color w:val="FF00FF"/>
          <w:szCs w:val="21"/>
        </w:rPr>
      </w:pPr>
      <w:r w:rsidRPr="00312655">
        <w:rPr>
          <w:rFonts w:ascii="宋体" w:hAnsi="宋体" w:hint="eastAsia"/>
          <w:color w:val="FF00FF"/>
          <w:szCs w:val="21"/>
        </w:rPr>
        <w:t>资产的价值通过参考可比资产的价值与某一变量（如收益、现金流、帐面价值或收入等）比率而得到。</w:t>
      </w:r>
      <w:r w:rsidRPr="00312655">
        <w:rPr>
          <w:rFonts w:ascii="宋体" w:hAnsi="宋体"/>
          <w:color w:val="FF00FF"/>
          <w:szCs w:val="21"/>
        </w:rPr>
        <w:t xml:space="preserve"> </w:t>
      </w:r>
    </w:p>
    <w:p w:rsidR="007F64C5" w:rsidRPr="00312655" w:rsidP="00312655">
      <w:pPr>
        <w:pStyle w:val="ListParagraph"/>
        <w:spacing w:line="240" w:lineRule="atLeast"/>
        <w:ind w:left="3089" w:hanging="2625" w:leftChars="221" w:hangingChars="1250"/>
        <w:rPr>
          <w:rFonts w:ascii="宋体" w:hAnsi="宋体" w:hint="eastAsia"/>
          <w:szCs w:val="21"/>
        </w:rPr>
      </w:pPr>
      <w:r w:rsidRPr="00312655">
        <w:rPr>
          <w:rFonts w:ascii="宋体" w:hAnsi="宋体" w:hint="eastAsia"/>
          <w:szCs w:val="21"/>
        </w:rPr>
        <w:t>　　 可比公司</w:t>
      </w:r>
    </w:p>
    <w:p w:rsidR="0019602A" w:rsidRPr="00312655" w:rsidP="00312655">
      <w:pPr>
        <w:pStyle w:val="ListParagraph"/>
        <w:spacing w:line="240" w:lineRule="atLeast"/>
        <w:ind w:left="2854" w:hanging="1911" w:leftChars="449" w:hangingChars="910"/>
        <w:rPr>
          <w:rFonts w:ascii="宋体" w:hAnsi="宋体" w:hint="eastAsia"/>
          <w:szCs w:val="21"/>
        </w:rPr>
      </w:pPr>
      <w:r w:rsidRPr="00312655">
        <w:rPr>
          <w:rFonts w:ascii="宋体" w:hAnsi="宋体" w:hint="eastAsia"/>
          <w:szCs w:val="21"/>
        </w:rPr>
        <w:t>市盈率又称价格收益比或本益比，是每股价格与每股收益之间的比率。</w:t>
      </w:r>
    </w:p>
    <w:p w:rsidR="0019602A" w:rsidRPr="00312655" w:rsidP="00312655">
      <w:pPr>
        <w:pStyle w:val="ListParagraph"/>
        <w:spacing w:line="240" w:lineRule="atLeast"/>
        <w:ind w:left="3089" w:hanging="2625" w:leftChars="221" w:hangingChars="1250"/>
        <w:rPr>
          <w:rFonts w:ascii="宋体" w:hAnsi="宋体" w:hint="eastAsia"/>
          <w:szCs w:val="21"/>
        </w:rPr>
      </w:pPr>
      <w:r w:rsidRPr="00312655">
        <w:rPr>
          <w:rFonts w:ascii="宋体" w:hAnsi="宋体"/>
          <w:szCs w:val="21"/>
        </w:rPr>
        <w:t>市盈率越低，代表</w:t>
      </w:r>
      <w:hyperlink r:id="rId5" w:tgtFrame="_blank" w:history="1">
        <w:r w:rsidRPr="00312655">
          <w:rPr>
            <w:rFonts w:ascii="宋体" w:hAnsi="宋体"/>
            <w:szCs w:val="21"/>
          </w:rPr>
          <w:t>投资者</w:t>
        </w:r>
      </w:hyperlink>
      <w:r w:rsidRPr="00312655">
        <w:rPr>
          <w:rFonts w:ascii="宋体" w:hAnsi="宋体"/>
          <w:szCs w:val="21"/>
        </w:rPr>
        <w:t>能够以较低价格购入</w:t>
      </w:r>
      <w:hyperlink r:id="rId6" w:tgtFrame="_blank" w:history="1">
        <w:r w:rsidRPr="00312655">
          <w:rPr>
            <w:rFonts w:ascii="宋体" w:hAnsi="宋体"/>
            <w:szCs w:val="21"/>
          </w:rPr>
          <w:t>股票</w:t>
        </w:r>
      </w:hyperlink>
      <w:r w:rsidRPr="00312655">
        <w:rPr>
          <w:rFonts w:ascii="宋体" w:hAnsi="宋体"/>
          <w:szCs w:val="21"/>
        </w:rPr>
        <w:t>以取得回报。</w:t>
      </w:r>
    </w:p>
    <w:p w:rsidR="00660CD7" w:rsidRPr="00312655" w:rsidP="00312655">
      <w:pPr>
        <w:pStyle w:val="ListParagraph"/>
        <w:spacing w:line="240" w:lineRule="atLeast"/>
        <w:ind w:left="3089" w:hanging="2625" w:leftChars="221" w:hangingChars="1250"/>
        <w:rPr>
          <w:rFonts w:ascii="宋体" w:hAnsi="宋体" w:hint="eastAsia"/>
          <w:szCs w:val="21"/>
        </w:rPr>
      </w:pPr>
      <w:r w:rsidRPr="00312655" w:rsidR="0019602A">
        <w:rPr>
          <w:rFonts w:ascii="宋体" w:hAnsi="宋体"/>
          <w:szCs w:val="21"/>
        </w:rPr>
        <w:t>&lt;0 ：指该公司盈利为负</w:t>
      </w:r>
    </w:p>
    <w:p w:rsidR="0019602A" w:rsidRPr="00312655" w:rsidP="00312655">
      <w:pPr>
        <w:pStyle w:val="ListParagraph"/>
        <w:spacing w:line="240" w:lineRule="atLeast"/>
        <w:ind w:left="3089" w:hanging="2625" w:leftChars="221" w:hangingChars="1250"/>
        <w:rPr>
          <w:rFonts w:ascii="宋体" w:hAnsi="宋体"/>
          <w:szCs w:val="21"/>
        </w:rPr>
      </w:pPr>
      <w:r w:rsidRPr="00312655">
        <w:rPr>
          <w:rFonts w:ascii="宋体" w:hAnsi="宋体"/>
          <w:szCs w:val="21"/>
        </w:rPr>
        <w:t xml:space="preserve">0-13 ：即价值被低估 </w:t>
      </w:r>
    </w:p>
    <w:p w:rsidR="0019602A" w:rsidRPr="00312655" w:rsidP="00312655">
      <w:pPr>
        <w:pStyle w:val="ListParagraph"/>
        <w:spacing w:line="240" w:lineRule="atLeast"/>
        <w:ind w:left="3089" w:hanging="2625" w:leftChars="221" w:hangingChars="1250"/>
        <w:rPr>
          <w:rFonts w:ascii="宋体" w:hAnsi="宋体"/>
          <w:szCs w:val="21"/>
        </w:rPr>
      </w:pPr>
      <w:r w:rsidRPr="00312655">
        <w:rPr>
          <w:rFonts w:ascii="宋体" w:hAnsi="宋体"/>
          <w:szCs w:val="21"/>
        </w:rPr>
        <w:t xml:space="preserve">14-20：即正常水平 </w:t>
      </w:r>
    </w:p>
    <w:p w:rsidR="0019602A" w:rsidRPr="00312655" w:rsidP="00312655">
      <w:pPr>
        <w:pStyle w:val="ListParagraph"/>
        <w:spacing w:line="240" w:lineRule="atLeast"/>
        <w:ind w:left="3089" w:hanging="2625" w:leftChars="221" w:hangingChars="1250"/>
        <w:rPr>
          <w:rFonts w:ascii="宋体" w:hAnsi="宋体"/>
          <w:szCs w:val="21"/>
        </w:rPr>
      </w:pPr>
      <w:r w:rsidRPr="00312655">
        <w:rPr>
          <w:rFonts w:ascii="宋体" w:hAnsi="宋体"/>
          <w:szCs w:val="21"/>
        </w:rPr>
        <w:t xml:space="preserve">21-28：即价值被高估 </w:t>
      </w:r>
    </w:p>
    <w:p w:rsidR="0019602A" w:rsidRPr="00312655" w:rsidP="00312655">
      <w:pPr>
        <w:pStyle w:val="ListParagraph"/>
        <w:spacing w:line="240" w:lineRule="atLeast"/>
        <w:ind w:left="3089" w:hanging="2625" w:leftChars="221" w:hangingChars="1250"/>
        <w:rPr>
          <w:rFonts w:ascii="宋体" w:hAnsi="宋体" w:hint="eastAsia"/>
          <w:szCs w:val="21"/>
        </w:rPr>
      </w:pPr>
      <w:r w:rsidRPr="00312655">
        <w:rPr>
          <w:rFonts w:ascii="宋体" w:hAnsi="宋体"/>
          <w:szCs w:val="21"/>
        </w:rPr>
        <w:t>28+ ：反映</w:t>
      </w:r>
      <w:hyperlink r:id="rId7" w:tgtFrame="_blank" w:history="1">
        <w:r w:rsidRPr="00312655">
          <w:rPr>
            <w:rFonts w:ascii="宋体" w:hAnsi="宋体"/>
            <w:szCs w:val="21"/>
          </w:rPr>
          <w:t>股市</w:t>
        </w:r>
      </w:hyperlink>
      <w:r w:rsidRPr="00312655">
        <w:rPr>
          <w:rFonts w:ascii="宋体" w:hAnsi="宋体"/>
          <w:szCs w:val="21"/>
        </w:rPr>
        <w:t>出现投机性泡沫　</w:t>
      </w:r>
    </w:p>
    <w:p w:rsidR="00475A11" w:rsidP="00475A11">
      <w:pPr>
        <w:pStyle w:val="ListParagraph"/>
        <w:spacing w:line="240" w:lineRule="atLeast"/>
        <w:ind w:left="3089" w:hanging="2625" w:leftChars="221" w:hangingChars="1250"/>
        <w:rPr>
          <w:rFonts w:ascii="宋体" w:hAnsi="宋体" w:hint="eastAsia"/>
          <w:szCs w:val="21"/>
        </w:rPr>
      </w:pPr>
      <w:r w:rsidRPr="00312655" w:rsidR="0019602A">
        <w:rPr>
          <w:rFonts w:ascii="宋体" w:hAnsi="宋体"/>
          <w:szCs w:val="21"/>
        </w:rPr>
        <w:t>市净率指的是每股</w:t>
      </w:r>
      <w:hyperlink r:id="rId8" w:tgtFrame="_blank" w:history="1">
        <w:r w:rsidRPr="00312655" w:rsidR="0019602A">
          <w:rPr>
            <w:rFonts w:ascii="宋体" w:hAnsi="宋体"/>
            <w:szCs w:val="21"/>
          </w:rPr>
          <w:t>股价</w:t>
        </w:r>
      </w:hyperlink>
      <w:r w:rsidRPr="00312655" w:rsidR="0019602A">
        <w:rPr>
          <w:rFonts w:ascii="宋体" w:hAnsi="宋体"/>
          <w:szCs w:val="21"/>
        </w:rPr>
        <w:t>与每股</w:t>
      </w:r>
      <w:hyperlink r:id="rId9" w:tgtFrame="_blank" w:history="1">
        <w:r w:rsidRPr="00312655" w:rsidR="0019602A">
          <w:rPr>
            <w:rFonts w:ascii="宋体" w:hAnsi="宋体"/>
            <w:szCs w:val="21"/>
          </w:rPr>
          <w:t>净资产</w:t>
        </w:r>
      </w:hyperlink>
      <w:r w:rsidRPr="00312655" w:rsidR="0019602A">
        <w:rPr>
          <w:rFonts w:ascii="宋体" w:hAnsi="宋体"/>
          <w:szCs w:val="21"/>
        </w:rPr>
        <w:t>的比率。</w:t>
      </w:r>
    </w:p>
    <w:p w:rsidR="0019602A" w:rsidRPr="00312655" w:rsidP="00475A11">
      <w:pPr>
        <w:pStyle w:val="ListParagraph"/>
        <w:spacing w:line="240" w:lineRule="atLeast"/>
        <w:ind w:firstLineChars="0"/>
        <w:rPr>
          <w:rFonts w:ascii="宋体" w:hAnsi="宋体" w:hint="eastAsia"/>
          <w:szCs w:val="21"/>
        </w:rPr>
      </w:pPr>
      <w:r w:rsidRPr="00312655">
        <w:rPr>
          <w:rFonts w:ascii="宋体" w:hAnsi="宋体"/>
          <w:szCs w:val="21"/>
        </w:rPr>
        <w:t xml:space="preserve"> 市净率可用于投资分析，一般来说市净率较低的股票，投资价值较高，相反，则投资价值较低；但在判断投资价值时还要考虑当时的市场环境以及公司经营情况、盈利能力等因素。</w:t>
      </w:r>
    </w:p>
    <w:p w:rsidR="00D030ED" w:rsidRPr="00312655" w:rsidP="00475A11">
      <w:pPr>
        <w:pStyle w:val="ListParagraph"/>
        <w:spacing w:line="240" w:lineRule="atLeast"/>
        <w:ind w:left="3089" w:hanging="2625" w:leftChars="221" w:hangingChars="1250"/>
        <w:jc w:val="left"/>
        <w:rPr>
          <w:rFonts w:ascii="宋体" w:hAnsi="宋体" w:hint="eastAsia"/>
          <w:szCs w:val="21"/>
        </w:rPr>
      </w:pPr>
      <w:r w:rsidRPr="00312655">
        <w:rPr>
          <w:rFonts w:ascii="宋体" w:hAnsi="宋体"/>
          <w:szCs w:val="21"/>
        </w:rPr>
        <w:t>市净率特别在评估高风险企业，企业资产大量为</w:t>
      </w:r>
      <w:hyperlink r:id="rId10" w:tgtFrame="_blank" w:history="1">
        <w:r w:rsidRPr="00312655">
          <w:rPr>
            <w:rFonts w:ascii="宋体" w:hAnsi="宋体"/>
            <w:szCs w:val="21"/>
          </w:rPr>
          <w:t>实物资产</w:t>
        </w:r>
      </w:hyperlink>
      <w:r w:rsidRPr="00312655" w:rsidR="00CA0CD1">
        <w:rPr>
          <w:rFonts w:ascii="宋体" w:hAnsi="宋体"/>
          <w:szCs w:val="21"/>
        </w:rPr>
        <w:t>的企业时受到</w:t>
      </w:r>
      <w:r w:rsidRPr="00312655" w:rsidR="00CA0CD1">
        <w:rPr>
          <w:rFonts w:ascii="宋体" w:hAnsi="宋体" w:hint="eastAsia"/>
          <w:szCs w:val="21"/>
        </w:rPr>
        <w:t>重</w:t>
      </w:r>
      <w:r w:rsidRPr="00312655">
        <w:rPr>
          <w:rFonts w:ascii="宋体" w:hAnsi="宋体"/>
          <w:szCs w:val="21"/>
        </w:rPr>
        <w:t>视。</w:t>
      </w:r>
    </w:p>
    <w:p w:rsidR="0019602A" w:rsidRPr="00312655" w:rsidP="00312655">
      <w:pPr>
        <w:pStyle w:val="BodyText2"/>
        <w:spacing w:before="156" w:beforeLines="50" w:line="240" w:lineRule="atLeast"/>
        <w:ind w:right="32" w:rightChars="15"/>
        <w:jc w:val="both"/>
        <w:rPr>
          <w:rFonts w:ascii="宋体" w:hAnsi="宋体" w:cs="宋体" w:hint="eastAsia"/>
          <w:b/>
          <w:bCs/>
          <w:spacing w:val="8"/>
          <w:kern w:val="0"/>
          <w:sz w:val="21"/>
          <w:szCs w:val="21"/>
        </w:rPr>
      </w:pPr>
    </w:p>
    <w:p w:rsidR="009E249F" w:rsidRPr="00312655" w:rsidP="00312655">
      <w:pPr>
        <w:pStyle w:val="BodyText2"/>
        <w:spacing w:before="156" w:beforeLines="50" w:line="240" w:lineRule="atLeast"/>
        <w:ind w:right="32" w:rightChars="15"/>
        <w:jc w:val="both"/>
        <w:rPr>
          <w:rFonts w:ascii="宋体" w:hAnsi="宋体" w:hint="eastAsia"/>
          <w:color w:val="FF6600"/>
          <w:sz w:val="21"/>
          <w:szCs w:val="21"/>
        </w:rPr>
      </w:pPr>
      <w:r w:rsidRPr="00312655">
        <w:rPr>
          <w:rFonts w:ascii="宋体" w:hAnsi="宋体" w:hint="eastAsia"/>
          <w:color w:val="FF6600"/>
          <w:sz w:val="21"/>
          <w:szCs w:val="21"/>
        </w:rPr>
        <w:t>第四章</w:t>
      </w:r>
    </w:p>
    <w:p w:rsidR="00660CD7" w:rsidRPr="00312655" w:rsidP="003C1ECF">
      <w:pPr>
        <w:pStyle w:val="BodyText2"/>
        <w:numPr>
          <w:ilvl w:val="0"/>
          <w:numId w:val="3"/>
        </w:numPr>
        <w:spacing w:before="156" w:beforeLines="50" w:line="240" w:lineRule="atLeast"/>
        <w:ind w:right="32" w:rightChars="15"/>
        <w:jc w:val="both"/>
        <w:rPr>
          <w:rFonts w:ascii="宋体" w:hAnsi="宋体" w:hint="eastAsia"/>
          <w:b/>
          <w:sz w:val="21"/>
          <w:szCs w:val="21"/>
        </w:rPr>
      </w:pPr>
      <w:r w:rsidRPr="00312655" w:rsidR="006F0907">
        <w:rPr>
          <w:rFonts w:ascii="宋体" w:hAnsi="宋体" w:hint="eastAsia"/>
          <w:b/>
          <w:sz w:val="21"/>
          <w:szCs w:val="21"/>
        </w:rPr>
        <w:t>投资银行的经营战略</w:t>
      </w:r>
      <w:r w:rsidRPr="00312655">
        <w:rPr>
          <w:rFonts w:ascii="宋体" w:hAnsi="宋体" w:hint="eastAsia"/>
          <w:b/>
          <w:sz w:val="21"/>
          <w:szCs w:val="21"/>
        </w:rPr>
        <w:t>及其认识。</w:t>
      </w:r>
    </w:p>
    <w:p w:rsidR="00140455"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 xml:space="preserve">   投资银行的经营战略是指其在</w:t>
      </w:r>
      <w:r w:rsidRPr="00312655">
        <w:rPr>
          <w:rFonts w:ascii="宋体" w:hAnsi="宋体" w:hint="eastAsia"/>
          <w:color w:val="FF00FF"/>
          <w:sz w:val="21"/>
          <w:szCs w:val="21"/>
        </w:rPr>
        <w:t>现代市场经营观念的指导下</w:t>
      </w:r>
      <w:r w:rsidRPr="00312655">
        <w:rPr>
          <w:rFonts w:ascii="宋体" w:hAnsi="宋体" w:hint="eastAsia"/>
          <w:sz w:val="21"/>
          <w:szCs w:val="21"/>
        </w:rPr>
        <w:t>，通过对外部环境和内部条件的全面估量和分析，</w:t>
      </w:r>
      <w:r w:rsidRPr="00312655">
        <w:rPr>
          <w:rFonts w:ascii="宋体" w:hAnsi="宋体" w:hint="eastAsia"/>
          <w:color w:val="FF00FF"/>
          <w:sz w:val="21"/>
          <w:szCs w:val="21"/>
        </w:rPr>
        <w:t>从企业发展全局出发</w:t>
      </w:r>
      <w:r w:rsidRPr="00312655">
        <w:rPr>
          <w:rFonts w:ascii="宋体" w:hAnsi="宋体" w:hint="eastAsia"/>
          <w:sz w:val="21"/>
          <w:szCs w:val="21"/>
        </w:rPr>
        <w:t>而做出的较长时期的</w:t>
      </w:r>
      <w:r w:rsidRPr="00312655">
        <w:rPr>
          <w:rFonts w:ascii="宋体" w:hAnsi="宋体" w:hint="eastAsia"/>
          <w:color w:val="FF00FF"/>
          <w:sz w:val="21"/>
          <w:szCs w:val="21"/>
        </w:rPr>
        <w:t>总体性谋划和活动纲领</w:t>
      </w:r>
      <w:r w:rsidRPr="00312655">
        <w:rPr>
          <w:rFonts w:ascii="宋体" w:hAnsi="宋体" w:hint="eastAsia"/>
          <w:sz w:val="21"/>
          <w:szCs w:val="21"/>
        </w:rPr>
        <w:t>。</w:t>
      </w:r>
    </w:p>
    <w:p w:rsidR="00140455" w:rsidRPr="00312655" w:rsidP="00312655">
      <w:pPr>
        <w:pStyle w:val="BodyText2"/>
        <w:spacing w:before="156" w:beforeLines="50" w:line="240" w:lineRule="atLeast"/>
        <w:ind w:right="32" w:firstLine="420" w:rightChars="15" w:firstLineChars="200"/>
        <w:jc w:val="both"/>
        <w:rPr>
          <w:rFonts w:ascii="宋体" w:hAnsi="宋体" w:hint="eastAsia"/>
          <w:color w:val="FF00FF"/>
          <w:sz w:val="21"/>
          <w:szCs w:val="21"/>
        </w:rPr>
      </w:pPr>
      <w:r w:rsidRPr="00312655">
        <w:rPr>
          <w:rFonts w:ascii="宋体" w:hAnsi="宋体" w:hint="eastAsia"/>
          <w:sz w:val="21"/>
          <w:szCs w:val="21"/>
        </w:rPr>
        <w:t>从动态角度看，</w:t>
      </w:r>
      <w:r w:rsidRPr="00312655">
        <w:rPr>
          <w:rFonts w:ascii="宋体" w:hAnsi="宋体" w:hint="eastAsia"/>
          <w:color w:val="FF00FF"/>
          <w:sz w:val="21"/>
          <w:szCs w:val="21"/>
        </w:rPr>
        <w:t>经营战略是使企业的长期使命和目标转变为短期的目标和计划的过程。</w:t>
      </w:r>
    </w:p>
    <w:p w:rsidR="00140455" w:rsidRPr="00312655" w:rsidP="003C1ECF">
      <w:pPr>
        <w:pStyle w:val="BodyText2"/>
        <w:numPr>
          <w:ilvl w:val="0"/>
          <w:numId w:val="28"/>
        </w:numPr>
        <w:spacing w:before="156" w:beforeLines="50" w:line="240" w:lineRule="atLeast"/>
        <w:ind w:right="32" w:firstLine="420" w:rightChars="15" w:firstLineChars="200"/>
        <w:jc w:val="both"/>
        <w:rPr>
          <w:rFonts w:ascii="宋体" w:hAnsi="宋体"/>
          <w:sz w:val="21"/>
          <w:szCs w:val="21"/>
        </w:rPr>
      </w:pPr>
      <w:r w:rsidRPr="00312655">
        <w:rPr>
          <w:rFonts w:ascii="宋体" w:hAnsi="宋体" w:hint="eastAsia"/>
          <w:sz w:val="21"/>
          <w:szCs w:val="21"/>
        </w:rPr>
        <w:t>投资银行经营战略是</w:t>
      </w:r>
      <w:r w:rsidRPr="00312655">
        <w:rPr>
          <w:rFonts w:ascii="宋体" w:hAnsi="宋体" w:hint="eastAsia"/>
          <w:color w:val="FF00FF"/>
          <w:sz w:val="21"/>
          <w:szCs w:val="21"/>
        </w:rPr>
        <w:t>竞争态势的一种定位</w:t>
      </w:r>
      <w:r w:rsidRPr="00312655" w:rsidR="001A41CD">
        <w:rPr>
          <w:rFonts w:ascii="宋体" w:hAnsi="宋体" w:hint="eastAsia"/>
          <w:color w:val="FF00FF"/>
          <w:sz w:val="21"/>
          <w:szCs w:val="21"/>
        </w:rPr>
        <w:t>。</w:t>
      </w:r>
    </w:p>
    <w:p w:rsidR="00140455" w:rsidRPr="00312655" w:rsidP="003C1ECF">
      <w:pPr>
        <w:pStyle w:val="BodyText2"/>
        <w:numPr>
          <w:ilvl w:val="0"/>
          <w:numId w:val="28"/>
        </w:numPr>
        <w:spacing w:before="156" w:beforeLines="50" w:line="240" w:lineRule="atLeast"/>
        <w:ind w:right="32" w:firstLine="420" w:rightChars="15" w:firstLineChars="200"/>
        <w:jc w:val="both"/>
        <w:rPr>
          <w:rFonts w:ascii="宋体" w:hAnsi="宋体" w:hint="eastAsia"/>
          <w:sz w:val="21"/>
          <w:szCs w:val="21"/>
        </w:rPr>
      </w:pPr>
      <w:r w:rsidRPr="00312655">
        <w:rPr>
          <w:rFonts w:ascii="宋体" w:hAnsi="宋体" w:hint="eastAsia"/>
          <w:sz w:val="21"/>
          <w:szCs w:val="21"/>
        </w:rPr>
        <w:t>投资银行经营战略是一种</w:t>
      </w:r>
      <w:r w:rsidRPr="00312655">
        <w:rPr>
          <w:rFonts w:ascii="宋体" w:hAnsi="宋体" w:hint="eastAsia"/>
          <w:color w:val="FF00FF"/>
          <w:sz w:val="21"/>
          <w:szCs w:val="21"/>
        </w:rPr>
        <w:t>经营模式</w:t>
      </w:r>
      <w:r w:rsidRPr="00312655" w:rsidR="001A41CD">
        <w:rPr>
          <w:rFonts w:ascii="宋体" w:hAnsi="宋体" w:hint="eastAsia"/>
          <w:color w:val="FF00FF"/>
          <w:sz w:val="21"/>
          <w:szCs w:val="21"/>
        </w:rPr>
        <w:t>。</w:t>
      </w:r>
    </w:p>
    <w:p w:rsidR="00140455" w:rsidRPr="00312655" w:rsidP="003C1ECF">
      <w:pPr>
        <w:pStyle w:val="BodyText2"/>
        <w:numPr>
          <w:ilvl w:val="0"/>
          <w:numId w:val="28"/>
        </w:numPr>
        <w:spacing w:before="156" w:beforeLines="50" w:line="240" w:lineRule="atLeast"/>
        <w:ind w:right="32" w:firstLine="420" w:rightChars="15" w:firstLineChars="200"/>
        <w:jc w:val="both"/>
        <w:rPr>
          <w:rFonts w:ascii="宋体" w:hAnsi="宋体" w:hint="eastAsia"/>
          <w:sz w:val="21"/>
          <w:szCs w:val="21"/>
        </w:rPr>
      </w:pPr>
      <w:r w:rsidRPr="00312655">
        <w:rPr>
          <w:rFonts w:ascii="宋体" w:hAnsi="宋体" w:hint="eastAsia"/>
          <w:sz w:val="21"/>
          <w:szCs w:val="21"/>
        </w:rPr>
        <w:t>投资银行经营战略是一种</w:t>
      </w:r>
      <w:r w:rsidRPr="00312655">
        <w:rPr>
          <w:rFonts w:ascii="宋体" w:hAnsi="宋体" w:hint="eastAsia"/>
          <w:color w:val="FF00FF"/>
          <w:sz w:val="21"/>
          <w:szCs w:val="21"/>
        </w:rPr>
        <w:t>价值观念：体现决策层价值观念</w:t>
      </w:r>
      <w:r w:rsidRPr="00312655" w:rsidR="001A41CD">
        <w:rPr>
          <w:rFonts w:ascii="宋体" w:hAnsi="宋体" w:hint="eastAsia"/>
          <w:color w:val="FF00FF"/>
          <w:sz w:val="21"/>
          <w:szCs w:val="21"/>
        </w:rPr>
        <w:t>。</w:t>
      </w:r>
    </w:p>
    <w:p w:rsidR="00140455" w:rsidRPr="00312655" w:rsidP="003C1ECF">
      <w:pPr>
        <w:pStyle w:val="BodyText2"/>
        <w:numPr>
          <w:ilvl w:val="0"/>
          <w:numId w:val="28"/>
        </w:numPr>
        <w:spacing w:before="156" w:beforeLines="50" w:line="240" w:lineRule="atLeast"/>
        <w:ind w:right="32" w:firstLine="420" w:rightChars="15" w:firstLineChars="200"/>
        <w:jc w:val="both"/>
        <w:rPr>
          <w:rFonts w:ascii="宋体" w:hAnsi="宋体" w:hint="eastAsia"/>
          <w:color w:val="FF00FF"/>
          <w:sz w:val="21"/>
          <w:szCs w:val="21"/>
        </w:rPr>
      </w:pPr>
      <w:r w:rsidRPr="00312655">
        <w:rPr>
          <w:rFonts w:ascii="宋体" w:hAnsi="宋体" w:hint="eastAsia"/>
          <w:sz w:val="21"/>
          <w:szCs w:val="21"/>
        </w:rPr>
        <w:t>投资银行经营战略是</w:t>
      </w:r>
      <w:r w:rsidRPr="00312655">
        <w:rPr>
          <w:rFonts w:ascii="宋体" w:hAnsi="宋体" w:hint="eastAsia"/>
          <w:color w:val="FF00FF"/>
          <w:sz w:val="21"/>
          <w:szCs w:val="21"/>
        </w:rPr>
        <w:t>管理的创新</w:t>
      </w:r>
      <w:r w:rsidRPr="00312655" w:rsidR="001A41CD">
        <w:rPr>
          <w:rFonts w:ascii="宋体" w:hAnsi="宋体" w:hint="eastAsia"/>
          <w:color w:val="FF00FF"/>
          <w:sz w:val="21"/>
          <w:szCs w:val="21"/>
        </w:rPr>
        <w:t>。</w:t>
      </w:r>
    </w:p>
    <w:p w:rsidR="00140455" w:rsidRPr="00312655" w:rsidP="003C1ECF">
      <w:pPr>
        <w:pStyle w:val="BodyText2"/>
        <w:numPr>
          <w:ilvl w:val="0"/>
          <w:numId w:val="28"/>
        </w:numPr>
        <w:spacing w:before="156" w:beforeLines="50" w:line="240" w:lineRule="atLeast"/>
        <w:ind w:right="32" w:firstLine="420" w:rightChars="15" w:firstLineChars="200"/>
        <w:jc w:val="both"/>
        <w:rPr>
          <w:rFonts w:ascii="宋体" w:hAnsi="宋体" w:hint="eastAsia"/>
          <w:color w:val="FF00FF"/>
          <w:sz w:val="21"/>
          <w:szCs w:val="21"/>
        </w:rPr>
      </w:pPr>
      <w:r w:rsidRPr="00312655">
        <w:rPr>
          <w:rFonts w:ascii="宋体" w:hAnsi="宋体" w:hint="eastAsia"/>
          <w:sz w:val="21"/>
          <w:szCs w:val="21"/>
        </w:rPr>
        <w:t>投资银行经营战略是</w:t>
      </w:r>
      <w:r w:rsidRPr="00312655">
        <w:rPr>
          <w:rFonts w:ascii="宋体" w:hAnsi="宋体" w:hint="eastAsia"/>
          <w:color w:val="FF00FF"/>
          <w:sz w:val="21"/>
          <w:szCs w:val="21"/>
        </w:rPr>
        <w:t>具体行动的计划</w:t>
      </w:r>
      <w:r w:rsidRPr="00312655" w:rsidR="001A41CD">
        <w:rPr>
          <w:rFonts w:ascii="宋体" w:hAnsi="宋体" w:hint="eastAsia"/>
          <w:color w:val="FF00FF"/>
          <w:sz w:val="21"/>
          <w:szCs w:val="21"/>
        </w:rPr>
        <w:t>。</w:t>
      </w:r>
    </w:p>
    <w:p w:rsidR="00140455" w:rsidRPr="00312655" w:rsidP="003C1ECF">
      <w:pPr>
        <w:pStyle w:val="BodyText2"/>
        <w:numPr>
          <w:ilvl w:val="0"/>
          <w:numId w:val="3"/>
        </w:numPr>
        <w:spacing w:before="156" w:beforeLines="50" w:line="240" w:lineRule="atLeast"/>
        <w:ind w:right="32" w:rightChars="15"/>
        <w:jc w:val="both"/>
        <w:rPr>
          <w:rFonts w:ascii="宋体" w:hAnsi="宋体" w:hint="eastAsia"/>
          <w:b/>
          <w:sz w:val="21"/>
          <w:szCs w:val="21"/>
        </w:rPr>
      </w:pPr>
      <w:r w:rsidRPr="00312655" w:rsidR="00A714B4">
        <w:rPr>
          <w:rFonts w:ascii="宋体" w:hAnsi="宋体" w:hint="eastAsia"/>
          <w:b/>
          <w:sz w:val="21"/>
          <w:szCs w:val="21"/>
        </w:rPr>
        <w:t>投资银行的经营战略思想</w:t>
      </w:r>
      <w:r w:rsidRPr="00312655" w:rsidR="00040863">
        <w:rPr>
          <w:rFonts w:ascii="宋体" w:hAnsi="宋体" w:hint="eastAsia"/>
          <w:b/>
          <w:sz w:val="21"/>
          <w:szCs w:val="21"/>
        </w:rPr>
        <w:t>及其内容</w:t>
      </w:r>
    </w:p>
    <w:p w:rsidR="00140455"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xml:space="preserve">    投资银行的战略思想是投资银行</w:t>
      </w:r>
      <w:r w:rsidRPr="00312655">
        <w:rPr>
          <w:rFonts w:ascii="宋体" w:hAnsi="宋体" w:hint="eastAsia"/>
          <w:color w:val="FF00FF"/>
          <w:sz w:val="21"/>
          <w:szCs w:val="21"/>
        </w:rPr>
        <w:t>价值观念和自我意识的表现</w:t>
      </w:r>
      <w:r w:rsidRPr="00312655">
        <w:rPr>
          <w:rFonts w:ascii="宋体" w:hAnsi="宋体" w:hint="eastAsia"/>
          <w:sz w:val="21"/>
          <w:szCs w:val="21"/>
        </w:rPr>
        <w:t>，是</w:t>
      </w:r>
      <w:r w:rsidRPr="00312655">
        <w:rPr>
          <w:rFonts w:ascii="宋体" w:hAnsi="宋体" w:hint="eastAsia"/>
          <w:color w:val="FF00FF"/>
          <w:sz w:val="21"/>
          <w:szCs w:val="21"/>
        </w:rPr>
        <w:t>投资银行管理哲学的有机组成部分。</w:t>
      </w:r>
      <w:r w:rsidRPr="00312655">
        <w:rPr>
          <w:rFonts w:ascii="宋体" w:hAnsi="宋体" w:hint="eastAsia"/>
          <w:sz w:val="21"/>
          <w:szCs w:val="21"/>
        </w:rPr>
        <w:t>主要指投资银行如何在复杂的环境中</w:t>
      </w:r>
      <w:r w:rsidRPr="00312655">
        <w:rPr>
          <w:rFonts w:ascii="宋体" w:hAnsi="宋体" w:hint="eastAsia"/>
          <w:color w:val="FF00FF"/>
          <w:sz w:val="21"/>
          <w:szCs w:val="21"/>
        </w:rPr>
        <w:t>合理地确定公司未来的使命和选择恰当的目标，积极能动地去塑造更加理想的公司环境。</w:t>
      </w:r>
      <w:r w:rsidRPr="00312655">
        <w:rPr>
          <w:rFonts w:ascii="宋体" w:hAnsi="宋体" w:hint="eastAsia"/>
          <w:sz w:val="21"/>
          <w:szCs w:val="21"/>
        </w:rPr>
        <w:t>　　　</w:t>
      </w:r>
    </w:p>
    <w:p w:rsidR="00140455" w:rsidRPr="00673CA2" w:rsidP="003C1ECF">
      <w:pPr>
        <w:pStyle w:val="BodyText2"/>
        <w:numPr>
          <w:ilvl w:val="0"/>
          <w:numId w:val="29"/>
        </w:numPr>
        <w:spacing w:before="156" w:beforeLines="50" w:line="240" w:lineRule="atLeast"/>
        <w:ind w:right="32" w:rightChars="15"/>
        <w:jc w:val="both"/>
        <w:rPr>
          <w:rFonts w:ascii="宋体" w:hAnsi="宋体" w:hint="eastAsia"/>
          <w:color w:val="FF00FF"/>
          <w:sz w:val="21"/>
          <w:szCs w:val="21"/>
        </w:rPr>
        <w:sectPr>
          <w:type w:val="nextPage"/>
          <w:pgSz w:w="11906" w:h="16838"/>
          <w:pgMar w:top="1440" w:right="1800" w:bottom="1440" w:left="1800" w:header="851" w:footer="992" w:gutter="0"/>
          <w:pgNumType w:start="7"/>
          <w:cols w:space="425"/>
          <w:titlePg w:val="0"/>
          <w:docGrid w:type="lines" w:linePitch="312"/>
        </w:sectPr>
      </w:pPr>
      <w:r w:rsidRPr="00312655">
        <w:rPr>
          <w:rFonts w:ascii="宋体" w:hAnsi="宋体" w:hint="eastAsia"/>
          <w:color w:val="FF00FF"/>
          <w:sz w:val="21"/>
          <w:szCs w:val="21"/>
        </w:rPr>
        <w:t>核心思想：</w:t>
      </w:r>
    </w:p>
    <w:p w:rsidR="00140455" w:rsidRPr="00673CA2" w:rsidP="003C1ECF">
      <w:pPr>
        <w:pStyle w:val="BodyText2"/>
        <w:numPr>
          <w:ilvl w:val="0"/>
          <w:numId w:val="0"/>
        </w:numPr>
        <w:spacing w:before="156" w:beforeLines="50" w:line="240" w:lineRule="atLeast"/>
        <w:ind w:left="720" w:right="32" w:rightChars="15"/>
        <w:jc w:val="both"/>
        <w:rPr>
          <w:rFonts w:ascii="宋体" w:hAnsi="宋体" w:hint="eastAsia"/>
          <w:color w:val="FF00FF"/>
          <w:sz w:val="21"/>
          <w:szCs w:val="21"/>
        </w:rPr>
      </w:pPr>
      <w:r w:rsidRPr="00312655" w:rsidR="00673CA2">
        <w:rPr>
          <w:rFonts w:ascii="宋体" w:hAnsi="宋体" w:hint="eastAsia"/>
          <w:sz w:val="21"/>
          <w:szCs w:val="21"/>
        </w:rPr>
        <w:t>确立公司的竞争优势：竞争意识和忧患意识。衡量竞争优势的标准是公司的长期生存和发展能力、开发能力及保护开发成果的能力</w:t>
      </w:r>
    </w:p>
    <w:p w:rsidR="00140455" w:rsidRPr="00312655" w:rsidP="003C1ECF">
      <w:pPr>
        <w:pStyle w:val="BodyText2"/>
        <w:numPr>
          <w:ilvl w:val="0"/>
          <w:numId w:val="30"/>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满足客户需求的思想：</w:t>
      </w:r>
      <w:r w:rsidRPr="00312655">
        <w:rPr>
          <w:rFonts w:ascii="宋体" w:hAnsi="宋体" w:hint="eastAsia"/>
          <w:sz w:val="21"/>
          <w:szCs w:val="21"/>
        </w:rPr>
        <w:t>识别需求，并设法提供</w:t>
      </w:r>
    </w:p>
    <w:p w:rsidR="00140455" w:rsidRPr="00312655" w:rsidP="003C1ECF">
      <w:pPr>
        <w:pStyle w:val="BodyText2"/>
        <w:numPr>
          <w:ilvl w:val="0"/>
          <w:numId w:val="30"/>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创新思想：</w:t>
      </w:r>
      <w:r w:rsidRPr="00312655">
        <w:rPr>
          <w:rFonts w:ascii="宋体" w:hAnsi="宋体" w:hint="eastAsia"/>
          <w:sz w:val="21"/>
          <w:szCs w:val="21"/>
        </w:rPr>
        <w:t>创造新产品满足客户需求；开创新的需求引导客户需求；创造新的经营方式适应客户需求。</w:t>
      </w:r>
    </w:p>
    <w:p w:rsidR="00140455" w:rsidRPr="00312655" w:rsidP="003C1ECF">
      <w:pPr>
        <w:pStyle w:val="BodyText2"/>
        <w:numPr>
          <w:ilvl w:val="0"/>
          <w:numId w:val="30"/>
        </w:numPr>
        <w:spacing w:before="156" w:beforeLines="50" w:line="240" w:lineRule="atLeast"/>
        <w:ind w:right="32" w:rightChars="15"/>
        <w:jc w:val="both"/>
        <w:rPr>
          <w:rFonts w:ascii="宋体" w:hAnsi="宋体" w:hint="eastAsia"/>
          <w:color w:val="FF00FF"/>
          <w:sz w:val="21"/>
          <w:szCs w:val="21"/>
        </w:rPr>
      </w:pPr>
      <w:r w:rsidRPr="00312655">
        <w:rPr>
          <w:rFonts w:ascii="宋体" w:hAnsi="宋体" w:hint="eastAsia"/>
          <w:color w:val="FF00FF"/>
          <w:sz w:val="21"/>
          <w:szCs w:val="21"/>
        </w:rPr>
        <w:t>盈利思想</w:t>
      </w:r>
      <w:r w:rsidRPr="00312655" w:rsidR="008D7096">
        <w:rPr>
          <w:rFonts w:ascii="宋体" w:hAnsi="宋体" w:hint="eastAsia"/>
          <w:color w:val="FF00FF"/>
          <w:sz w:val="21"/>
          <w:szCs w:val="21"/>
        </w:rPr>
        <w:t>：</w:t>
      </w:r>
    </w:p>
    <w:p w:rsidR="00140455" w:rsidRPr="00312655" w:rsidP="003C1ECF">
      <w:pPr>
        <w:pStyle w:val="BodyText2"/>
        <w:numPr>
          <w:ilvl w:val="0"/>
          <w:numId w:val="30"/>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未来思想：</w:t>
      </w:r>
      <w:r w:rsidRPr="00312655">
        <w:rPr>
          <w:rFonts w:ascii="宋体" w:hAnsi="宋体" w:hint="eastAsia"/>
          <w:sz w:val="21"/>
          <w:szCs w:val="21"/>
        </w:rPr>
        <w:t>指明未来的发展方向和目标；着眼于社会和客户未来的需求。</w:t>
      </w:r>
    </w:p>
    <w:p w:rsidR="00140455" w:rsidRPr="00312655" w:rsidP="003C1ECF">
      <w:pPr>
        <w:pStyle w:val="BodyText2"/>
        <w:numPr>
          <w:ilvl w:val="0"/>
          <w:numId w:val="30"/>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系统化思想</w:t>
      </w:r>
      <w:r w:rsidRPr="00312655">
        <w:rPr>
          <w:rFonts w:ascii="宋体" w:hAnsi="宋体" w:hint="eastAsia"/>
          <w:sz w:val="21"/>
          <w:szCs w:val="21"/>
        </w:rPr>
        <w:t>：树立整体观念和协调观念，实现外部环境、内部条件和经营目标三者之间的动态平衡。</w:t>
      </w:r>
    </w:p>
    <w:p w:rsidR="006F0907" w:rsidRPr="00312655" w:rsidP="00312655">
      <w:pPr>
        <w:spacing w:line="240" w:lineRule="atLeast"/>
        <w:rPr>
          <w:rFonts w:ascii="宋体" w:hAnsi="宋体" w:hint="eastAsia"/>
          <w:szCs w:val="21"/>
        </w:rPr>
      </w:pPr>
      <w:r w:rsidRPr="00312655" w:rsidR="007F64C5">
        <w:rPr>
          <w:rFonts w:hint="eastAsia"/>
          <w:szCs w:val="21"/>
        </w:rPr>
        <w:t xml:space="preserve">                     　</w:t>
      </w:r>
    </w:p>
    <w:p w:rsidR="000F459B" w:rsidRPr="00312655" w:rsidP="003C1ECF">
      <w:pPr>
        <w:pStyle w:val="BodyText2"/>
        <w:numPr>
          <w:ilvl w:val="0"/>
          <w:numId w:val="3"/>
        </w:numPr>
        <w:spacing w:before="156" w:beforeLines="50" w:line="240" w:lineRule="atLeast"/>
        <w:ind w:right="-334" w:rightChars="-159"/>
        <w:jc w:val="both"/>
        <w:rPr>
          <w:rFonts w:ascii="宋体" w:hAnsi="宋体" w:hint="eastAsia"/>
          <w:b/>
          <w:sz w:val="21"/>
          <w:szCs w:val="21"/>
        </w:rPr>
      </w:pPr>
      <w:r w:rsidRPr="00312655">
        <w:rPr>
          <w:rFonts w:ascii="宋体" w:hAnsi="宋体" w:hint="eastAsia"/>
          <w:b/>
          <w:sz w:val="21"/>
          <w:szCs w:val="21"/>
        </w:rPr>
        <w:t>投资银行内部控制的原则和基本内容</w:t>
      </w:r>
    </w:p>
    <w:p w:rsidR="008F1B86" w:rsidRPr="00312655" w:rsidP="00312655">
      <w:pPr>
        <w:pStyle w:val="BodyText2"/>
        <w:spacing w:before="156" w:beforeLines="50" w:line="240" w:lineRule="atLeast"/>
        <w:ind w:left="420" w:right="-334" w:rightChars="-159"/>
        <w:jc w:val="both"/>
        <w:rPr>
          <w:rFonts w:ascii="宋体" w:hAnsi="宋体" w:hint="eastAsia"/>
          <w:color w:val="FF00FF"/>
          <w:sz w:val="21"/>
          <w:szCs w:val="21"/>
        </w:rPr>
      </w:pPr>
      <w:r w:rsidRPr="00312655">
        <w:rPr>
          <w:rFonts w:ascii="宋体" w:hAnsi="宋体" w:hint="eastAsia"/>
          <w:sz w:val="21"/>
          <w:szCs w:val="21"/>
        </w:rPr>
        <w:t>（1）内部控制指投资银行</w:t>
      </w:r>
      <w:r w:rsidRPr="00312655">
        <w:rPr>
          <w:rFonts w:ascii="宋体" w:hAnsi="宋体" w:hint="eastAsia"/>
          <w:color w:val="FF00FF"/>
          <w:sz w:val="21"/>
          <w:szCs w:val="21"/>
        </w:rPr>
        <w:t>为完成既定的工作目标和防范风险</w:t>
      </w:r>
      <w:r w:rsidRPr="00312655">
        <w:rPr>
          <w:rFonts w:ascii="宋体" w:hAnsi="宋体" w:hint="eastAsia"/>
          <w:sz w:val="21"/>
          <w:szCs w:val="21"/>
        </w:rPr>
        <w:t>，对内部各职能部门及其工作人员从事的业务活动进行</w:t>
      </w:r>
      <w:r w:rsidRPr="00312655">
        <w:rPr>
          <w:rFonts w:ascii="宋体" w:hAnsi="宋体" w:hint="eastAsia"/>
          <w:color w:val="FF00FF"/>
          <w:sz w:val="21"/>
          <w:szCs w:val="21"/>
        </w:rPr>
        <w:t>风险控制、制度管理和相互制约</w:t>
      </w:r>
      <w:r w:rsidRPr="00312655">
        <w:rPr>
          <w:rFonts w:ascii="宋体" w:hAnsi="宋体" w:hint="eastAsia"/>
          <w:sz w:val="21"/>
          <w:szCs w:val="21"/>
        </w:rPr>
        <w:t>的</w:t>
      </w:r>
      <w:r w:rsidRPr="00312655">
        <w:rPr>
          <w:rFonts w:ascii="宋体" w:hAnsi="宋体" w:hint="eastAsia"/>
          <w:color w:val="FF00FF"/>
          <w:sz w:val="21"/>
          <w:szCs w:val="21"/>
        </w:rPr>
        <w:t>方法、措施和程序的总称。</w:t>
      </w:r>
    </w:p>
    <w:p w:rsidR="008F1B86" w:rsidRPr="00312655" w:rsidP="00312655">
      <w:pPr>
        <w:pStyle w:val="BodyText2"/>
        <w:spacing w:before="156" w:beforeLines="50" w:line="240" w:lineRule="atLeast"/>
        <w:ind w:right="-334" w:rightChars="-159"/>
        <w:rPr>
          <w:rFonts w:ascii="宋体" w:hAnsi="宋体"/>
          <w:sz w:val="21"/>
          <w:szCs w:val="21"/>
        </w:rPr>
      </w:pPr>
      <w:r w:rsidRPr="00312655">
        <w:rPr>
          <w:rFonts w:ascii="宋体" w:hAnsi="宋体" w:hint="eastAsia"/>
          <w:sz w:val="21"/>
          <w:szCs w:val="21"/>
        </w:rPr>
        <w:t xml:space="preserve">   （2）投资银行应坚持资金运营</w:t>
      </w:r>
      <w:r w:rsidRPr="00312655">
        <w:rPr>
          <w:rFonts w:ascii="宋体" w:hAnsi="宋体"/>
          <w:color w:val="FF00FF"/>
          <w:sz w:val="21"/>
          <w:szCs w:val="21"/>
        </w:rPr>
        <w:t>“</w:t>
      </w:r>
      <w:r w:rsidRPr="00312655">
        <w:rPr>
          <w:rFonts w:ascii="宋体" w:hAnsi="宋体" w:hint="eastAsia"/>
          <w:color w:val="FF00FF"/>
          <w:sz w:val="21"/>
          <w:szCs w:val="21"/>
        </w:rPr>
        <w:t>安全性、流动性、效益性</w:t>
      </w:r>
      <w:r w:rsidRPr="00312655">
        <w:rPr>
          <w:rFonts w:ascii="宋体" w:hAnsi="宋体"/>
          <w:color w:val="FF00FF"/>
          <w:sz w:val="21"/>
          <w:szCs w:val="21"/>
        </w:rPr>
        <w:t>”</w:t>
      </w:r>
      <w:r w:rsidRPr="00312655">
        <w:rPr>
          <w:rFonts w:ascii="宋体" w:hAnsi="宋体" w:hint="eastAsia"/>
          <w:color w:val="FF00FF"/>
          <w:sz w:val="21"/>
          <w:szCs w:val="21"/>
        </w:rPr>
        <w:t>相统一的经营原则</w:t>
      </w:r>
      <w:r w:rsidRPr="00312655">
        <w:rPr>
          <w:rFonts w:ascii="宋体" w:hAnsi="宋体" w:hint="eastAsia"/>
          <w:sz w:val="21"/>
          <w:szCs w:val="21"/>
        </w:rPr>
        <w:t>。</w:t>
      </w:r>
    </w:p>
    <w:p w:rsidR="008F1B86" w:rsidRPr="00312655" w:rsidP="003C1ECF">
      <w:pPr>
        <w:pStyle w:val="BodyText2"/>
        <w:numPr>
          <w:ilvl w:val="0"/>
          <w:numId w:val="31"/>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有效性原则</w:t>
      </w:r>
      <w:r w:rsidRPr="00312655">
        <w:rPr>
          <w:rFonts w:ascii="宋体" w:hAnsi="宋体" w:hint="eastAsia"/>
          <w:sz w:val="21"/>
          <w:szCs w:val="21"/>
        </w:rPr>
        <w:t>：权威性；不能有任何例外</w:t>
      </w:r>
    </w:p>
    <w:p w:rsidR="008F1B86" w:rsidRPr="00312655" w:rsidP="003C1ECF">
      <w:pPr>
        <w:pStyle w:val="BodyText2"/>
        <w:numPr>
          <w:ilvl w:val="0"/>
          <w:numId w:val="31"/>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审慎性原则</w:t>
      </w:r>
      <w:r w:rsidRPr="00312655">
        <w:rPr>
          <w:rFonts w:ascii="宋体" w:hAnsi="宋体" w:hint="eastAsia"/>
          <w:sz w:val="21"/>
          <w:szCs w:val="21"/>
        </w:rPr>
        <w:t>：防范风险为前提</w:t>
      </w:r>
    </w:p>
    <w:p w:rsidR="008F1B86" w:rsidRPr="00312655" w:rsidP="003C1ECF">
      <w:pPr>
        <w:pStyle w:val="BodyText2"/>
        <w:numPr>
          <w:ilvl w:val="0"/>
          <w:numId w:val="31"/>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全面性原则</w:t>
      </w:r>
      <w:r w:rsidRPr="00312655">
        <w:rPr>
          <w:rFonts w:ascii="宋体" w:hAnsi="宋体" w:hint="eastAsia"/>
          <w:sz w:val="21"/>
          <w:szCs w:val="21"/>
        </w:rPr>
        <w:t>：不能留任何死角</w:t>
      </w:r>
    </w:p>
    <w:p w:rsidR="008F1B86" w:rsidRPr="00312655" w:rsidP="003C1ECF">
      <w:pPr>
        <w:pStyle w:val="BodyText2"/>
        <w:numPr>
          <w:ilvl w:val="0"/>
          <w:numId w:val="31"/>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及时性原则</w:t>
      </w:r>
      <w:r w:rsidRPr="00312655">
        <w:rPr>
          <w:rFonts w:ascii="宋体" w:hAnsi="宋体" w:hint="eastAsia"/>
          <w:sz w:val="21"/>
          <w:szCs w:val="21"/>
        </w:rPr>
        <w:t>：内控优先</w:t>
      </w:r>
    </w:p>
    <w:p w:rsidR="008F1B86" w:rsidRPr="00312655" w:rsidP="003C1ECF">
      <w:pPr>
        <w:pStyle w:val="BodyText2"/>
        <w:numPr>
          <w:ilvl w:val="0"/>
          <w:numId w:val="31"/>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独立性原则</w:t>
      </w:r>
      <w:r w:rsidRPr="00312655">
        <w:rPr>
          <w:rFonts w:ascii="宋体" w:hAnsi="宋体" w:hint="eastAsia"/>
          <w:sz w:val="21"/>
          <w:szCs w:val="21"/>
        </w:rPr>
        <w:t>：检查、评价部门必须独立于内部控制的制定和执行部门，直接操作人员和直接控制人员必须适当分开。</w:t>
      </w:r>
    </w:p>
    <w:p w:rsidR="00FD6804" w:rsidRPr="00312655" w:rsidP="00312655">
      <w:pPr>
        <w:pStyle w:val="BodyText2"/>
        <w:spacing w:before="156" w:beforeLines="50" w:line="240" w:lineRule="atLeast"/>
        <w:ind w:right="-334" w:rightChars="-159"/>
        <w:jc w:val="both"/>
        <w:rPr>
          <w:rFonts w:ascii="宋体" w:hAnsi="宋体" w:hint="eastAsia"/>
          <w:sz w:val="21"/>
          <w:szCs w:val="21"/>
        </w:rPr>
      </w:pPr>
      <w:r w:rsidRPr="00312655">
        <w:rPr>
          <w:rFonts w:ascii="宋体" w:hAnsi="宋体" w:hint="eastAsia"/>
          <w:sz w:val="21"/>
          <w:szCs w:val="21"/>
        </w:rPr>
        <w:t>（3）投资银行内部控制的基本内容：</w:t>
      </w:r>
    </w:p>
    <w:p w:rsidR="00FD6804" w:rsidRPr="00312655" w:rsidP="003C1ECF">
      <w:pPr>
        <w:pStyle w:val="BodyText2"/>
        <w:numPr>
          <w:ilvl w:val="0"/>
          <w:numId w:val="32"/>
        </w:numPr>
        <w:spacing w:before="156" w:beforeLines="50" w:line="240" w:lineRule="atLeast"/>
        <w:ind w:right="-334" w:rightChars="-159"/>
        <w:jc w:val="both"/>
        <w:rPr>
          <w:rFonts w:ascii="宋体" w:hAnsi="宋体"/>
          <w:sz w:val="21"/>
          <w:szCs w:val="21"/>
        </w:rPr>
      </w:pPr>
      <w:r w:rsidRPr="00312655">
        <w:rPr>
          <w:rFonts w:ascii="宋体" w:hAnsi="宋体" w:hint="eastAsia"/>
          <w:color w:val="FF00FF"/>
          <w:sz w:val="21"/>
          <w:szCs w:val="21"/>
        </w:rPr>
        <w:t>内部组织结构控制</w:t>
      </w:r>
      <w:r w:rsidRPr="00312655">
        <w:rPr>
          <w:rFonts w:ascii="宋体" w:hAnsi="宋体" w:hint="eastAsia"/>
          <w:sz w:val="21"/>
          <w:szCs w:val="21"/>
        </w:rPr>
        <w:t>：按决策、执行、监督和反馈相互制衡的原则设置</w:t>
      </w:r>
    </w:p>
    <w:p w:rsidR="00FD6804" w:rsidRPr="00312655" w:rsidP="003C1ECF">
      <w:pPr>
        <w:pStyle w:val="BodyText2"/>
        <w:numPr>
          <w:ilvl w:val="0"/>
          <w:numId w:val="32"/>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对资金交易、证券交易、衍生工具交易，要建立完善的内部监督和风险控制</w:t>
      </w:r>
      <w:r w:rsidRPr="00312655">
        <w:rPr>
          <w:rFonts w:ascii="宋体" w:hAnsi="宋体" w:hint="eastAsia"/>
          <w:sz w:val="21"/>
          <w:szCs w:val="21"/>
        </w:rPr>
        <w:t>：遵循操作流程；按授权范围办理；量化的风险管理系统。</w:t>
      </w:r>
    </w:p>
    <w:p w:rsidR="00FD6804" w:rsidRPr="00312655" w:rsidP="003C1ECF">
      <w:pPr>
        <w:pStyle w:val="BodyText2"/>
        <w:numPr>
          <w:ilvl w:val="0"/>
          <w:numId w:val="32"/>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建立严密的会计控制系统</w:t>
      </w:r>
      <w:r w:rsidRPr="00312655">
        <w:rPr>
          <w:rFonts w:ascii="宋体" w:hAnsi="宋体" w:hint="eastAsia"/>
          <w:sz w:val="21"/>
          <w:szCs w:val="21"/>
        </w:rPr>
        <w:t>：</w:t>
      </w:r>
    </w:p>
    <w:p w:rsidR="00FD6804" w:rsidRPr="00312655" w:rsidP="003C1ECF">
      <w:pPr>
        <w:pStyle w:val="BodyText2"/>
        <w:numPr>
          <w:ilvl w:val="0"/>
          <w:numId w:val="32"/>
        </w:numPr>
        <w:spacing w:before="156" w:beforeLines="50" w:line="240" w:lineRule="atLeast"/>
        <w:ind w:right="-334" w:rightChars="-159"/>
        <w:jc w:val="both"/>
        <w:rPr>
          <w:rFonts w:ascii="宋体" w:hAnsi="宋体" w:hint="eastAsia"/>
          <w:sz w:val="21"/>
          <w:szCs w:val="21"/>
        </w:rPr>
      </w:pPr>
      <w:r w:rsidRPr="00312655">
        <w:rPr>
          <w:rFonts w:ascii="宋体" w:hAnsi="宋体" w:hint="eastAsia"/>
          <w:color w:val="FF00FF"/>
          <w:sz w:val="21"/>
          <w:szCs w:val="21"/>
        </w:rPr>
        <w:t>建立合理的授权分责制度</w:t>
      </w:r>
      <w:r w:rsidRPr="00312655">
        <w:rPr>
          <w:rFonts w:ascii="宋体" w:hAnsi="宋体" w:hint="eastAsia"/>
          <w:sz w:val="21"/>
          <w:szCs w:val="21"/>
        </w:rPr>
        <w:t>：授权、授信控制；对职责范围内的工作负责。</w:t>
      </w:r>
    </w:p>
    <w:p w:rsidR="00140455" w:rsidRPr="00312655" w:rsidP="003C1ECF">
      <w:pPr>
        <w:pStyle w:val="BodyText2"/>
        <w:numPr>
          <w:ilvl w:val="0"/>
          <w:numId w:val="32"/>
        </w:numPr>
        <w:spacing w:before="156" w:beforeLines="50" w:line="240" w:lineRule="atLeast"/>
        <w:ind w:right="-334" w:rightChars="-159"/>
        <w:jc w:val="both"/>
        <w:rPr>
          <w:rFonts w:ascii="宋体" w:hAnsi="宋体" w:hint="eastAsia"/>
          <w:sz w:val="21"/>
          <w:szCs w:val="21"/>
        </w:rPr>
      </w:pPr>
      <w:r w:rsidRPr="00312655" w:rsidR="00FD6804">
        <w:rPr>
          <w:rFonts w:ascii="宋体" w:hAnsi="宋体" w:hint="eastAsia"/>
          <w:color w:val="FF00FF"/>
          <w:sz w:val="21"/>
          <w:szCs w:val="21"/>
        </w:rPr>
        <w:t>计算机风险控制</w:t>
      </w:r>
      <w:r w:rsidRPr="00312655" w:rsidR="00FD6804">
        <w:rPr>
          <w:rFonts w:ascii="宋体" w:hAnsi="宋体" w:hint="eastAsia"/>
          <w:sz w:val="21"/>
          <w:szCs w:val="21"/>
        </w:rPr>
        <w:t>：</w:t>
      </w:r>
    </w:p>
    <w:p w:rsidR="00660CD7" w:rsidRPr="00312655" w:rsidP="003C1ECF">
      <w:pPr>
        <w:pStyle w:val="BodyText2"/>
        <w:numPr>
          <w:ilvl w:val="0"/>
          <w:numId w:val="3"/>
        </w:numPr>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投资银行专业人才应具备的素质；</w:t>
      </w:r>
      <w:r w:rsidRPr="00312655" w:rsidR="009664B3">
        <w:rPr>
          <w:rFonts w:ascii="宋体" w:hAnsi="宋体" w:hint="eastAsia"/>
          <w:b/>
          <w:sz w:val="21"/>
          <w:szCs w:val="21"/>
        </w:rPr>
        <w:t>对投资银行业的认识</w:t>
      </w:r>
    </w:p>
    <w:p w:rsidR="00FD6804" w:rsidRPr="00312655" w:rsidP="003C1ECF">
      <w:pPr>
        <w:pStyle w:val="BodyText2"/>
        <w:numPr>
          <w:ilvl w:val="1"/>
          <w:numId w:val="3"/>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投资银行人才的素质要求：</w:t>
      </w:r>
    </w:p>
    <w:p w:rsidR="00FD6804"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w:t>
      </w:r>
      <w:r w:rsidRPr="00312655">
        <w:rPr>
          <w:rFonts w:ascii="宋体" w:hAnsi="宋体" w:hint="eastAsia"/>
          <w:color w:val="FF00FF"/>
          <w:sz w:val="21"/>
          <w:szCs w:val="21"/>
        </w:rPr>
        <w:t>道德素质：</w:t>
      </w:r>
      <w:r w:rsidRPr="00312655">
        <w:rPr>
          <w:rFonts w:ascii="宋体" w:hAnsi="宋体" w:hint="eastAsia"/>
          <w:sz w:val="21"/>
          <w:szCs w:val="21"/>
        </w:rPr>
        <w:t>诚实、守信、守法、公正</w:t>
      </w:r>
    </w:p>
    <w:p w:rsidR="00FD6804"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w:t>
      </w:r>
      <w:r w:rsidRPr="00312655">
        <w:rPr>
          <w:rFonts w:ascii="宋体" w:hAnsi="宋体" w:hint="eastAsia"/>
          <w:color w:val="FF00FF"/>
          <w:sz w:val="21"/>
          <w:szCs w:val="21"/>
        </w:rPr>
        <w:t>业务素质：</w:t>
      </w:r>
      <w:r w:rsidRPr="00312655">
        <w:rPr>
          <w:rFonts w:ascii="宋体" w:hAnsi="宋体" w:hint="eastAsia"/>
          <w:sz w:val="21"/>
          <w:szCs w:val="21"/>
        </w:rPr>
        <w:t>熟悉法律、法规和其他制度；具备相当的信息加工和分析处理能力；敏锐的判断力；合理的知识结构。</w:t>
      </w:r>
    </w:p>
    <w:p w:rsidR="00FD6804" w:rsidRPr="00312655" w:rsidP="00312655">
      <w:pPr>
        <w:pStyle w:val="BodyText2"/>
        <w:spacing w:before="156" w:beforeLines="50" w:line="240" w:lineRule="atLeast"/>
        <w:ind w:left="359" w:right="32" w:firstLine="105" w:leftChars="171" w:rightChars="15" w:firstLineChars="50"/>
        <w:jc w:val="both"/>
        <w:rPr>
          <w:rFonts w:ascii="宋体" w:hAnsi="宋体" w:hint="eastAsia"/>
          <w:color w:val="FF00FF"/>
          <w:sz w:val="21"/>
          <w:szCs w:val="21"/>
        </w:rPr>
        <w:sectPr>
          <w:type w:val="nextPage"/>
          <w:pgSz w:w="11906" w:h="16838"/>
          <w:pgMar w:top="1440" w:right="1800" w:bottom="1440" w:left="1800" w:header="851" w:footer="992" w:gutter="0"/>
          <w:pgNumType w:start="8"/>
          <w:cols w:space="425"/>
          <w:titlePg w:val="0"/>
          <w:docGrid w:type="lines" w:linePitch="312"/>
        </w:sectPr>
      </w:pPr>
      <w:r w:rsidRPr="00312655">
        <w:rPr>
          <w:rFonts w:ascii="宋体" w:hAnsi="宋体" w:hint="eastAsia"/>
          <w:color w:val="FF00FF"/>
          <w:sz w:val="21"/>
          <w:szCs w:val="21"/>
        </w:rPr>
        <w:t>投资银行家个性要求：</w:t>
      </w:r>
    </w:p>
    <w:p w:rsidR="00C00E2B"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成就推动力；</w:t>
      </w:r>
      <w:r w:rsidRPr="00312655" w:rsidR="00FD6804">
        <w:rPr>
          <w:rFonts w:ascii="宋体" w:hAnsi="宋体" w:hint="eastAsia"/>
          <w:sz w:val="21"/>
          <w:szCs w:val="21"/>
        </w:rPr>
        <w:t>责任与奉献精神</w:t>
      </w:r>
      <w:r w:rsidRPr="00312655">
        <w:rPr>
          <w:rFonts w:ascii="宋体" w:hAnsi="宋体" w:hint="eastAsia"/>
          <w:sz w:val="21"/>
          <w:szCs w:val="21"/>
        </w:rPr>
        <w:t>；重点与强度；</w:t>
      </w:r>
      <w:r w:rsidRPr="00312655" w:rsidR="00FD6804">
        <w:rPr>
          <w:rFonts w:ascii="宋体" w:hAnsi="宋体" w:hint="eastAsia"/>
          <w:sz w:val="21"/>
          <w:szCs w:val="21"/>
        </w:rPr>
        <w:t>耐心与毅力</w:t>
      </w:r>
      <w:r w:rsidRPr="00312655">
        <w:rPr>
          <w:rFonts w:ascii="宋体" w:hAnsi="宋体" w:hint="eastAsia"/>
          <w:sz w:val="21"/>
          <w:szCs w:val="21"/>
        </w:rPr>
        <w:t>；敏锐性与观察力；</w:t>
      </w:r>
      <w:r w:rsidRPr="00312655" w:rsidR="00FD6804">
        <w:rPr>
          <w:rFonts w:ascii="宋体" w:hAnsi="宋体" w:hint="eastAsia"/>
          <w:sz w:val="21"/>
          <w:szCs w:val="21"/>
        </w:rPr>
        <w:t>正直和始终如一</w:t>
      </w:r>
      <w:r w:rsidRPr="00312655">
        <w:rPr>
          <w:rFonts w:ascii="宋体" w:hAnsi="宋体" w:hint="eastAsia"/>
          <w:sz w:val="21"/>
          <w:szCs w:val="21"/>
        </w:rPr>
        <w:t>；</w:t>
      </w:r>
      <w:r w:rsidRPr="00312655" w:rsidR="00FD6804">
        <w:rPr>
          <w:rFonts w:ascii="宋体" w:hAnsi="宋体" w:hint="eastAsia"/>
          <w:sz w:val="21"/>
          <w:szCs w:val="21"/>
        </w:rPr>
        <w:t>创造和创新</w:t>
      </w:r>
    </w:p>
    <w:p w:rsidR="00C00E2B" w:rsidRPr="00312655" w:rsidP="00312655">
      <w:pPr>
        <w:pStyle w:val="BodyText2"/>
        <w:spacing w:before="156" w:beforeLines="50" w:line="240" w:lineRule="atLeast"/>
        <w:ind w:right="32" w:rightChars="15"/>
        <w:jc w:val="both"/>
        <w:rPr>
          <w:rFonts w:ascii="宋体" w:hAnsi="宋体" w:hint="eastAsia"/>
          <w:sz w:val="21"/>
          <w:szCs w:val="21"/>
        </w:rPr>
      </w:pPr>
    </w:p>
    <w:p w:rsidR="008D7096" w:rsidRPr="00312655" w:rsidP="003C1ECF">
      <w:pPr>
        <w:numPr>
          <w:ilvl w:val="0"/>
          <w:numId w:val="81"/>
        </w:numPr>
        <w:spacing w:line="240" w:lineRule="atLeast"/>
        <w:ind w:left="714" w:hanging="357"/>
        <w:jc w:val="left"/>
        <w:rPr>
          <w:rFonts w:ascii="宋体" w:hAnsi="宋体"/>
          <w:color w:val="FF00FF"/>
          <w:szCs w:val="21"/>
        </w:rPr>
      </w:pPr>
      <w:r w:rsidRPr="00312655">
        <w:rPr>
          <w:rFonts w:ascii="宋体" w:hAnsi="宋体"/>
          <w:szCs w:val="21"/>
        </w:rPr>
        <w:t>投资银行是指主营业务为资本市场业务的金融机构。 并不是所有经营资本市场业务（或投资银行业务）的企业都是投资银行，只有哪些主营业务为资本市场业务的企业才是投资银行。另外，并不是经营全部资本市场业务的企业才是投资银行，只要主营业务是资本市场业务--无论是一项还是二项--的企业就是投资银行。因为随着资本市场业务的不断发展，投资银行的内涵也在不断发展。</w:t>
      </w:r>
      <w:r w:rsidRPr="00312655">
        <w:rPr>
          <w:rFonts w:ascii="宋体" w:hAnsi="宋体"/>
          <w:color w:val="FF00FF"/>
          <w:szCs w:val="21"/>
        </w:rPr>
        <w:t>就目前而言，资本市场业务（或投资银行业务）主要包括证券承销、证券交易、兼并收购、资金管理、项目融资、风险投资、信贷资产证券化等。</w:t>
      </w:r>
    </w:p>
    <w:p w:rsidR="008D7096" w:rsidRPr="00312655" w:rsidP="003C1ECF">
      <w:pPr>
        <w:numPr>
          <w:ilvl w:val="0"/>
          <w:numId w:val="81"/>
        </w:numPr>
        <w:spacing w:line="240" w:lineRule="atLeast"/>
        <w:rPr>
          <w:rFonts w:ascii="宋体" w:hAnsi="宋体"/>
          <w:color w:val="FF00FF"/>
          <w:szCs w:val="21"/>
        </w:rPr>
      </w:pPr>
      <w:r w:rsidRPr="00312655">
        <w:rPr>
          <w:rFonts w:ascii="宋体" w:hAnsi="宋体" w:hint="eastAsia"/>
          <w:color w:val="FF00FF"/>
          <w:szCs w:val="21"/>
        </w:rPr>
        <w:t>创新性：</w:t>
      </w:r>
      <w:r w:rsidRPr="00312655">
        <w:rPr>
          <w:rFonts w:ascii="宋体" w:hAnsi="宋体"/>
          <w:color w:val="FF00FF"/>
          <w:szCs w:val="21"/>
        </w:rPr>
        <w:t>投资银行业的灵魂</w:t>
      </w:r>
      <w:r w:rsidRPr="00312655" w:rsidR="0059743C">
        <w:rPr>
          <w:rFonts w:ascii="宋体" w:hAnsi="宋体" w:hint="eastAsia"/>
          <w:color w:val="FF00FF"/>
          <w:szCs w:val="21"/>
        </w:rPr>
        <w:t>。</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涵义：包括创造和革新两个方面</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具体内容：制度创新、业务创新、产品创新</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创新性的培养：营造自由灵活的创新环境</w:t>
      </w:r>
    </w:p>
    <w:p w:rsidR="008D7096" w:rsidRPr="00312655" w:rsidP="00312655">
      <w:pPr>
        <w:spacing w:line="240" w:lineRule="atLeast"/>
        <w:rPr>
          <w:rFonts w:ascii="宋体" w:hAnsi="宋体"/>
          <w:szCs w:val="21"/>
        </w:rPr>
      </w:pPr>
      <w:r w:rsidRPr="00312655">
        <w:rPr>
          <w:rFonts w:ascii="宋体" w:hAnsi="宋体" w:hint="eastAsia"/>
          <w:szCs w:val="21"/>
        </w:rPr>
        <w:t>　　　               激发个体能动性</w:t>
      </w:r>
    </w:p>
    <w:p w:rsidR="008D7096" w:rsidRPr="00312655" w:rsidP="00312655">
      <w:pPr>
        <w:spacing w:line="240" w:lineRule="atLeast"/>
        <w:rPr>
          <w:rFonts w:ascii="宋体" w:hAnsi="宋体"/>
          <w:szCs w:val="21"/>
        </w:rPr>
      </w:pPr>
      <w:r w:rsidRPr="00312655">
        <w:rPr>
          <w:rFonts w:ascii="宋体" w:hAnsi="宋体" w:hint="eastAsia"/>
          <w:szCs w:val="21"/>
        </w:rPr>
        <w:t>　　　               善于发现、尊重和培养创新型人才</w:t>
      </w:r>
    </w:p>
    <w:p w:rsidR="008D7096" w:rsidRPr="00312655" w:rsidP="00312655">
      <w:pPr>
        <w:spacing w:line="240" w:lineRule="atLeast"/>
        <w:rPr>
          <w:rFonts w:ascii="宋体" w:hAnsi="宋体"/>
          <w:szCs w:val="21"/>
        </w:rPr>
      </w:pPr>
      <w:r w:rsidRPr="00312655">
        <w:rPr>
          <w:rFonts w:ascii="宋体" w:hAnsi="宋体" w:hint="eastAsia"/>
          <w:szCs w:val="21"/>
        </w:rPr>
        <w:t>　　　               制定有利于创新的奖惩制度</w:t>
      </w:r>
    </w:p>
    <w:p w:rsidR="008D7096" w:rsidRPr="00312655" w:rsidP="003C1ECF">
      <w:pPr>
        <w:numPr>
          <w:ilvl w:val="0"/>
          <w:numId w:val="36"/>
        </w:numPr>
        <w:spacing w:line="240" w:lineRule="atLeast"/>
        <w:rPr>
          <w:rFonts w:ascii="宋体" w:hAnsi="宋体"/>
          <w:color w:val="FF00FF"/>
          <w:szCs w:val="21"/>
        </w:rPr>
      </w:pPr>
      <w:r w:rsidRPr="00312655">
        <w:rPr>
          <w:rFonts w:ascii="宋体" w:hAnsi="宋体" w:hint="eastAsia"/>
          <w:color w:val="FF00FF"/>
          <w:szCs w:val="21"/>
        </w:rPr>
        <w:t>专业性：</w:t>
      </w:r>
      <w:r w:rsidRPr="00312655">
        <w:rPr>
          <w:rFonts w:ascii="宋体" w:hAnsi="宋体"/>
          <w:color w:val="FF00FF"/>
          <w:szCs w:val="21"/>
        </w:rPr>
        <w:t>投资银行业的利润之源</w:t>
      </w:r>
    </w:p>
    <w:p w:rsidR="00CA0CD1" w:rsidRPr="00312655" w:rsidP="003C1ECF">
      <w:pPr>
        <w:numPr>
          <w:ilvl w:val="0"/>
          <w:numId w:val="38"/>
        </w:numPr>
        <w:spacing w:line="240" w:lineRule="atLeast"/>
        <w:rPr>
          <w:rFonts w:ascii="宋体" w:hAnsi="宋体" w:hint="eastAsia"/>
          <w:szCs w:val="21"/>
        </w:rPr>
      </w:pPr>
      <w:r w:rsidRPr="00312655" w:rsidR="008D7096">
        <w:rPr>
          <w:rFonts w:ascii="宋体" w:hAnsi="宋体" w:hint="eastAsia"/>
          <w:szCs w:val="21"/>
        </w:rPr>
        <w:t>投资银行的专业特征主要体现在：</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投资理论</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融资经验和渠道</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行业专长和业务能力</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市场洞察力</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公关技能</w:t>
        <w:tab/>
      </w:r>
    </w:p>
    <w:p w:rsidR="008D7096" w:rsidRPr="00312655" w:rsidP="003C1ECF">
      <w:pPr>
        <w:numPr>
          <w:ilvl w:val="0"/>
          <w:numId w:val="37"/>
        </w:numPr>
        <w:spacing w:line="240" w:lineRule="atLeast"/>
        <w:rPr>
          <w:rFonts w:ascii="宋体" w:hAnsi="宋体"/>
          <w:color w:val="FF00FF"/>
          <w:szCs w:val="21"/>
        </w:rPr>
      </w:pPr>
      <w:r w:rsidRPr="00312655">
        <w:rPr>
          <w:rFonts w:ascii="宋体" w:hAnsi="宋体" w:hint="eastAsia"/>
          <w:color w:val="FF00FF"/>
          <w:szCs w:val="21"/>
        </w:rPr>
        <w:t>道德性：</w:t>
      </w:r>
      <w:r w:rsidRPr="00312655">
        <w:rPr>
          <w:rFonts w:ascii="宋体" w:hAnsi="宋体"/>
          <w:color w:val="FF00FF"/>
          <w:szCs w:val="21"/>
        </w:rPr>
        <w:t>投资银行业的立身之本</w:t>
      </w:r>
    </w:p>
    <w:p w:rsidR="008D7096" w:rsidRPr="00312655" w:rsidP="003C1ECF">
      <w:pPr>
        <w:numPr>
          <w:ilvl w:val="0"/>
          <w:numId w:val="38"/>
        </w:numPr>
        <w:spacing w:line="240" w:lineRule="atLeast"/>
        <w:rPr>
          <w:rFonts w:ascii="宋体" w:hAnsi="宋体"/>
          <w:szCs w:val="21"/>
        </w:rPr>
      </w:pPr>
      <w:r w:rsidRPr="00312655">
        <w:rPr>
          <w:rFonts w:ascii="宋体" w:hAnsi="宋体" w:hint="eastAsia"/>
          <w:szCs w:val="21"/>
        </w:rPr>
        <w:t>职业道德要求具体体现在：保守秘密</w:t>
      </w:r>
    </w:p>
    <w:p w:rsidR="008D7096" w:rsidRPr="00312655" w:rsidP="00312655">
      <w:pPr>
        <w:spacing w:line="240" w:lineRule="atLeast"/>
        <w:ind w:left="3549"/>
        <w:jc w:val="left"/>
        <w:rPr>
          <w:rFonts w:ascii="宋体" w:hAnsi="宋体"/>
          <w:szCs w:val="21"/>
        </w:rPr>
      </w:pPr>
      <w:r w:rsidRPr="00312655">
        <w:rPr>
          <w:rFonts w:ascii="宋体" w:hAnsi="宋体" w:hint="eastAsia"/>
          <w:szCs w:val="21"/>
        </w:rPr>
        <w:t>信息隔离</w:t>
      </w:r>
    </w:p>
    <w:p w:rsidR="008D7096" w:rsidRPr="00312655" w:rsidP="00312655">
      <w:pPr>
        <w:spacing w:line="240" w:lineRule="atLeast"/>
        <w:ind w:left="3318" w:firstLine="231"/>
        <w:jc w:val="left"/>
        <w:rPr>
          <w:rFonts w:ascii="宋体" w:hAnsi="宋体"/>
          <w:szCs w:val="21"/>
        </w:rPr>
      </w:pPr>
      <w:r w:rsidRPr="00312655">
        <w:rPr>
          <w:rFonts w:ascii="宋体" w:hAnsi="宋体" w:hint="eastAsia"/>
          <w:szCs w:val="21"/>
        </w:rPr>
        <w:t>遵守法律</w:t>
      </w:r>
    </w:p>
    <w:p w:rsidR="008D7096" w:rsidRPr="00312655" w:rsidP="00312655">
      <w:pPr>
        <w:spacing w:line="240" w:lineRule="atLeast"/>
        <w:ind w:left="3318" w:firstLine="231"/>
        <w:jc w:val="left"/>
        <w:rPr>
          <w:rFonts w:ascii="宋体" w:hAnsi="宋体" w:hint="eastAsia"/>
          <w:szCs w:val="21"/>
        </w:rPr>
      </w:pPr>
      <w:r w:rsidRPr="00312655">
        <w:rPr>
          <w:rFonts w:ascii="宋体" w:hAnsi="宋体" w:hint="eastAsia"/>
          <w:szCs w:val="21"/>
        </w:rPr>
        <w:t>诚信原则</w:t>
      </w:r>
    </w:p>
    <w:p w:rsidR="00FD6804" w:rsidRPr="00312655" w:rsidP="00312655">
      <w:pPr>
        <w:spacing w:line="240" w:lineRule="atLeast"/>
        <w:ind w:left="3549"/>
        <w:jc w:val="left"/>
        <w:rPr>
          <w:rFonts w:ascii="宋体" w:hAnsi="宋体" w:hint="eastAsia"/>
          <w:szCs w:val="21"/>
        </w:rPr>
      </w:pPr>
      <w:r w:rsidRPr="00312655" w:rsidR="0059743C">
        <w:rPr>
          <w:rFonts w:ascii="宋体" w:hAnsi="宋体" w:hint="eastAsia"/>
          <w:szCs w:val="21"/>
        </w:rPr>
        <w:t>公开原则</w:t>
      </w:r>
      <w:r w:rsidRPr="00312655" w:rsidR="008D7096">
        <w:rPr>
          <w:rFonts w:ascii="宋体" w:hAnsi="宋体" w:hint="eastAsia"/>
          <w:szCs w:val="21"/>
        </w:rPr>
        <w:t xml:space="preserve">                                   </w:t>
      </w:r>
    </w:p>
    <w:p w:rsidR="009664B3" w:rsidRPr="00312655" w:rsidP="003C1ECF">
      <w:pPr>
        <w:pStyle w:val="BodyText2"/>
        <w:numPr>
          <w:ilvl w:val="0"/>
          <w:numId w:val="3"/>
        </w:numPr>
        <w:spacing w:before="156" w:beforeLines="50" w:line="240" w:lineRule="atLeast"/>
        <w:ind w:right="32" w:rightChars="15"/>
        <w:jc w:val="both"/>
        <w:rPr>
          <w:rFonts w:ascii="宋体" w:hAnsi="宋体" w:hint="eastAsia"/>
          <w:b/>
          <w:sz w:val="21"/>
          <w:szCs w:val="21"/>
        </w:rPr>
      </w:pPr>
      <w:r w:rsidRPr="00312655" w:rsidR="00660CD7">
        <w:rPr>
          <w:rFonts w:ascii="宋体" w:hAnsi="宋体" w:hint="eastAsia"/>
          <w:b/>
          <w:sz w:val="21"/>
          <w:szCs w:val="21"/>
        </w:rPr>
        <w:t>对</w:t>
      </w:r>
      <w:r w:rsidRPr="00312655" w:rsidR="00A714B4">
        <w:rPr>
          <w:rFonts w:ascii="宋体" w:hAnsi="宋体" w:hint="eastAsia"/>
          <w:b/>
          <w:sz w:val="21"/>
          <w:szCs w:val="21"/>
        </w:rPr>
        <w:t>投资银行人才的激励机制</w:t>
      </w:r>
      <w:r w:rsidRPr="00312655" w:rsidR="00660CD7">
        <w:rPr>
          <w:rFonts w:ascii="宋体" w:hAnsi="宋体" w:hint="eastAsia"/>
          <w:b/>
          <w:sz w:val="21"/>
          <w:szCs w:val="21"/>
        </w:rPr>
        <w:t>的内容和</w:t>
      </w:r>
      <w:r w:rsidRPr="00312655" w:rsidR="006F0907">
        <w:rPr>
          <w:rFonts w:ascii="宋体" w:hAnsi="宋体" w:hint="eastAsia"/>
          <w:b/>
          <w:sz w:val="21"/>
          <w:szCs w:val="21"/>
        </w:rPr>
        <w:t>作用</w:t>
      </w:r>
      <w:r w:rsidRPr="00312655" w:rsidR="00660CD7">
        <w:rPr>
          <w:rFonts w:ascii="宋体" w:hAnsi="宋体" w:hint="eastAsia"/>
          <w:b/>
          <w:sz w:val="21"/>
          <w:szCs w:val="21"/>
        </w:rPr>
        <w:t>。</w:t>
      </w:r>
    </w:p>
    <w:p w:rsidR="00FD6804" w:rsidRPr="00312655" w:rsidP="00312655">
      <w:pPr>
        <w:pStyle w:val="BodyText2"/>
        <w:spacing w:before="156" w:beforeLines="50" w:line="240" w:lineRule="atLeast"/>
        <w:ind w:right="32" w:firstLine="420" w:rightChars="15" w:firstLineChars="200"/>
        <w:jc w:val="both"/>
        <w:rPr>
          <w:rFonts w:ascii="宋体" w:hAnsi="宋体"/>
          <w:sz w:val="21"/>
          <w:szCs w:val="21"/>
        </w:rPr>
      </w:pPr>
      <w:r w:rsidRPr="00312655">
        <w:rPr>
          <w:rFonts w:ascii="宋体" w:hAnsi="宋体" w:hint="eastAsia"/>
          <w:sz w:val="21"/>
          <w:szCs w:val="21"/>
        </w:rPr>
        <w:t>（1）投资银行的人才激励：人力资源管理开发的核心是</w:t>
      </w:r>
      <w:r w:rsidRPr="00312655">
        <w:rPr>
          <w:rFonts w:ascii="宋体" w:hAnsi="宋体" w:hint="eastAsia"/>
          <w:color w:val="FF00FF"/>
          <w:sz w:val="21"/>
          <w:szCs w:val="21"/>
        </w:rPr>
        <w:t>建立有效的激励机制</w:t>
      </w:r>
      <w:r w:rsidRPr="00312655">
        <w:rPr>
          <w:rFonts w:ascii="宋体" w:hAnsi="宋体" w:hint="eastAsia"/>
          <w:sz w:val="21"/>
          <w:szCs w:val="21"/>
        </w:rPr>
        <w:t>，充分调动员工的积极性、主动性，将员工潜能发挥出来。激励方式包括：</w:t>
      </w:r>
    </w:p>
    <w:p w:rsidR="00FD6804" w:rsidRPr="00312655" w:rsidP="003C1ECF">
      <w:pPr>
        <w:pStyle w:val="BodyText2"/>
        <w:numPr>
          <w:ilvl w:val="0"/>
          <w:numId w:val="33"/>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精神激励</w:t>
      </w:r>
      <w:r w:rsidRPr="00312655">
        <w:rPr>
          <w:rFonts w:ascii="宋体" w:hAnsi="宋体" w:hint="eastAsia"/>
          <w:sz w:val="21"/>
          <w:szCs w:val="21"/>
        </w:rPr>
        <w:t>：目标激励</w:t>
      </w:r>
      <w:r w:rsidRPr="00312655" w:rsidR="00C00E2B">
        <w:rPr>
          <w:rFonts w:ascii="宋体" w:hAnsi="宋体" w:hint="eastAsia"/>
          <w:sz w:val="21"/>
          <w:szCs w:val="21"/>
        </w:rPr>
        <w:t>；</w:t>
      </w:r>
      <w:r w:rsidRPr="00312655">
        <w:rPr>
          <w:rFonts w:ascii="宋体" w:hAnsi="宋体" w:hint="eastAsia"/>
          <w:sz w:val="21"/>
          <w:szCs w:val="21"/>
        </w:rPr>
        <w:t>参与决策激励</w:t>
      </w:r>
      <w:r w:rsidRPr="00312655" w:rsidR="00C00E2B">
        <w:rPr>
          <w:rFonts w:ascii="宋体" w:hAnsi="宋体" w:hint="eastAsia"/>
          <w:sz w:val="21"/>
          <w:szCs w:val="21"/>
        </w:rPr>
        <w:t>；</w:t>
      </w:r>
      <w:r w:rsidRPr="00312655">
        <w:rPr>
          <w:rFonts w:ascii="宋体" w:hAnsi="宋体" w:hint="eastAsia"/>
          <w:sz w:val="21"/>
          <w:szCs w:val="21"/>
        </w:rPr>
        <w:t>员工发展机会激励</w:t>
      </w:r>
      <w:r w:rsidRPr="00312655" w:rsidR="00C00E2B">
        <w:rPr>
          <w:rFonts w:ascii="宋体" w:hAnsi="宋体" w:hint="eastAsia"/>
          <w:sz w:val="21"/>
          <w:szCs w:val="21"/>
        </w:rPr>
        <w:t>；</w:t>
      </w:r>
      <w:r w:rsidRPr="00312655">
        <w:rPr>
          <w:rFonts w:ascii="宋体" w:hAnsi="宋体" w:hint="eastAsia"/>
          <w:sz w:val="21"/>
          <w:szCs w:val="21"/>
        </w:rPr>
        <w:t>关怀激励</w:t>
      </w:r>
      <w:r w:rsidRPr="00312655" w:rsidR="00C00E2B">
        <w:rPr>
          <w:rFonts w:ascii="宋体" w:hAnsi="宋体" w:hint="eastAsia"/>
          <w:sz w:val="21"/>
          <w:szCs w:val="21"/>
        </w:rPr>
        <w:t>；</w:t>
      </w:r>
      <w:r w:rsidRPr="00312655">
        <w:rPr>
          <w:rFonts w:ascii="宋体" w:hAnsi="宋体" w:hint="eastAsia"/>
          <w:sz w:val="21"/>
          <w:szCs w:val="21"/>
        </w:rPr>
        <w:t>育才激励</w:t>
      </w:r>
    </w:p>
    <w:p w:rsidR="00FD6804" w:rsidRPr="00312655" w:rsidP="003C1ECF">
      <w:pPr>
        <w:pStyle w:val="BodyText2"/>
        <w:numPr>
          <w:ilvl w:val="0"/>
          <w:numId w:val="34"/>
        </w:numPr>
        <w:spacing w:before="156" w:beforeLines="50" w:line="240" w:lineRule="atLeast"/>
        <w:ind w:right="32" w:rightChars="15"/>
        <w:jc w:val="both"/>
        <w:rPr>
          <w:rFonts w:ascii="宋体" w:hAnsi="宋体" w:hint="eastAsia"/>
          <w:sz w:val="21"/>
          <w:szCs w:val="21"/>
        </w:rPr>
      </w:pPr>
      <w:r w:rsidRPr="00312655">
        <w:rPr>
          <w:rFonts w:ascii="宋体" w:hAnsi="宋体" w:hint="eastAsia"/>
          <w:color w:val="FF00FF"/>
          <w:sz w:val="21"/>
          <w:szCs w:val="21"/>
        </w:rPr>
        <w:t>物质激励</w:t>
      </w:r>
      <w:r w:rsidRPr="00312655">
        <w:rPr>
          <w:rFonts w:ascii="宋体" w:hAnsi="宋体" w:hint="eastAsia"/>
          <w:sz w:val="21"/>
          <w:szCs w:val="21"/>
        </w:rPr>
        <w:t>：基本薪酬制度</w:t>
      </w:r>
      <w:r w:rsidRPr="00312655" w:rsidR="00C00E2B">
        <w:rPr>
          <w:rFonts w:ascii="宋体" w:hAnsi="宋体" w:hint="eastAsia"/>
          <w:sz w:val="21"/>
          <w:szCs w:val="21"/>
        </w:rPr>
        <w:t>；</w:t>
      </w:r>
      <w:r w:rsidRPr="00312655">
        <w:rPr>
          <w:rFonts w:ascii="宋体" w:hAnsi="宋体" w:hint="eastAsia"/>
          <w:sz w:val="21"/>
          <w:szCs w:val="21"/>
        </w:rPr>
        <w:t>长期激励机制，包括：员工持股计划、认股权证、高息公司债券与可转换公司债券</w:t>
      </w:r>
      <w:r w:rsidRPr="00312655" w:rsidR="0059743C">
        <w:rPr>
          <w:rFonts w:ascii="宋体" w:hAnsi="宋体" w:hint="eastAsia"/>
          <w:sz w:val="21"/>
          <w:szCs w:val="21"/>
        </w:rPr>
        <w:t>。</w:t>
      </w:r>
    </w:p>
    <w:p w:rsidR="006915F5" w:rsidRPr="00312655" w:rsidP="00312655">
      <w:pPr>
        <w:pStyle w:val="BodyText2"/>
        <w:spacing w:line="240" w:lineRule="atLeast"/>
        <w:ind w:right="32" w:firstLine="525" w:rightChars="15" w:firstLineChars="250"/>
        <w:jc w:val="left"/>
        <w:rPr>
          <w:rFonts w:ascii="宋体" w:hAnsi="宋体"/>
          <w:sz w:val="21"/>
          <w:szCs w:val="21"/>
        </w:rPr>
      </w:pPr>
      <w:r w:rsidRPr="00312655" w:rsidR="00FD6804">
        <w:rPr>
          <w:rFonts w:ascii="宋体" w:hAnsi="宋体" w:hint="eastAsia"/>
          <w:sz w:val="21"/>
          <w:szCs w:val="21"/>
        </w:rPr>
        <w:t>（2）</w:t>
      </w:r>
      <w:r w:rsidRPr="00312655" w:rsidR="0059743C">
        <w:rPr>
          <w:rFonts w:ascii="宋体" w:hAnsi="宋体" w:hint="eastAsia"/>
          <w:sz w:val="21"/>
          <w:szCs w:val="21"/>
        </w:rPr>
        <w:t>作用</w:t>
      </w:r>
      <w:r w:rsidRPr="00312655">
        <w:rPr>
          <w:rFonts w:ascii="宋体" w:hAnsi="宋体" w:hint="eastAsia"/>
          <w:sz w:val="21"/>
          <w:szCs w:val="21"/>
        </w:rPr>
        <w:t>：</w:t>
      </w:r>
      <w:r w:rsidRPr="00312655">
        <w:rPr>
          <w:rFonts w:ascii="宋体" w:hAnsi="宋体" w:hint="eastAsia"/>
          <w:color w:val="FF00FF"/>
          <w:sz w:val="21"/>
          <w:szCs w:val="21"/>
        </w:rPr>
        <w:t>使公司成长性与高管人员、普通员工的个人利益紧密联系在一起，</w:t>
      </w:r>
      <w:r w:rsidRPr="00312655">
        <w:rPr>
          <w:rFonts w:ascii="宋体" w:hAnsi="宋体" w:hint="eastAsia"/>
          <w:sz w:val="21"/>
          <w:szCs w:val="21"/>
        </w:rPr>
        <w:t>并形成</w:t>
      </w:r>
      <w:r w:rsidRPr="00312655">
        <w:rPr>
          <w:rFonts w:ascii="宋体" w:hAnsi="宋体" w:hint="eastAsia"/>
          <w:color w:val="FF00FF"/>
          <w:sz w:val="21"/>
          <w:szCs w:val="21"/>
        </w:rPr>
        <w:t>相互促进的良性循环，保证投资银行长期稳定持续地发展</w:t>
      </w:r>
      <w:r w:rsidRPr="00312655">
        <w:rPr>
          <w:rFonts w:ascii="宋体" w:hAnsi="宋体" w:hint="eastAsia"/>
          <w:sz w:val="21"/>
          <w:szCs w:val="21"/>
        </w:rPr>
        <w:t>，并培养出高素质、适应时代发展的投资银行家。</w:t>
      </w:r>
    </w:p>
    <w:p w:rsidR="00660CD7" w:rsidRPr="00312655" w:rsidP="00312655">
      <w:pPr>
        <w:pStyle w:val="BodyText2"/>
        <w:spacing w:before="156" w:beforeLines="50" w:line="240" w:lineRule="atLeast"/>
        <w:ind w:right="32" w:rightChars="15"/>
        <w:jc w:val="both"/>
        <w:rPr>
          <w:rFonts w:ascii="宋体" w:hAnsi="宋体" w:hint="eastAsia"/>
          <w:sz w:val="21"/>
          <w:szCs w:val="21"/>
        </w:rPr>
      </w:pPr>
    </w:p>
    <w:p w:rsidR="00660CD7" w:rsidRPr="00312655" w:rsidP="00312655">
      <w:pPr>
        <w:pStyle w:val="BodyText2"/>
        <w:spacing w:before="156" w:beforeLines="50" w:line="240" w:lineRule="atLeast"/>
        <w:ind w:right="32" w:rightChars="15"/>
        <w:jc w:val="both"/>
        <w:rPr>
          <w:rFonts w:ascii="宋体" w:hAnsi="宋体" w:hint="eastAsia"/>
          <w:color w:val="FF6600"/>
          <w:sz w:val="21"/>
          <w:szCs w:val="21"/>
        </w:rPr>
        <w:sectPr>
          <w:type w:val="nextPage"/>
          <w:pgSz w:w="11906" w:h="16838"/>
          <w:pgMar w:top="1440" w:right="1800" w:bottom="1440" w:left="1800" w:header="851" w:footer="992" w:gutter="0"/>
          <w:pgNumType w:start="9"/>
          <w:cols w:space="425"/>
          <w:titlePg w:val="0"/>
          <w:docGrid w:type="lines" w:linePitch="312"/>
        </w:sectPr>
      </w:pPr>
      <w:r w:rsidRPr="00312655">
        <w:rPr>
          <w:rFonts w:ascii="宋体" w:hAnsi="宋体" w:hint="eastAsia"/>
          <w:color w:val="FF6600"/>
          <w:sz w:val="21"/>
          <w:szCs w:val="21"/>
        </w:rPr>
        <w:t>第五章</w:t>
      </w:r>
    </w:p>
    <w:p w:rsidR="00742F56" w:rsidRPr="00312655" w:rsidP="003C1ECF">
      <w:pPr>
        <w:pStyle w:val="BodyText2"/>
        <w:numPr>
          <w:ilvl w:val="0"/>
          <w:numId w:val="4"/>
        </w:numPr>
        <w:spacing w:before="156" w:beforeLines="50" w:line="240" w:lineRule="atLeast"/>
        <w:ind w:right="32" w:rightChars="15"/>
        <w:jc w:val="both"/>
        <w:rPr>
          <w:rFonts w:ascii="宋体" w:hAnsi="宋体" w:hint="eastAsia"/>
          <w:b/>
          <w:sz w:val="21"/>
          <w:szCs w:val="21"/>
        </w:rPr>
      </w:pPr>
      <w:r w:rsidRPr="00312655" w:rsidR="00660CD7">
        <w:rPr>
          <w:rFonts w:ascii="宋体" w:hAnsi="宋体" w:hint="eastAsia"/>
          <w:b/>
          <w:sz w:val="21"/>
          <w:szCs w:val="21"/>
        </w:rPr>
        <w:t>证券承销；</w:t>
      </w:r>
      <w:r w:rsidRPr="00312655">
        <w:rPr>
          <w:rFonts w:ascii="宋体" w:hAnsi="宋体" w:hint="eastAsia"/>
          <w:b/>
          <w:sz w:val="21"/>
          <w:szCs w:val="21"/>
        </w:rPr>
        <w:t>投资银行的承销作用和承销功能</w:t>
      </w:r>
      <w:r w:rsidRPr="00312655" w:rsidR="00147288">
        <w:rPr>
          <w:rFonts w:ascii="宋体" w:hAnsi="宋体" w:hint="eastAsia"/>
          <w:b/>
          <w:sz w:val="21"/>
          <w:szCs w:val="21"/>
        </w:rPr>
        <w:t>的理解。</w:t>
      </w:r>
    </w:p>
    <w:p w:rsidR="00920370" w:rsidRPr="00312655" w:rsidP="003C1ECF">
      <w:pPr>
        <w:pStyle w:val="BodyText2"/>
        <w:numPr>
          <w:ilvl w:val="1"/>
          <w:numId w:val="3"/>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承销作用：</w:t>
      </w:r>
    </w:p>
    <w:p w:rsidR="00920370" w:rsidRPr="00312655" w:rsidP="00312655">
      <w:pPr>
        <w:pStyle w:val="BodyText2"/>
        <w:spacing w:before="156" w:beforeLines="50" w:line="240" w:lineRule="atLeast"/>
        <w:ind w:right="32" w:firstLine="1050" w:rightChars="15" w:firstLineChars="500"/>
        <w:jc w:val="both"/>
        <w:rPr>
          <w:rFonts w:ascii="宋体" w:hAnsi="宋体"/>
          <w:color w:val="FF00FF"/>
          <w:sz w:val="21"/>
          <w:szCs w:val="21"/>
        </w:rPr>
      </w:pPr>
      <w:r w:rsidRPr="00312655">
        <w:rPr>
          <w:rFonts w:ascii="宋体" w:hAnsi="宋体" w:hint="eastAsia"/>
          <w:color w:val="FF00FF"/>
          <w:sz w:val="21"/>
          <w:szCs w:val="21"/>
        </w:rPr>
        <w:t>资金需求者与资金供给者的桥梁；</w:t>
      </w:r>
    </w:p>
    <w:p w:rsidR="00920370" w:rsidRPr="00312655" w:rsidP="00312655">
      <w:pPr>
        <w:pStyle w:val="BodyText2"/>
        <w:spacing w:before="156" w:beforeLines="50" w:line="240" w:lineRule="atLeast"/>
        <w:ind w:right="32" w:firstLine="1050" w:rightChars="15" w:firstLineChars="500"/>
        <w:jc w:val="both"/>
        <w:rPr>
          <w:rFonts w:ascii="宋体" w:hAnsi="宋体" w:hint="eastAsia"/>
          <w:color w:val="FF00FF"/>
          <w:sz w:val="21"/>
          <w:szCs w:val="21"/>
        </w:rPr>
      </w:pPr>
      <w:r w:rsidRPr="00312655">
        <w:rPr>
          <w:rFonts w:ascii="宋体" w:hAnsi="宋体" w:hint="eastAsia"/>
          <w:color w:val="FF00FF"/>
          <w:sz w:val="21"/>
          <w:szCs w:val="21"/>
        </w:rPr>
        <w:t>加速了资金的集中；</w:t>
      </w:r>
    </w:p>
    <w:p w:rsidR="00920370" w:rsidRPr="00312655" w:rsidP="00312655">
      <w:pPr>
        <w:pStyle w:val="BodyText2"/>
        <w:spacing w:before="156" w:beforeLines="50" w:line="240" w:lineRule="atLeast"/>
        <w:ind w:right="32" w:firstLine="1050" w:rightChars="15" w:firstLineChars="500"/>
        <w:jc w:val="both"/>
        <w:rPr>
          <w:rFonts w:ascii="宋体" w:hAnsi="宋体" w:hint="eastAsia"/>
          <w:color w:val="FF00FF"/>
          <w:sz w:val="21"/>
          <w:szCs w:val="21"/>
        </w:rPr>
      </w:pPr>
      <w:r w:rsidRPr="00312655">
        <w:rPr>
          <w:rFonts w:ascii="宋体" w:hAnsi="宋体" w:hint="eastAsia"/>
          <w:color w:val="FF00FF"/>
          <w:sz w:val="21"/>
          <w:szCs w:val="21"/>
        </w:rPr>
        <w:t>降低投资人的投资风险；</w:t>
      </w:r>
    </w:p>
    <w:p w:rsidR="00920370" w:rsidRPr="00312655" w:rsidP="00312655">
      <w:pPr>
        <w:pStyle w:val="BodyText2"/>
        <w:spacing w:before="156" w:beforeLines="50" w:line="240" w:lineRule="atLeast"/>
        <w:ind w:right="32" w:firstLine="1050" w:rightChars="15" w:firstLineChars="500"/>
        <w:jc w:val="both"/>
        <w:rPr>
          <w:rFonts w:ascii="宋体" w:hAnsi="宋体" w:hint="eastAsia"/>
          <w:color w:val="FF00FF"/>
          <w:sz w:val="21"/>
          <w:szCs w:val="21"/>
        </w:rPr>
      </w:pPr>
      <w:r w:rsidRPr="00312655">
        <w:rPr>
          <w:rFonts w:ascii="宋体" w:hAnsi="宋体" w:hint="eastAsia"/>
          <w:color w:val="FF00FF"/>
          <w:sz w:val="21"/>
          <w:szCs w:val="21"/>
        </w:rPr>
        <w:t>协助发行公司掌握投资时机。</w:t>
      </w:r>
    </w:p>
    <w:p w:rsidR="00D82C8A" w:rsidRPr="00312655" w:rsidP="00312655">
      <w:pPr>
        <w:pStyle w:val="BodyText2"/>
        <w:spacing w:before="156" w:beforeLines="50" w:line="240" w:lineRule="atLeast"/>
        <w:ind w:right="32" w:firstLine="1050" w:rightChars="15" w:firstLineChars="500"/>
        <w:jc w:val="both"/>
        <w:rPr>
          <w:rFonts w:ascii="宋体" w:hAnsi="宋体" w:hint="eastAsia"/>
          <w:sz w:val="21"/>
          <w:szCs w:val="21"/>
        </w:rPr>
      </w:pPr>
    </w:p>
    <w:p w:rsidR="00D82C8A" w:rsidRPr="00312655" w:rsidP="003C1ECF">
      <w:pPr>
        <w:numPr>
          <w:ilvl w:val="1"/>
          <w:numId w:val="3"/>
        </w:numPr>
        <w:spacing w:line="240" w:lineRule="atLeast"/>
        <w:rPr>
          <w:rFonts w:ascii="宋体" w:hAnsi="宋体" w:hint="eastAsia"/>
          <w:szCs w:val="21"/>
        </w:rPr>
      </w:pPr>
      <w:r w:rsidRPr="00312655">
        <w:rPr>
          <w:rFonts w:ascii="宋体" w:hAnsi="宋体" w:hint="eastAsia"/>
          <w:szCs w:val="21"/>
        </w:rPr>
        <w:t>投资银行的承销功能：</w:t>
      </w:r>
    </w:p>
    <w:p w:rsidR="00D82C8A" w:rsidRPr="00312655" w:rsidP="00312655">
      <w:pPr>
        <w:spacing w:line="240" w:lineRule="atLeast"/>
        <w:ind w:left="930" w:hanging="210" w:leftChars="343" w:hangingChars="100"/>
        <w:rPr>
          <w:rFonts w:ascii="宋体" w:hAnsi="宋体"/>
          <w:szCs w:val="21"/>
        </w:rPr>
      </w:pPr>
      <w:r w:rsidRPr="00312655">
        <w:rPr>
          <w:rFonts w:ascii="宋体" w:hAnsi="宋体"/>
          <w:szCs w:val="21"/>
        </w:rPr>
        <w:fldChar w:fldCharType="begin" w:dirty="1"/>
      </w:r>
      <w:r w:rsidRPr="00312655">
        <w:rPr>
          <w:rFonts w:ascii="宋体" w:hAnsi="宋体"/>
          <w:szCs w:val="21"/>
        </w:rPr>
        <w:instrText xml:space="preserve"> </w:instrText>
      </w:r>
      <w:r w:rsidRPr="00312655">
        <w:rPr>
          <w:rFonts w:ascii="宋体" w:hAnsi="宋体" w:hint="eastAsia"/>
          <w:szCs w:val="21"/>
        </w:rPr>
        <w:instrText>= 1 \* GB2</w:instrText>
      </w:r>
      <w:r w:rsidRPr="00312655">
        <w:rPr>
          <w:rFonts w:ascii="宋体" w:hAnsi="宋体"/>
          <w:szCs w:val="21"/>
        </w:rPr>
        <w:instrText xml:space="preserve"> </w:instrText>
      </w:r>
      <w:r w:rsidRPr="00312655">
        <w:rPr>
          <w:rFonts w:ascii="宋体" w:hAnsi="宋体"/>
          <w:szCs w:val="21"/>
        </w:rPr>
        <w:fldChar w:fldCharType="separate"/>
      </w:r>
      <w:r w:rsidRPr="00312655">
        <w:rPr>
          <w:rFonts w:ascii="宋体" w:hAnsi="宋体" w:hint="eastAsia"/>
          <w:noProof/>
          <w:szCs w:val="21"/>
        </w:rPr>
        <w:t>⑴</w:t>
      </w:r>
      <w:r w:rsidRPr="00312655">
        <w:rPr>
          <w:rFonts w:ascii="宋体" w:hAnsi="宋体"/>
          <w:szCs w:val="21"/>
        </w:rPr>
        <w:fldChar w:fldCharType="end"/>
      </w:r>
      <w:r w:rsidRPr="00312655">
        <w:rPr>
          <w:rFonts w:ascii="宋体" w:hAnsi="宋体" w:hint="eastAsia"/>
          <w:color w:val="FF00FF"/>
          <w:szCs w:val="21"/>
        </w:rPr>
        <w:t>购置功能：</w:t>
      </w:r>
      <w:r w:rsidRPr="00312655">
        <w:rPr>
          <w:rFonts w:ascii="宋体" w:hAnsi="宋体" w:hint="eastAsia"/>
          <w:szCs w:val="21"/>
        </w:rPr>
        <w:t>即风险承销功能，指承销商以某一特定价格，将证券发行公司所要出售的证券先予以承购。</w:t>
      </w:r>
    </w:p>
    <w:p w:rsidR="00D82C8A" w:rsidRPr="00312655" w:rsidP="00312655">
      <w:pPr>
        <w:spacing w:line="240" w:lineRule="atLeast"/>
        <w:rPr>
          <w:rFonts w:ascii="宋体" w:hAnsi="宋体"/>
          <w:szCs w:val="21"/>
        </w:rPr>
      </w:pPr>
      <w:r w:rsidRPr="00312655">
        <w:rPr>
          <w:rFonts w:ascii="宋体" w:hAnsi="宋体" w:hint="eastAsia"/>
          <w:szCs w:val="21"/>
        </w:rPr>
        <w:t>　　              承销商将承担证券无法顺利转销时的风险损失：等候风险；价格风险；配销风险。</w:t>
      </w:r>
    </w:p>
    <w:p w:rsidR="00D82C8A" w:rsidRPr="00312655" w:rsidP="00312655">
      <w:pPr>
        <w:spacing w:line="240" w:lineRule="atLeast"/>
        <w:ind w:left="930" w:hanging="210" w:leftChars="343" w:hangingChars="100"/>
        <w:rPr>
          <w:rFonts w:ascii="宋体" w:hAnsi="宋体"/>
          <w:szCs w:val="21"/>
        </w:rPr>
      </w:pPr>
      <w:r w:rsidRPr="00312655">
        <w:rPr>
          <w:rFonts w:ascii="宋体" w:hAnsi="宋体"/>
          <w:szCs w:val="21"/>
        </w:rPr>
        <w:fldChar w:fldCharType="begin" w:dirty="1"/>
      </w:r>
      <w:r w:rsidRPr="00312655">
        <w:rPr>
          <w:rFonts w:ascii="宋体" w:hAnsi="宋体"/>
          <w:szCs w:val="21"/>
        </w:rPr>
        <w:instrText xml:space="preserve"> </w:instrText>
      </w:r>
      <w:r w:rsidRPr="00312655">
        <w:rPr>
          <w:rFonts w:ascii="宋体" w:hAnsi="宋体" w:hint="eastAsia"/>
          <w:szCs w:val="21"/>
        </w:rPr>
        <w:instrText>= 2 \* GB2</w:instrText>
      </w:r>
      <w:r w:rsidRPr="00312655">
        <w:rPr>
          <w:rFonts w:ascii="宋体" w:hAnsi="宋体"/>
          <w:szCs w:val="21"/>
        </w:rPr>
        <w:instrText xml:space="preserve"> </w:instrText>
      </w:r>
      <w:r w:rsidRPr="00312655">
        <w:rPr>
          <w:rFonts w:ascii="宋体" w:hAnsi="宋体"/>
          <w:szCs w:val="21"/>
        </w:rPr>
        <w:fldChar w:fldCharType="separate"/>
      </w:r>
      <w:r w:rsidRPr="00312655">
        <w:rPr>
          <w:rFonts w:ascii="宋体" w:hAnsi="宋体" w:hint="eastAsia"/>
          <w:noProof/>
          <w:szCs w:val="21"/>
        </w:rPr>
        <w:t>⑵</w:t>
      </w:r>
      <w:r w:rsidRPr="00312655">
        <w:rPr>
          <w:rFonts w:ascii="宋体" w:hAnsi="宋体"/>
          <w:szCs w:val="21"/>
        </w:rPr>
        <w:fldChar w:fldCharType="end"/>
      </w:r>
      <w:r w:rsidRPr="00312655">
        <w:rPr>
          <w:rFonts w:ascii="宋体" w:hAnsi="宋体" w:hint="eastAsia"/>
          <w:color w:val="FF00FF"/>
          <w:szCs w:val="21"/>
        </w:rPr>
        <w:t>分销功能：</w:t>
      </w:r>
      <w:r w:rsidRPr="00312655">
        <w:rPr>
          <w:rFonts w:ascii="宋体" w:hAnsi="宋体" w:hint="eastAsia"/>
          <w:szCs w:val="21"/>
        </w:rPr>
        <w:t>指投资银行将企业所发行的证券向投资大众销售，但不承担销售不完或售价不当的风险，承销商扮演批发商或零售商的角色。</w:t>
      </w:r>
    </w:p>
    <w:p w:rsidR="00D82C8A" w:rsidRPr="00312655" w:rsidP="00312655">
      <w:pPr>
        <w:spacing w:line="240" w:lineRule="atLeast"/>
        <w:ind w:left="930" w:hanging="210" w:leftChars="343" w:hangingChars="100"/>
        <w:rPr>
          <w:rFonts w:ascii="宋体" w:hAnsi="宋体"/>
          <w:szCs w:val="21"/>
        </w:rPr>
      </w:pPr>
      <w:r w:rsidRPr="00312655">
        <w:rPr>
          <w:rFonts w:ascii="宋体" w:hAnsi="宋体"/>
          <w:szCs w:val="21"/>
        </w:rPr>
        <w:fldChar w:fldCharType="begin" w:dirty="1"/>
      </w:r>
      <w:r w:rsidRPr="00312655">
        <w:rPr>
          <w:rFonts w:ascii="宋体" w:hAnsi="宋体"/>
          <w:szCs w:val="21"/>
        </w:rPr>
        <w:instrText xml:space="preserve"> </w:instrText>
      </w:r>
      <w:r w:rsidRPr="00312655">
        <w:rPr>
          <w:rFonts w:ascii="宋体" w:hAnsi="宋体" w:hint="eastAsia"/>
          <w:szCs w:val="21"/>
        </w:rPr>
        <w:instrText>= 3 \* GB2</w:instrText>
      </w:r>
      <w:r w:rsidRPr="00312655">
        <w:rPr>
          <w:rFonts w:ascii="宋体" w:hAnsi="宋体"/>
          <w:szCs w:val="21"/>
        </w:rPr>
        <w:instrText xml:space="preserve"> </w:instrText>
      </w:r>
      <w:r w:rsidRPr="00312655">
        <w:rPr>
          <w:rFonts w:ascii="宋体" w:hAnsi="宋体"/>
          <w:szCs w:val="21"/>
        </w:rPr>
        <w:fldChar w:fldCharType="separate"/>
      </w:r>
      <w:r w:rsidRPr="00312655">
        <w:rPr>
          <w:rFonts w:ascii="宋体" w:hAnsi="宋体" w:hint="eastAsia"/>
          <w:noProof/>
          <w:szCs w:val="21"/>
        </w:rPr>
        <w:t>⑶</w:t>
      </w:r>
      <w:r w:rsidRPr="00312655">
        <w:rPr>
          <w:rFonts w:ascii="宋体" w:hAnsi="宋体"/>
          <w:szCs w:val="21"/>
        </w:rPr>
        <w:fldChar w:fldCharType="end"/>
      </w:r>
      <w:r w:rsidRPr="00312655">
        <w:rPr>
          <w:rFonts w:ascii="宋体" w:hAnsi="宋体" w:hint="eastAsia"/>
          <w:color w:val="FF00FF"/>
          <w:szCs w:val="21"/>
        </w:rPr>
        <w:t>顾问功能：</w:t>
      </w:r>
      <w:r w:rsidRPr="00312655">
        <w:rPr>
          <w:rFonts w:ascii="宋体" w:hAnsi="宋体" w:hint="eastAsia"/>
          <w:szCs w:val="21"/>
        </w:rPr>
        <w:t>提供资本市场的运作技术与相关资讯，为发行公司筹资提供参考；提供各项筹资途径比较。</w:t>
      </w:r>
    </w:p>
    <w:p w:rsidR="00920370" w:rsidRPr="00312655" w:rsidP="00312655">
      <w:pPr>
        <w:spacing w:line="240" w:lineRule="atLeast"/>
        <w:ind w:left="720"/>
        <w:rPr>
          <w:rFonts w:hint="eastAsia"/>
          <w:szCs w:val="21"/>
        </w:rPr>
      </w:pPr>
      <w:r w:rsidRPr="00312655" w:rsidR="00D82C8A">
        <w:rPr>
          <w:szCs w:val="21"/>
        </w:rPr>
        <w:fldChar w:fldCharType="begin" w:dirty="1"/>
      </w:r>
      <w:r w:rsidRPr="00312655" w:rsidR="00D82C8A">
        <w:rPr>
          <w:szCs w:val="21"/>
        </w:rPr>
        <w:instrText xml:space="preserve"> </w:instrText>
      </w:r>
      <w:r w:rsidRPr="00312655" w:rsidR="00D82C8A">
        <w:rPr>
          <w:rFonts w:hint="eastAsia"/>
          <w:szCs w:val="21"/>
        </w:rPr>
        <w:instrText>= 4 \* GB2</w:instrText>
      </w:r>
      <w:r w:rsidRPr="00312655" w:rsidR="00D82C8A">
        <w:rPr>
          <w:szCs w:val="21"/>
        </w:rPr>
        <w:instrText xml:space="preserve"> </w:instrText>
      </w:r>
      <w:r w:rsidRPr="00312655" w:rsidR="00D82C8A">
        <w:rPr>
          <w:szCs w:val="21"/>
        </w:rPr>
        <w:fldChar w:fldCharType="separate"/>
      </w:r>
      <w:r w:rsidRPr="00312655" w:rsidR="00D82C8A">
        <w:rPr>
          <w:rFonts w:hint="eastAsia"/>
          <w:noProof/>
          <w:szCs w:val="21"/>
        </w:rPr>
        <w:t>⑷</w:t>
      </w:r>
      <w:r w:rsidRPr="00312655" w:rsidR="00D82C8A">
        <w:rPr>
          <w:szCs w:val="21"/>
        </w:rPr>
        <w:fldChar w:fldCharType="end"/>
      </w:r>
      <w:r w:rsidRPr="00312655" w:rsidR="00D82C8A">
        <w:rPr>
          <w:rFonts w:hint="eastAsia"/>
          <w:color w:val="FF00FF"/>
          <w:szCs w:val="21"/>
        </w:rPr>
        <w:t>保护功能：</w:t>
      </w:r>
      <w:r w:rsidRPr="00312655" w:rsidR="00D82C8A">
        <w:rPr>
          <w:rFonts w:hint="eastAsia"/>
          <w:szCs w:val="21"/>
        </w:rPr>
        <w:t>维持证券的市场价格稳定，稳定信心。</w:t>
      </w:r>
    </w:p>
    <w:p w:rsidR="00D82C8A" w:rsidRPr="00312655" w:rsidP="00312655">
      <w:pPr>
        <w:spacing w:line="240" w:lineRule="atLeast"/>
        <w:ind w:left="720"/>
        <w:rPr>
          <w:rFonts w:ascii="宋体" w:hAnsi="宋体" w:hint="eastAsia"/>
          <w:szCs w:val="21"/>
        </w:rPr>
      </w:pPr>
    </w:p>
    <w:p w:rsidR="00184E1B" w:rsidRPr="00312655" w:rsidP="003C1ECF">
      <w:pPr>
        <w:pStyle w:val="BodyText2"/>
        <w:numPr>
          <w:ilvl w:val="0"/>
          <w:numId w:val="4"/>
        </w:numPr>
        <w:spacing w:before="156" w:beforeLines="50" w:line="240" w:lineRule="atLeast"/>
        <w:ind w:right="-334" w:rightChars="-159"/>
        <w:jc w:val="both"/>
        <w:rPr>
          <w:rFonts w:ascii="宋体" w:hAnsi="宋体" w:hint="eastAsia"/>
          <w:b/>
          <w:sz w:val="21"/>
          <w:szCs w:val="21"/>
        </w:rPr>
      </w:pPr>
      <w:r w:rsidRPr="00312655">
        <w:rPr>
          <w:rFonts w:ascii="宋体" w:hAnsi="宋体" w:hint="eastAsia"/>
          <w:b/>
          <w:sz w:val="21"/>
          <w:szCs w:val="21"/>
        </w:rPr>
        <w:t>公募发行与私募发行。</w:t>
      </w:r>
    </w:p>
    <w:p w:rsidR="0056659F" w:rsidRPr="00312655" w:rsidP="003C1ECF">
      <w:pPr>
        <w:pStyle w:val="BodyText2"/>
        <w:numPr>
          <w:ilvl w:val="1"/>
          <w:numId w:val="4"/>
        </w:numPr>
        <w:spacing w:before="156" w:beforeLines="50" w:line="240" w:lineRule="atLeast"/>
        <w:ind w:right="-334" w:rightChars="-159"/>
        <w:jc w:val="both"/>
        <w:rPr>
          <w:rFonts w:ascii="宋体" w:hAnsi="宋体" w:hint="eastAsia"/>
          <w:sz w:val="21"/>
          <w:szCs w:val="21"/>
        </w:rPr>
      </w:pPr>
      <w:r w:rsidRPr="00312655">
        <w:rPr>
          <w:rFonts w:ascii="宋体" w:hAnsi="宋体" w:hint="eastAsia"/>
          <w:sz w:val="21"/>
          <w:szCs w:val="21"/>
        </w:rPr>
        <w:t>公募发行：</w:t>
      </w:r>
      <w:r w:rsidRPr="00312655">
        <w:rPr>
          <w:rFonts w:ascii="宋体" w:hAnsi="宋体" w:hint="eastAsia"/>
          <w:color w:val="FF00FF"/>
          <w:sz w:val="21"/>
          <w:szCs w:val="21"/>
        </w:rPr>
        <w:t>指在证券市场上向非指定的广大投资者公开销售证券</w:t>
      </w:r>
      <w:r w:rsidRPr="00312655">
        <w:rPr>
          <w:rFonts w:ascii="宋体" w:hAnsi="宋体" w:hint="eastAsia"/>
          <w:sz w:val="21"/>
          <w:szCs w:val="21"/>
        </w:rPr>
        <w:t>。或者说，指发行公司按照公司法及证券交易法的有关规定，办理有关的发行审核程序，并将财务状况予以公开化的证券发行。</w:t>
      </w:r>
      <w:r w:rsidRPr="00312655">
        <w:rPr>
          <w:rFonts w:ascii="宋体" w:hAnsi="宋体"/>
          <w:sz w:val="21"/>
          <w:szCs w:val="21"/>
        </w:rPr>
        <w:t xml:space="preserve"> </w:t>
      </w:r>
      <w:r w:rsidRPr="00312655">
        <w:rPr>
          <w:rFonts w:ascii="宋体" w:hAnsi="宋体" w:hint="eastAsia"/>
          <w:sz w:val="21"/>
          <w:szCs w:val="21"/>
        </w:rPr>
        <w:t>其主要形式就是承销发行，它包括包销、代销、余额包销三种形式。</w:t>
      </w:r>
    </w:p>
    <w:p w:rsidR="0056659F" w:rsidRPr="00312655" w:rsidP="003C1ECF">
      <w:pPr>
        <w:pStyle w:val="BodyText2"/>
        <w:numPr>
          <w:ilvl w:val="1"/>
          <w:numId w:val="4"/>
        </w:numPr>
        <w:spacing w:before="156" w:beforeLines="50" w:line="240" w:lineRule="atLeast"/>
        <w:ind w:right="-334" w:rightChars="-159"/>
        <w:jc w:val="both"/>
        <w:rPr>
          <w:rFonts w:ascii="宋体" w:hAnsi="宋体"/>
          <w:sz w:val="21"/>
          <w:szCs w:val="21"/>
        </w:rPr>
      </w:pPr>
      <w:r w:rsidRPr="00312655">
        <w:rPr>
          <w:rFonts w:ascii="宋体" w:hAnsi="宋体" w:hint="eastAsia"/>
          <w:sz w:val="21"/>
          <w:szCs w:val="21"/>
        </w:rPr>
        <w:t>私募发行：</w:t>
      </w:r>
      <w:r w:rsidRPr="00312655">
        <w:rPr>
          <w:rFonts w:ascii="宋体" w:hAnsi="宋体" w:hint="eastAsia"/>
          <w:color w:val="FF00FF"/>
          <w:sz w:val="21"/>
          <w:szCs w:val="21"/>
        </w:rPr>
        <w:t>是相对公募而言的，指向特定少数投资者发行某种证券</w:t>
      </w:r>
      <w:r w:rsidRPr="00312655">
        <w:rPr>
          <w:rFonts w:ascii="宋体" w:hAnsi="宋体" w:hint="eastAsia"/>
          <w:sz w:val="21"/>
          <w:szCs w:val="21"/>
        </w:rPr>
        <w:t>。</w:t>
      </w:r>
    </w:p>
    <w:p w:rsidR="00D82C8A" w:rsidRPr="00312655" w:rsidP="00312655">
      <w:pPr>
        <w:pStyle w:val="BodyText2"/>
        <w:spacing w:before="156" w:beforeLines="50" w:line="240" w:lineRule="atLeast"/>
        <w:ind w:right="-334" w:rightChars="-159"/>
        <w:jc w:val="both"/>
        <w:rPr>
          <w:rFonts w:ascii="宋体" w:hAnsi="宋体" w:hint="eastAsia"/>
          <w:b/>
          <w:sz w:val="21"/>
          <w:szCs w:val="21"/>
        </w:rPr>
      </w:pPr>
    </w:p>
    <w:p w:rsidR="009664B3" w:rsidRPr="00312655" w:rsidP="003C1ECF">
      <w:pPr>
        <w:pStyle w:val="BodyText2"/>
        <w:numPr>
          <w:ilvl w:val="0"/>
          <w:numId w:val="4"/>
        </w:numPr>
        <w:spacing w:before="156" w:beforeLines="50" w:line="240" w:lineRule="atLeast"/>
        <w:ind w:right="32" w:rightChars="15"/>
        <w:jc w:val="both"/>
        <w:rPr>
          <w:rFonts w:ascii="宋体" w:hAnsi="宋体" w:hint="eastAsia"/>
          <w:b/>
          <w:sz w:val="21"/>
          <w:szCs w:val="21"/>
        </w:rPr>
      </w:pPr>
      <w:r w:rsidRPr="00312655" w:rsidR="006010B6">
        <w:rPr>
          <w:rFonts w:ascii="宋体" w:hAnsi="宋体" w:hint="eastAsia"/>
          <w:b/>
          <w:sz w:val="21"/>
          <w:szCs w:val="21"/>
        </w:rPr>
        <w:t>了解股</w:t>
      </w:r>
      <w:r w:rsidRPr="00312655">
        <w:rPr>
          <w:rFonts w:ascii="宋体" w:hAnsi="宋体" w:hint="eastAsia"/>
          <w:b/>
          <w:sz w:val="21"/>
          <w:szCs w:val="21"/>
        </w:rPr>
        <w:t>票公开发行与承销的步骤及内容</w:t>
      </w:r>
      <w:r w:rsidRPr="00312655" w:rsidR="006010B6">
        <w:rPr>
          <w:rFonts w:ascii="宋体" w:hAnsi="宋体" w:hint="eastAsia"/>
          <w:b/>
          <w:sz w:val="21"/>
          <w:szCs w:val="21"/>
        </w:rPr>
        <w:t>。</w:t>
      </w:r>
    </w:p>
    <w:p w:rsidR="000F5FBC" w:rsidRPr="00312655" w:rsidP="00312655">
      <w:pPr>
        <w:spacing w:line="240" w:lineRule="atLeast"/>
        <w:ind w:left="420" w:firstLine="525" w:leftChars="200" w:firstLineChars="250"/>
        <w:rPr>
          <w:rFonts w:hint="eastAsia"/>
          <w:szCs w:val="21"/>
        </w:rPr>
      </w:pPr>
      <w:r w:rsidRPr="00312655">
        <w:rPr>
          <w:rFonts w:hint="eastAsia"/>
          <w:szCs w:val="21"/>
        </w:rPr>
        <w:t>证券发行是指商业组织或政府为筹集资金，按照法律规定的程序和条件，向社会投资人出售有价证券的行为。</w:t>
      </w:r>
    </w:p>
    <w:p w:rsidR="000F5FBC"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sidR="004A369B">
        <w:rPr>
          <w:rFonts w:ascii="宋体" w:hAnsi="宋体" w:hint="eastAsia"/>
          <w:sz w:val="21"/>
          <w:szCs w:val="21"/>
        </w:rPr>
        <w:t>股票公开发行的步骤：</w:t>
      </w:r>
    </w:p>
    <w:p w:rsidR="004A369B" w:rsidRPr="00312655" w:rsidP="003C1ECF">
      <w:pPr>
        <w:pStyle w:val="BodyText2"/>
        <w:numPr>
          <w:ilvl w:val="2"/>
          <w:numId w:val="4"/>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推介</w:t>
      </w:r>
    </w:p>
    <w:p w:rsidR="004A369B" w:rsidRPr="00312655" w:rsidP="003C1ECF">
      <w:pPr>
        <w:pStyle w:val="BodyText2"/>
        <w:numPr>
          <w:ilvl w:val="2"/>
          <w:numId w:val="4"/>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询价与定价</w:t>
      </w:r>
    </w:p>
    <w:p w:rsidR="004A369B" w:rsidRPr="00312655" w:rsidP="003C1ECF">
      <w:pPr>
        <w:pStyle w:val="BodyText2"/>
        <w:numPr>
          <w:ilvl w:val="2"/>
          <w:numId w:val="4"/>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申购</w:t>
      </w:r>
    </w:p>
    <w:p w:rsidR="004A369B" w:rsidRPr="00312655" w:rsidP="003C1ECF">
      <w:pPr>
        <w:pStyle w:val="BodyText2"/>
        <w:numPr>
          <w:ilvl w:val="2"/>
          <w:numId w:val="4"/>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发售</w:t>
      </w:r>
    </w:p>
    <w:p w:rsidR="004A369B" w:rsidRPr="00312655" w:rsidP="003C1ECF">
      <w:pPr>
        <w:pStyle w:val="BodyText2"/>
        <w:numPr>
          <w:ilvl w:val="2"/>
          <w:numId w:val="4"/>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验资</w:t>
      </w:r>
    </w:p>
    <w:p w:rsidR="004A369B" w:rsidRPr="00312655" w:rsidP="003C1ECF">
      <w:pPr>
        <w:pStyle w:val="BodyText2"/>
        <w:numPr>
          <w:ilvl w:val="2"/>
          <w:numId w:val="4"/>
        </w:numPr>
        <w:spacing w:before="156" w:beforeLines="50" w:line="240" w:lineRule="atLeast"/>
        <w:ind w:right="32" w:rightChars="15"/>
        <w:jc w:val="both"/>
        <w:rPr>
          <w:rFonts w:ascii="宋体" w:hAnsi="宋体" w:hint="eastAsia"/>
          <w:sz w:val="21"/>
          <w:szCs w:val="21"/>
        </w:rPr>
        <w:sectPr>
          <w:type w:val="nextPage"/>
          <w:pgSz w:w="11906" w:h="16838"/>
          <w:pgMar w:top="1440" w:right="1800" w:bottom="1440" w:left="1800" w:header="851" w:footer="992" w:gutter="0"/>
          <w:pgNumType w:start="10"/>
          <w:cols w:space="425"/>
          <w:titlePg w:val="0"/>
          <w:docGrid w:type="lines" w:linePitch="312"/>
        </w:sectPr>
      </w:pPr>
      <w:r w:rsidRPr="00312655">
        <w:rPr>
          <w:rFonts w:ascii="宋体" w:hAnsi="宋体" w:hint="eastAsia"/>
          <w:sz w:val="21"/>
          <w:szCs w:val="21"/>
        </w:rPr>
        <w:t>承销</w:t>
      </w:r>
    </w:p>
    <w:p w:rsidR="004A369B"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Pr>
          <w:rFonts w:ascii="宋体" w:hAnsi="宋体" w:hint="eastAsia"/>
          <w:sz w:val="21"/>
          <w:szCs w:val="21"/>
        </w:rPr>
        <w:t>证券承销是指在证券发行过程中，</w:t>
      </w:r>
      <w:r w:rsidRPr="00312655">
        <w:rPr>
          <w:rFonts w:ascii="宋体" w:hAnsi="宋体" w:hint="eastAsia"/>
          <w:color w:val="FF00FF"/>
          <w:sz w:val="21"/>
          <w:szCs w:val="21"/>
        </w:rPr>
        <w:t>投资银行按照协议帮助发行人推销其发行的有价证券的活动。</w:t>
      </w:r>
      <w:r w:rsidRPr="00312655">
        <w:rPr>
          <w:rFonts w:ascii="宋体" w:hAnsi="宋体" w:hint="eastAsia"/>
          <w:sz w:val="21"/>
          <w:szCs w:val="21"/>
        </w:rPr>
        <w:t>具体来讲，承销就是指承销人帮助发行公司设计证券，并承诺将这些证券销售给投资者以获取收益的行为。</w:t>
      </w:r>
    </w:p>
    <w:p w:rsidR="00916275" w:rsidRPr="00312655" w:rsidP="00312655">
      <w:pPr>
        <w:pStyle w:val="BodyText2"/>
        <w:spacing w:before="156" w:beforeLines="50" w:line="240" w:lineRule="atLeast"/>
        <w:ind w:right="32" w:firstLine="420" w:rightChars="15" w:firstLineChars="200"/>
        <w:jc w:val="both"/>
        <w:rPr>
          <w:rFonts w:ascii="宋体" w:hAnsi="宋体"/>
          <w:sz w:val="21"/>
          <w:szCs w:val="21"/>
        </w:rPr>
      </w:pPr>
    </w:p>
    <w:p w:rsidR="00916275" w:rsidRPr="00312655" w:rsidP="00312655">
      <w:pPr>
        <w:pStyle w:val="ListParagraph"/>
        <w:spacing w:line="240" w:lineRule="atLeast"/>
        <w:ind w:left="420" w:firstLine="0" w:firstLineChars="0"/>
        <w:jc w:val="left"/>
        <w:rPr>
          <w:szCs w:val="21"/>
        </w:rPr>
      </w:pPr>
      <w:r w:rsidRPr="00312655">
        <w:rPr>
          <w:rFonts w:hint="eastAsia"/>
          <w:szCs w:val="21"/>
        </w:rPr>
        <w:t>2）承销业务步骤：1</w:t>
      </w:r>
      <w:r w:rsidRPr="00312655">
        <w:rPr>
          <w:rFonts w:hint="eastAsia"/>
          <w:color w:val="FF00FF"/>
          <w:szCs w:val="21"/>
        </w:rPr>
        <w:t xml:space="preserve"> 调查与分析</w:t>
      </w:r>
      <w:r w:rsidRPr="00312655">
        <w:rPr>
          <w:rFonts w:hint="eastAsia"/>
          <w:szCs w:val="21"/>
        </w:rPr>
        <w:t xml:space="preserve">：开发客户，规划上市进度，协助公司申请公开发行。     </w:t>
      </w:r>
    </w:p>
    <w:p w:rsidR="00916275" w:rsidRPr="00312655" w:rsidP="00312655">
      <w:pPr>
        <w:pStyle w:val="ListParagraph"/>
        <w:spacing w:line="240" w:lineRule="atLeast"/>
        <w:ind w:left="420" w:firstLine="0" w:firstLineChars="0"/>
        <w:jc w:val="left"/>
        <w:rPr>
          <w:szCs w:val="21"/>
        </w:rPr>
      </w:pPr>
      <w:r w:rsidRPr="00312655">
        <w:rPr>
          <w:rFonts w:hint="eastAsia"/>
          <w:szCs w:val="21"/>
        </w:rPr>
        <w:t xml:space="preserve">                 2 </w:t>
      </w:r>
      <w:r w:rsidRPr="00312655">
        <w:rPr>
          <w:rFonts w:hint="eastAsia"/>
          <w:color w:val="FF00FF"/>
          <w:szCs w:val="21"/>
        </w:rPr>
        <w:t>承销与定价</w:t>
      </w:r>
      <w:r w:rsidRPr="00312655">
        <w:rPr>
          <w:rFonts w:hint="eastAsia"/>
          <w:szCs w:val="21"/>
        </w:rPr>
        <w:t>：签订承销合同，撰写承销评估报告，议定承销价格和承销费用。</w:t>
      </w:r>
    </w:p>
    <w:p w:rsidR="00916275" w:rsidRPr="00312655" w:rsidP="00312655">
      <w:pPr>
        <w:pStyle w:val="ListParagraph"/>
        <w:spacing w:line="240" w:lineRule="atLeast"/>
        <w:ind w:left="420" w:firstLine="0" w:firstLineChars="0"/>
        <w:jc w:val="left"/>
        <w:rPr>
          <w:szCs w:val="21"/>
        </w:rPr>
      </w:pPr>
      <w:r w:rsidRPr="00312655">
        <w:rPr>
          <w:rFonts w:hint="eastAsia"/>
          <w:szCs w:val="21"/>
        </w:rPr>
        <w:t xml:space="preserve">                 3 </w:t>
      </w:r>
      <w:r w:rsidRPr="00312655">
        <w:rPr>
          <w:rFonts w:hint="eastAsia"/>
          <w:color w:val="FF00FF"/>
          <w:szCs w:val="21"/>
        </w:rPr>
        <w:t>配销与服务</w:t>
      </w:r>
      <w:r w:rsidRPr="00312655">
        <w:rPr>
          <w:rFonts w:hint="eastAsia"/>
          <w:szCs w:val="21"/>
        </w:rPr>
        <w:t>：办理业绩发表公告，承销证券公告，完成证券销售。</w:t>
      </w:r>
    </w:p>
    <w:p w:rsidR="000F5FBC" w:rsidRPr="00312655" w:rsidP="00312655">
      <w:pPr>
        <w:pStyle w:val="ListParagraph"/>
        <w:spacing w:line="240" w:lineRule="atLeast"/>
        <w:ind w:firstLine="840" w:firstLineChars="400"/>
        <w:jc w:val="left"/>
        <w:rPr>
          <w:rFonts w:hint="eastAsia"/>
          <w:szCs w:val="21"/>
        </w:rPr>
      </w:pPr>
      <w:r w:rsidRPr="00312655">
        <w:rPr>
          <w:rFonts w:hint="eastAsia"/>
          <w:szCs w:val="21"/>
        </w:rPr>
        <w:t>承销业务流程</w:t>
      </w:r>
    </w:p>
    <w:p w:rsidR="000F5FBC" w:rsidRPr="00312655" w:rsidP="00312655">
      <w:pPr>
        <w:spacing w:line="240" w:lineRule="atLeast"/>
        <w:ind w:firstLine="180"/>
        <w:jc w:val="left"/>
        <w:rPr>
          <w:szCs w:val="21"/>
        </w:rPr>
      </w:pPr>
      <w:r w:rsidRPr="00312655">
        <w:rPr>
          <w:rFonts w:hint="eastAsia"/>
          <w:szCs w:val="21"/>
        </w:rPr>
        <w:t xml:space="preserve">     选择发行人　</w:t>
      </w:r>
      <w:r w:rsidRPr="00312655">
        <w:rPr>
          <w:rFonts w:hint="eastAsia"/>
          <w:szCs w:val="21"/>
        </w:rPr>
        <w:t>→</w:t>
      </w:r>
      <w:r w:rsidRPr="00312655">
        <w:rPr>
          <w:rFonts w:hint="eastAsia"/>
          <w:szCs w:val="21"/>
        </w:rPr>
        <w:t>　发行人选择主承销商（保荐人）　</w:t>
      </w:r>
      <w:r w:rsidRPr="00312655">
        <w:rPr>
          <w:rFonts w:hint="eastAsia"/>
          <w:szCs w:val="21"/>
        </w:rPr>
        <w:t>→</w:t>
      </w:r>
      <w:r w:rsidRPr="00312655">
        <w:rPr>
          <w:rFonts w:hint="eastAsia"/>
          <w:szCs w:val="21"/>
        </w:rPr>
        <w:t>　组建</w:t>
      </w:r>
      <w:r w:rsidRPr="00312655">
        <w:rPr>
          <w:szCs w:val="21"/>
        </w:rPr>
        <w:t>IPO</w:t>
      </w:r>
      <w:r w:rsidRPr="00312655">
        <w:rPr>
          <w:rFonts w:hint="eastAsia"/>
          <w:szCs w:val="21"/>
        </w:rPr>
        <w:t>小组　</w:t>
      </w:r>
      <w:r w:rsidRPr="00312655">
        <w:rPr>
          <w:rFonts w:hint="eastAsia"/>
          <w:szCs w:val="21"/>
        </w:rPr>
        <w:t>→</w:t>
      </w:r>
      <w:r w:rsidRPr="00312655">
        <w:rPr>
          <w:rFonts w:hint="eastAsia"/>
          <w:szCs w:val="21"/>
        </w:rPr>
        <w:t>　尽职调查　</w:t>
      </w:r>
      <w:r w:rsidRPr="00312655">
        <w:rPr>
          <w:rFonts w:hint="eastAsia"/>
          <w:szCs w:val="21"/>
        </w:rPr>
        <w:t>→</w:t>
      </w:r>
      <w:r w:rsidRPr="00312655">
        <w:rPr>
          <w:rFonts w:hint="eastAsia"/>
          <w:szCs w:val="21"/>
        </w:rPr>
        <w:t>　制定实施重组方案与上市辅导　</w:t>
      </w:r>
      <w:r w:rsidRPr="00312655">
        <w:rPr>
          <w:rFonts w:hint="eastAsia"/>
          <w:szCs w:val="21"/>
        </w:rPr>
        <w:t>→</w:t>
      </w:r>
      <w:r w:rsidRPr="00312655">
        <w:rPr>
          <w:rFonts w:hint="eastAsia"/>
          <w:szCs w:val="21"/>
        </w:rPr>
        <w:t>　制定发行方案　</w:t>
      </w:r>
      <w:r w:rsidRPr="00312655">
        <w:rPr>
          <w:rFonts w:hint="eastAsia"/>
          <w:szCs w:val="21"/>
        </w:rPr>
        <w:t>→</w:t>
      </w:r>
      <w:r w:rsidRPr="00312655">
        <w:rPr>
          <w:rFonts w:hint="eastAsia"/>
          <w:szCs w:val="21"/>
        </w:rPr>
        <w:t>　编制募股文件与申请股票发行　</w:t>
      </w:r>
      <w:r w:rsidRPr="00312655">
        <w:rPr>
          <w:rFonts w:hint="eastAsia"/>
          <w:szCs w:val="21"/>
        </w:rPr>
        <w:t>→</w:t>
      </w:r>
      <w:r w:rsidRPr="00312655">
        <w:rPr>
          <w:rFonts w:hint="eastAsia"/>
          <w:szCs w:val="21"/>
        </w:rPr>
        <w:t>　路演　</w:t>
      </w:r>
      <w:r w:rsidRPr="00312655">
        <w:rPr>
          <w:rFonts w:hint="eastAsia"/>
          <w:szCs w:val="21"/>
        </w:rPr>
        <w:t>→</w:t>
      </w:r>
      <w:r w:rsidRPr="00312655">
        <w:rPr>
          <w:rFonts w:hint="eastAsia"/>
          <w:szCs w:val="21"/>
        </w:rPr>
        <w:t>　确定发行价格　</w:t>
      </w:r>
      <w:r w:rsidRPr="00312655">
        <w:rPr>
          <w:rFonts w:hint="eastAsia"/>
          <w:szCs w:val="21"/>
        </w:rPr>
        <w:t>→</w:t>
      </w:r>
      <w:r w:rsidRPr="00312655">
        <w:rPr>
          <w:rFonts w:hint="eastAsia"/>
          <w:szCs w:val="21"/>
        </w:rPr>
        <w:t>　组建承销团与确定承销报酬</w:t>
      </w:r>
      <w:r w:rsidRPr="00312655">
        <w:rPr>
          <w:rFonts w:hint="eastAsia"/>
          <w:szCs w:val="21"/>
        </w:rPr>
        <w:t>→</w:t>
      </w:r>
      <w:r w:rsidRPr="00312655">
        <w:rPr>
          <w:rFonts w:hint="eastAsia"/>
          <w:szCs w:val="21"/>
        </w:rPr>
        <w:t>　稳定价格　</w:t>
      </w:r>
      <w:r w:rsidRPr="00312655">
        <w:rPr>
          <w:rFonts w:hint="eastAsia"/>
          <w:szCs w:val="21"/>
        </w:rPr>
        <w:t>→</w:t>
      </w:r>
      <w:r w:rsidRPr="00312655">
        <w:rPr>
          <w:rFonts w:hint="eastAsia"/>
          <w:szCs w:val="21"/>
        </w:rPr>
        <w:t>　墓碑广告</w:t>
      </w:r>
    </w:p>
    <w:p w:rsidR="004A369B" w:rsidRPr="00312655" w:rsidP="00312655">
      <w:pPr>
        <w:pStyle w:val="BodyText2"/>
        <w:spacing w:before="156" w:beforeLines="50" w:line="240" w:lineRule="atLeast"/>
        <w:ind w:right="32" w:rightChars="15"/>
        <w:jc w:val="both"/>
        <w:rPr>
          <w:rFonts w:ascii="宋体" w:hAnsi="宋体" w:hint="eastAsia"/>
          <w:sz w:val="21"/>
          <w:szCs w:val="21"/>
        </w:rPr>
      </w:pPr>
    </w:p>
    <w:p w:rsidR="004A369B" w:rsidRPr="00312655" w:rsidP="00312655">
      <w:pPr>
        <w:spacing w:line="240" w:lineRule="atLeast"/>
        <w:ind w:firstLine="180"/>
        <w:jc w:val="left"/>
        <w:rPr>
          <w:szCs w:val="21"/>
        </w:rPr>
      </w:pPr>
      <w:r w:rsidRPr="00312655" w:rsidR="006D6346">
        <w:rPr>
          <w:rFonts w:hint="eastAsia"/>
          <w:szCs w:val="21"/>
        </w:rPr>
        <w:t>股票</w:t>
      </w:r>
      <w:r w:rsidRPr="00312655">
        <w:rPr>
          <w:rFonts w:hint="eastAsia"/>
          <w:szCs w:val="21"/>
        </w:rPr>
        <w:t>发行步骤：境内上市一般步骤：</w:t>
      </w:r>
    </w:p>
    <w:p w:rsidR="004A369B" w:rsidRPr="00312655" w:rsidP="00312655">
      <w:pPr>
        <w:spacing w:line="240" w:lineRule="atLeast"/>
        <w:ind w:firstLine="180"/>
        <w:jc w:val="left"/>
        <w:rPr>
          <w:rFonts w:hint="eastAsia"/>
          <w:szCs w:val="21"/>
        </w:rPr>
      </w:pPr>
      <w:r w:rsidRPr="00312655">
        <w:rPr>
          <w:rFonts w:hint="eastAsia"/>
          <w:szCs w:val="21"/>
        </w:rPr>
        <w:t>寻找上市保荐人，帮助企业进行资产重组和股份制改造</w:t>
      </w:r>
      <w:r w:rsidRPr="00312655">
        <w:rPr>
          <w:rFonts w:hint="eastAsia"/>
          <w:szCs w:val="21"/>
        </w:rPr>
        <w:t>→</w:t>
      </w:r>
      <w:r w:rsidRPr="00312655">
        <w:rPr>
          <w:rFonts w:hint="eastAsia"/>
          <w:szCs w:val="21"/>
        </w:rPr>
        <w:t>上市保荐人进行上市辅导、推荐，编制招股说明书</w:t>
      </w:r>
      <w:r w:rsidRPr="00312655">
        <w:rPr>
          <w:rFonts w:hint="eastAsia"/>
          <w:szCs w:val="21"/>
        </w:rPr>
        <w:t>→</w:t>
      </w:r>
      <w:r w:rsidRPr="00312655">
        <w:rPr>
          <w:rFonts w:hint="eastAsia"/>
          <w:szCs w:val="21"/>
        </w:rPr>
        <w:t>发审委审核过会</w:t>
      </w:r>
      <w:r w:rsidRPr="00312655">
        <w:rPr>
          <w:rFonts w:hint="eastAsia"/>
          <w:szCs w:val="21"/>
        </w:rPr>
        <w:t>→</w:t>
      </w:r>
      <w:r w:rsidRPr="00312655">
        <w:rPr>
          <w:rFonts w:hint="eastAsia"/>
          <w:szCs w:val="21"/>
        </w:rPr>
        <w:t>主承销商路演及通过询价制度定价</w:t>
      </w:r>
      <w:r w:rsidRPr="00312655">
        <w:rPr>
          <w:rFonts w:hint="eastAsia"/>
          <w:szCs w:val="21"/>
        </w:rPr>
        <w:t>→</w:t>
      </w:r>
      <w:r w:rsidRPr="00312655">
        <w:rPr>
          <w:rFonts w:hint="eastAsia"/>
          <w:szCs w:val="21"/>
        </w:rPr>
        <w:t>证券交易所上市（上市公告书）</w:t>
      </w:r>
    </w:p>
    <w:p w:rsidR="004A369B" w:rsidRPr="00312655" w:rsidP="00312655">
      <w:pPr>
        <w:spacing w:line="240" w:lineRule="atLeast"/>
        <w:ind w:left="420" w:leftChars="200"/>
        <w:rPr>
          <w:szCs w:val="21"/>
        </w:rPr>
      </w:pPr>
    </w:p>
    <w:p w:rsidR="001450C9" w:rsidRPr="00312655" w:rsidP="003C1ECF">
      <w:pPr>
        <w:pStyle w:val="BodyText2"/>
        <w:numPr>
          <w:ilvl w:val="0"/>
          <w:numId w:val="4"/>
        </w:numPr>
        <w:spacing w:before="156" w:beforeLines="50" w:line="240" w:lineRule="atLeast"/>
        <w:ind w:right="32" w:rightChars="15"/>
        <w:jc w:val="both"/>
        <w:rPr>
          <w:rFonts w:ascii="宋体" w:hAnsi="宋体" w:hint="eastAsia"/>
          <w:b/>
          <w:sz w:val="21"/>
          <w:szCs w:val="21"/>
        </w:rPr>
      </w:pPr>
      <w:r w:rsidRPr="00312655" w:rsidR="00147288">
        <w:rPr>
          <w:rFonts w:ascii="宋体" w:hAnsi="宋体" w:hint="eastAsia"/>
          <w:b/>
          <w:sz w:val="21"/>
          <w:szCs w:val="21"/>
        </w:rPr>
        <w:t>股票发行</w:t>
      </w:r>
      <w:r w:rsidRPr="00312655" w:rsidR="006010B6">
        <w:rPr>
          <w:rFonts w:ascii="宋体" w:hAnsi="宋体" w:hint="eastAsia"/>
          <w:b/>
          <w:sz w:val="21"/>
          <w:szCs w:val="21"/>
        </w:rPr>
        <w:t>制度</w:t>
      </w:r>
      <w:r w:rsidRPr="00312655" w:rsidR="00147288">
        <w:rPr>
          <w:rFonts w:ascii="宋体" w:hAnsi="宋体" w:hint="eastAsia"/>
          <w:b/>
          <w:sz w:val="21"/>
          <w:szCs w:val="21"/>
        </w:rPr>
        <w:t>；</w:t>
      </w:r>
      <w:r w:rsidRPr="00312655" w:rsidR="006010B6">
        <w:rPr>
          <w:rFonts w:ascii="宋体" w:hAnsi="宋体" w:hint="eastAsia"/>
          <w:b/>
          <w:sz w:val="21"/>
          <w:szCs w:val="21"/>
        </w:rPr>
        <w:t>我国现行的股票发行制度</w:t>
      </w:r>
      <w:r w:rsidRPr="00312655" w:rsidR="00147288">
        <w:rPr>
          <w:rFonts w:ascii="宋体" w:hAnsi="宋体" w:hint="eastAsia"/>
          <w:b/>
          <w:sz w:val="21"/>
          <w:szCs w:val="21"/>
        </w:rPr>
        <w:t>。</w:t>
      </w:r>
    </w:p>
    <w:p w:rsidR="00415A65" w:rsidRPr="00312655" w:rsidP="003C1ECF">
      <w:pPr>
        <w:numPr>
          <w:ilvl w:val="0"/>
          <w:numId w:val="56"/>
        </w:numPr>
        <w:spacing w:line="240" w:lineRule="atLeast"/>
        <w:ind w:left="2100" w:hanging="1680" w:leftChars="200" w:hangingChars="800"/>
        <w:rPr>
          <w:rFonts w:ascii="宋体" w:hAnsi="宋体"/>
          <w:szCs w:val="21"/>
        </w:rPr>
      </w:pPr>
      <w:r w:rsidRPr="00312655" w:rsidR="00323BA4">
        <w:rPr>
          <w:rFonts w:ascii="宋体" w:hAnsi="宋体" w:hint="eastAsia"/>
          <w:szCs w:val="21"/>
        </w:rPr>
        <w:t>注册制：指证券发行人在发行证券之前，必须依法将公开的各种资料准确、完整地向证券主管机关呈报，并申请注册。</w:t>
      </w:r>
    </w:p>
    <w:p w:rsidR="00323BA4" w:rsidRPr="00312655" w:rsidP="00312655">
      <w:pPr>
        <w:spacing w:line="240" w:lineRule="atLeast"/>
        <w:ind w:left="2100" w:hanging="1680" w:leftChars="200" w:hangingChars="800"/>
        <w:jc w:val="left"/>
        <w:rPr>
          <w:rFonts w:ascii="宋体" w:hAnsi="宋体"/>
          <w:szCs w:val="21"/>
        </w:rPr>
      </w:pPr>
      <w:r w:rsidRPr="00312655">
        <w:rPr>
          <w:rFonts w:ascii="宋体" w:hAnsi="宋体" w:hint="eastAsia"/>
          <w:szCs w:val="21"/>
        </w:rPr>
        <w:t>　　注册制遵循公开管理原则。</w:t>
      </w:r>
    </w:p>
    <w:p w:rsidR="00415A65" w:rsidRPr="00312655" w:rsidP="003C1ECF">
      <w:pPr>
        <w:numPr>
          <w:ilvl w:val="0"/>
          <w:numId w:val="57"/>
        </w:numPr>
        <w:spacing w:line="240" w:lineRule="atLeast"/>
        <w:ind w:left="2100" w:hanging="1680" w:leftChars="200" w:hangingChars="800"/>
        <w:rPr>
          <w:rFonts w:ascii="宋体" w:hAnsi="宋体"/>
          <w:szCs w:val="21"/>
        </w:rPr>
      </w:pPr>
      <w:r w:rsidRPr="00312655" w:rsidR="00323BA4">
        <w:rPr>
          <w:rFonts w:ascii="宋体" w:hAnsi="宋体" w:hint="eastAsia"/>
          <w:szCs w:val="21"/>
        </w:rPr>
        <w:t>核准制：指股票发行人不仅必须公开所发行股票的真实情况，而且该股票必须经过证券主管机关审查，并符合若干实质条件才能发行。核准制的条件一般包括：公司营业性质、管理人员资格、资本结构、发行所得是否合理、各种证券权利是否平等、公开资料是否充分真实等。</w:t>
      </w:r>
    </w:p>
    <w:p w:rsidR="00323BA4" w:rsidRPr="00312655" w:rsidP="00312655">
      <w:pPr>
        <w:spacing w:line="240" w:lineRule="atLeast"/>
        <w:ind w:left="2100" w:hanging="1680" w:leftChars="200" w:hangingChars="800"/>
        <w:rPr>
          <w:rFonts w:ascii="宋体" w:hAnsi="宋体"/>
          <w:szCs w:val="21"/>
        </w:rPr>
      </w:pPr>
      <w:r w:rsidRPr="00312655">
        <w:rPr>
          <w:rFonts w:ascii="宋体" w:hAnsi="宋体" w:hint="eastAsia"/>
          <w:szCs w:val="21"/>
        </w:rPr>
        <w:t>　　核准制遵循实质管理原则。</w:t>
      </w:r>
    </w:p>
    <w:p w:rsidR="00283609" w:rsidRPr="00312655" w:rsidP="00312655">
      <w:pPr>
        <w:spacing w:line="240" w:lineRule="atLeast"/>
        <w:ind w:left="2100" w:hanging="1680" w:leftChars="200" w:hangingChars="800"/>
        <w:rPr>
          <w:rFonts w:ascii="宋体" w:hAnsi="宋体" w:hint="eastAsia"/>
          <w:szCs w:val="21"/>
        </w:rPr>
      </w:pPr>
    </w:p>
    <w:p w:rsidR="003117A1"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b/>
          <w:sz w:val="21"/>
          <w:szCs w:val="21"/>
        </w:rPr>
        <w:t xml:space="preserve">   </w:t>
      </w:r>
      <w:r w:rsidRPr="00312655">
        <w:rPr>
          <w:rFonts w:ascii="宋体" w:hAnsi="宋体" w:hint="eastAsia"/>
          <w:sz w:val="21"/>
          <w:szCs w:val="21"/>
        </w:rPr>
        <w:t xml:space="preserve"> 我国股票发行审核制度的演变，总体来看经历了从审批制到核准制的转变过程。</w:t>
      </w:r>
      <w:r w:rsidRPr="00312655" w:rsidR="009E347E">
        <w:rPr>
          <w:rFonts w:ascii="宋体" w:hAnsi="宋体" w:hint="eastAsia"/>
          <w:sz w:val="21"/>
          <w:szCs w:val="21"/>
        </w:rPr>
        <w:t>现阶段实行保荐制度：</w:t>
      </w:r>
    </w:p>
    <w:p w:rsidR="003117A1" w:rsidRPr="00312655" w:rsidP="003C1ECF">
      <w:pPr>
        <w:pStyle w:val="BodyText2"/>
        <w:numPr>
          <w:ilvl w:val="0"/>
          <w:numId w:val="39"/>
        </w:numPr>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保荐制下，企业发行上市不但要有保荐机构进行保荐，还需要具有保荐代表人资格的从业人员具体负责保荐工作。</w:t>
      </w:r>
    </w:p>
    <w:p w:rsidR="003117A1" w:rsidRPr="00312655" w:rsidP="003C1ECF">
      <w:pPr>
        <w:pStyle w:val="BodyText2"/>
        <w:numPr>
          <w:ilvl w:val="0"/>
          <w:numId w:val="39"/>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保荐工作分为两个阶段，即尽职推荐和持续督导阶段。从中国证监会正式受理公司申请文件到完成发行上市为尽职推荐阶段。证券发行上市后，首次公开发行股票的，持续督导期间为上市当年剩余时间及其后两个完整会计年度。</w:t>
      </w:r>
    </w:p>
    <w:p w:rsidR="003117A1" w:rsidRPr="00312655" w:rsidP="003C1ECF">
      <w:pPr>
        <w:pStyle w:val="BodyText2"/>
        <w:numPr>
          <w:ilvl w:val="0"/>
          <w:numId w:val="39"/>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保荐机构和保荐代表人在向中国证监会推荐企业发行上市前，要对发行人进行尽职调查和专业辅导培训，保荐机构要在推荐文件中对发行人是否符合发行上市条件，申请文件不存在虚假记载、误导性陈述或重大遗漏等事项作出承诺。</w:t>
      </w:r>
    </w:p>
    <w:p w:rsidR="003117A1" w:rsidRPr="00312655" w:rsidP="003C1ECF">
      <w:pPr>
        <w:pStyle w:val="BodyText2"/>
        <w:numPr>
          <w:ilvl w:val="0"/>
          <w:numId w:val="39"/>
        </w:numPr>
        <w:spacing w:before="156" w:beforeLines="50" w:line="240" w:lineRule="atLeast"/>
        <w:ind w:right="32" w:rightChars="15"/>
        <w:jc w:val="both"/>
        <w:rPr>
          <w:rFonts w:ascii="宋体" w:hAnsi="宋体" w:hint="eastAsia"/>
          <w:sz w:val="21"/>
          <w:szCs w:val="21"/>
        </w:rPr>
        <w:sectPr>
          <w:type w:val="nextPage"/>
          <w:pgSz w:w="11906" w:h="16838"/>
          <w:pgMar w:top="1440" w:right="1800" w:bottom="1440" w:left="1800" w:header="851" w:footer="992" w:gutter="0"/>
          <w:pgNumType w:start="11"/>
          <w:cols w:space="425"/>
          <w:titlePg w:val="0"/>
          <w:docGrid w:type="lines" w:linePitch="312"/>
        </w:sectPr>
      </w:pPr>
    </w:p>
    <w:p w:rsidR="003117A1" w:rsidRPr="00312655" w:rsidP="003C1ECF">
      <w:pPr>
        <w:pStyle w:val="BodyText2"/>
        <w:numPr>
          <w:ilvl w:val="0"/>
          <w:numId w:val="0"/>
        </w:numPr>
        <w:spacing w:before="156" w:beforeLines="50" w:line="240" w:lineRule="atLeast"/>
        <w:ind w:left="720" w:right="32" w:rightChars="15"/>
        <w:jc w:val="both"/>
        <w:rPr>
          <w:rFonts w:ascii="宋体" w:hAnsi="宋体" w:hint="eastAsia"/>
          <w:sz w:val="21"/>
          <w:szCs w:val="21"/>
        </w:rPr>
      </w:pPr>
      <w:r w:rsidRPr="00312655">
        <w:rPr>
          <w:rFonts w:ascii="宋体" w:hAnsi="宋体" w:hint="eastAsia"/>
          <w:sz w:val="21"/>
          <w:szCs w:val="21"/>
        </w:rPr>
        <w:t>证券发行上市后，保荐机构要持续督导发行人履行规范运作、信守承诺、信息披露等义务。</w:t>
      </w:r>
    </w:p>
    <w:p w:rsidR="003117A1" w:rsidRPr="00312655" w:rsidP="003C1ECF">
      <w:pPr>
        <w:pStyle w:val="BodyText2"/>
        <w:numPr>
          <w:ilvl w:val="0"/>
          <w:numId w:val="39"/>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保荐制的核心内容是进一步强化和细化了保荐机构的责任，尤其是以保荐代表人为代表的证券从业人员的个人责任。</w:t>
      </w:r>
    </w:p>
    <w:p w:rsidR="003117A1" w:rsidRPr="00312655" w:rsidP="003C1ECF">
      <w:pPr>
        <w:pStyle w:val="BodyText2"/>
        <w:numPr>
          <w:ilvl w:val="0"/>
          <w:numId w:val="39"/>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实施证券发行上市保荐制度是深化发行审核制度改革的重大举措，是对证券发行上市建立市场约束机制的重要制度探索，将推动证券发行制度从核准制向注册制转变。</w:t>
      </w:r>
    </w:p>
    <w:p w:rsidR="003117A1" w:rsidRPr="00312655" w:rsidP="00312655">
      <w:pPr>
        <w:pStyle w:val="BodyText2"/>
        <w:spacing w:before="156" w:beforeLines="50" w:line="240" w:lineRule="atLeast"/>
        <w:ind w:right="32" w:rightChars="15"/>
        <w:jc w:val="both"/>
        <w:rPr>
          <w:rFonts w:ascii="宋体" w:hAnsi="宋体" w:hint="eastAsia"/>
          <w:sz w:val="21"/>
          <w:szCs w:val="21"/>
        </w:rPr>
      </w:pPr>
    </w:p>
    <w:p w:rsidR="00675A75" w:rsidRPr="00312655" w:rsidP="003C1ECF">
      <w:pPr>
        <w:pStyle w:val="BodyText2"/>
        <w:numPr>
          <w:ilvl w:val="0"/>
          <w:numId w:val="4"/>
        </w:numPr>
        <w:spacing w:before="156" w:beforeLines="50" w:line="240" w:lineRule="atLeast"/>
        <w:ind w:right="32" w:rightChars="15"/>
        <w:jc w:val="both"/>
        <w:rPr>
          <w:rFonts w:ascii="宋体" w:hAnsi="宋体" w:hint="eastAsia"/>
          <w:b/>
          <w:sz w:val="21"/>
          <w:szCs w:val="21"/>
        </w:rPr>
      </w:pPr>
      <w:r w:rsidRPr="00312655" w:rsidR="00147288">
        <w:rPr>
          <w:rFonts w:ascii="宋体" w:hAnsi="宋体" w:hint="eastAsia"/>
          <w:b/>
          <w:sz w:val="21"/>
          <w:szCs w:val="21"/>
        </w:rPr>
        <w:t>包销、代销、余额包销；</w:t>
      </w:r>
      <w:r w:rsidRPr="00312655">
        <w:rPr>
          <w:rFonts w:ascii="宋体" w:hAnsi="宋体" w:hint="eastAsia"/>
          <w:b/>
          <w:sz w:val="21"/>
          <w:szCs w:val="21"/>
        </w:rPr>
        <w:t>绿鞋期权</w:t>
      </w:r>
      <w:r w:rsidRPr="00312655" w:rsidR="00147288">
        <w:rPr>
          <w:rFonts w:ascii="宋体" w:hAnsi="宋体" w:hint="eastAsia"/>
          <w:b/>
          <w:sz w:val="21"/>
          <w:szCs w:val="21"/>
        </w:rPr>
        <w:t xml:space="preserve">。 </w:t>
      </w:r>
    </w:p>
    <w:p w:rsidR="003117A1"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（1）包销：亦称确定承销，是最传统、最基本的承销方式，</w:t>
      </w:r>
      <w:r w:rsidRPr="00312655">
        <w:rPr>
          <w:rFonts w:ascii="宋体" w:hAnsi="宋体" w:hint="eastAsia"/>
          <w:color w:val="FF00FF"/>
          <w:sz w:val="21"/>
          <w:szCs w:val="21"/>
        </w:rPr>
        <w:t>指投资银行按照协议的价格直接从发行者手中买进全部证券，然后再出售给投资者。</w:t>
      </w:r>
    </w:p>
    <w:p w:rsidR="003117A1"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Pr>
          <w:rFonts w:ascii="宋体" w:hAnsi="宋体" w:hint="eastAsia"/>
          <w:sz w:val="21"/>
          <w:szCs w:val="21"/>
        </w:rPr>
        <w:t>包销又可分为：协商议价与投标竞价两种方式。</w:t>
      </w:r>
    </w:p>
    <w:p w:rsidR="003117A1" w:rsidRPr="00312655" w:rsidP="00312655">
      <w:pPr>
        <w:pStyle w:val="BodyText2"/>
        <w:spacing w:before="156" w:beforeLines="50" w:line="240" w:lineRule="atLeast"/>
        <w:ind w:right="32" w:firstLine="420" w:rightChars="15" w:firstLineChars="200"/>
        <w:jc w:val="both"/>
        <w:rPr>
          <w:rFonts w:ascii="宋体" w:hAnsi="宋体" w:hint="eastAsia"/>
          <w:sz w:val="21"/>
          <w:szCs w:val="21"/>
        </w:rPr>
      </w:pPr>
      <w:r w:rsidRPr="00312655">
        <w:rPr>
          <w:rFonts w:ascii="宋体" w:hAnsi="宋体" w:hint="eastAsia"/>
          <w:sz w:val="21"/>
          <w:szCs w:val="21"/>
        </w:rPr>
        <w:t>包销特点：</w:t>
      </w:r>
    </w:p>
    <w:p w:rsidR="003117A1"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买卖价差就是承销费用；</w:t>
      </w:r>
    </w:p>
    <w:p w:rsidR="003117A1"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发行成本较高；</w:t>
      </w:r>
    </w:p>
    <w:p w:rsidR="003117A1" w:rsidRPr="00312655" w:rsidP="00312655">
      <w:pPr>
        <w:pStyle w:val="BodyText2"/>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　　承销商承担全部风险。</w:t>
      </w:r>
    </w:p>
    <w:p w:rsidR="003117A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（2）代销：</w:t>
      </w:r>
      <w:r w:rsidRPr="00312655">
        <w:rPr>
          <w:rFonts w:ascii="宋体" w:hAnsi="宋体" w:hint="eastAsia"/>
          <w:color w:val="FF00FF"/>
          <w:sz w:val="21"/>
          <w:szCs w:val="21"/>
        </w:rPr>
        <w:t>指投资银行和发行人之间的关系是纯粹的代理关系</w:t>
      </w:r>
      <w:r w:rsidRPr="00312655">
        <w:rPr>
          <w:rFonts w:ascii="宋体" w:hAnsi="宋体" w:hint="eastAsia"/>
          <w:sz w:val="21"/>
          <w:szCs w:val="21"/>
        </w:rPr>
        <w:t>，投资银行只作为发行人的证券销售代理人，收取推销证券的佣金，而不承担按规定价格购进证券的义务，</w:t>
      </w:r>
      <w:r w:rsidRPr="00312655">
        <w:rPr>
          <w:rFonts w:ascii="宋体" w:hAnsi="宋体" w:hint="eastAsia"/>
          <w:color w:val="FF00FF"/>
          <w:sz w:val="21"/>
          <w:szCs w:val="21"/>
        </w:rPr>
        <w:t>风险由发行人自己承担</w:t>
      </w:r>
      <w:r w:rsidRPr="00312655">
        <w:rPr>
          <w:rFonts w:ascii="宋体" w:hAnsi="宋体" w:hint="eastAsia"/>
          <w:sz w:val="21"/>
          <w:szCs w:val="21"/>
        </w:rPr>
        <w:t>。</w:t>
      </w:r>
    </w:p>
    <w:p w:rsidR="003117A1" w:rsidRPr="00312655" w:rsidP="003C1ECF">
      <w:pPr>
        <w:pStyle w:val="BodyText2"/>
        <w:numPr>
          <w:ilvl w:val="0"/>
          <w:numId w:val="40"/>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适用于：发行人设立时；投资银行对发行人信心不足；信用度很高、知名度很大的发行人为减少发行费用；在包销谈判失败之后。</w:t>
      </w:r>
    </w:p>
    <w:p w:rsidR="003117A1" w:rsidRPr="00312655" w:rsidP="003C1ECF">
      <w:pPr>
        <w:pStyle w:val="BodyText2"/>
        <w:numPr>
          <w:ilvl w:val="0"/>
          <w:numId w:val="40"/>
        </w:numPr>
        <w:spacing w:before="156" w:beforeLines="50" w:line="240" w:lineRule="atLeast"/>
        <w:ind w:right="32" w:rightChars="15"/>
        <w:jc w:val="both"/>
        <w:rPr>
          <w:rFonts w:ascii="宋体" w:hAnsi="宋体" w:hint="eastAsia"/>
          <w:sz w:val="21"/>
          <w:szCs w:val="21"/>
        </w:rPr>
      </w:pPr>
      <w:r w:rsidRPr="00312655">
        <w:rPr>
          <w:rFonts w:ascii="宋体" w:hAnsi="宋体" w:hint="eastAsia"/>
          <w:sz w:val="21"/>
          <w:szCs w:val="21"/>
        </w:rPr>
        <w:t>特点：直接发行、间接募集，　投资银行不承担任何风险，费用最低</w:t>
      </w:r>
    </w:p>
    <w:p w:rsidR="00916275" w:rsidRPr="00312655" w:rsidP="00312655">
      <w:pPr>
        <w:spacing w:line="240" w:lineRule="atLeast"/>
        <w:rPr>
          <w:rFonts w:ascii="宋体" w:hAnsi="宋体"/>
          <w:color w:val="FF00FF"/>
          <w:szCs w:val="21"/>
        </w:rPr>
      </w:pPr>
      <w:r w:rsidRPr="00312655">
        <w:rPr>
          <w:rFonts w:ascii="宋体" w:hAnsi="宋体" w:hint="eastAsia"/>
          <w:szCs w:val="21"/>
        </w:rPr>
        <w:t>（3）余额包销：</w:t>
      </w:r>
      <w:r w:rsidRPr="00312655">
        <w:rPr>
          <w:rFonts w:ascii="宋体" w:hAnsi="宋体" w:hint="eastAsia"/>
          <w:color w:val="FF00FF"/>
          <w:szCs w:val="21"/>
        </w:rPr>
        <w:t>指投资银行与证券发行人签订公开募集的承销合同，保证当股票或债券不能全部推销出去时，对于未出售的部分，将由投资银行全部买下。</w:t>
      </w:r>
    </w:p>
    <w:p w:rsidR="00916275" w:rsidRPr="00312655" w:rsidP="00312655">
      <w:pPr>
        <w:spacing w:line="240" w:lineRule="atLeast"/>
        <w:rPr>
          <w:rFonts w:ascii="宋体" w:hAnsi="宋体" w:hint="eastAsia"/>
          <w:szCs w:val="21"/>
        </w:rPr>
      </w:pPr>
      <w:r w:rsidRPr="00312655">
        <w:rPr>
          <w:rFonts w:ascii="宋体" w:hAnsi="宋体" w:hint="eastAsia"/>
          <w:szCs w:val="21"/>
        </w:rPr>
        <w:t>特点：间接发行、间接募集 投资银行承担部分发行风险</w:t>
      </w:r>
      <w:r w:rsidRPr="00312655">
        <w:rPr>
          <w:rFonts w:ascii="宋体" w:hAnsi="宋体"/>
          <w:szCs w:val="21"/>
        </w:rPr>
        <w:t xml:space="preserve"> </w:t>
      </w:r>
      <w:r w:rsidRPr="00312655">
        <w:rPr>
          <w:rFonts w:ascii="宋体" w:hAnsi="宋体" w:hint="eastAsia"/>
          <w:szCs w:val="21"/>
        </w:rPr>
        <w:t>，</w:t>
      </w:r>
      <w:r w:rsidRPr="00312655">
        <w:rPr>
          <w:rFonts w:hint="eastAsia"/>
          <w:szCs w:val="21"/>
        </w:rPr>
        <w:t>无论是增发还是</w:t>
      </w:r>
      <w:r w:rsidRPr="00312655">
        <w:rPr>
          <w:szCs w:val="21"/>
        </w:rPr>
        <w:t>IPO</w:t>
      </w:r>
      <w:r w:rsidRPr="00312655">
        <w:rPr>
          <w:rFonts w:hint="eastAsia"/>
          <w:szCs w:val="21"/>
        </w:rPr>
        <w:t>，只要是公开发行，余额包销现已成为我国证券市场最主要的承销方式。</w:t>
      </w:r>
    </w:p>
    <w:p w:rsidR="003117A1" w:rsidRPr="00312655" w:rsidP="00312655">
      <w:pPr>
        <w:pStyle w:val="BodyText2"/>
        <w:spacing w:before="156" w:beforeLines="50" w:line="240" w:lineRule="atLeast"/>
        <w:ind w:right="32" w:rightChars="15"/>
        <w:jc w:val="both"/>
        <w:rPr>
          <w:rFonts w:ascii="宋体" w:hAnsi="宋体"/>
          <w:sz w:val="21"/>
          <w:szCs w:val="21"/>
        </w:rPr>
      </w:pPr>
      <w:r w:rsidRPr="00312655">
        <w:rPr>
          <w:rFonts w:ascii="宋体" w:hAnsi="宋体" w:hint="eastAsia"/>
          <w:sz w:val="21"/>
          <w:szCs w:val="21"/>
        </w:rPr>
        <w:t>（</w:t>
      </w:r>
      <w:r w:rsidRPr="00312655" w:rsidR="00916275">
        <w:rPr>
          <w:rFonts w:ascii="宋体" w:hAnsi="宋体" w:hint="eastAsia"/>
          <w:sz w:val="21"/>
          <w:szCs w:val="21"/>
        </w:rPr>
        <w:t>4</w:t>
      </w:r>
      <w:r w:rsidRPr="00312655">
        <w:rPr>
          <w:rFonts w:ascii="宋体" w:hAnsi="宋体" w:hint="eastAsia"/>
          <w:sz w:val="21"/>
          <w:szCs w:val="21"/>
        </w:rPr>
        <w:t>）</w:t>
      </w:r>
      <w:r w:rsidRPr="00312655">
        <w:rPr>
          <w:rFonts w:ascii="宋体" w:hAnsi="宋体"/>
          <w:sz w:val="21"/>
          <w:szCs w:val="21"/>
        </w:rPr>
        <w:t>“</w:t>
      </w:r>
      <w:r w:rsidRPr="00312655">
        <w:rPr>
          <w:rFonts w:ascii="宋体" w:hAnsi="宋体" w:hint="eastAsia"/>
          <w:sz w:val="21"/>
          <w:szCs w:val="21"/>
        </w:rPr>
        <w:t>绿鞋</w:t>
      </w:r>
      <w:r w:rsidRPr="00312655">
        <w:rPr>
          <w:rFonts w:ascii="宋体" w:hAnsi="宋体"/>
          <w:sz w:val="21"/>
          <w:szCs w:val="21"/>
        </w:rPr>
        <w:t xml:space="preserve">” </w:t>
      </w:r>
      <w:r w:rsidRPr="00312655">
        <w:rPr>
          <w:rFonts w:ascii="宋体" w:hAnsi="宋体" w:hint="eastAsia"/>
          <w:sz w:val="21"/>
          <w:szCs w:val="21"/>
        </w:rPr>
        <w:t>机制又称</w:t>
      </w:r>
      <w:r w:rsidRPr="00312655">
        <w:rPr>
          <w:rFonts w:ascii="宋体" w:hAnsi="宋体"/>
          <w:sz w:val="21"/>
          <w:szCs w:val="21"/>
        </w:rPr>
        <w:t>“</w:t>
      </w:r>
      <w:r w:rsidRPr="00312655">
        <w:rPr>
          <w:rFonts w:ascii="宋体" w:hAnsi="宋体" w:hint="eastAsia"/>
          <w:sz w:val="21"/>
          <w:szCs w:val="21"/>
        </w:rPr>
        <w:t>绿鞋期权</w:t>
      </w:r>
      <w:r w:rsidRPr="00312655">
        <w:rPr>
          <w:rFonts w:ascii="宋体" w:hAnsi="宋体"/>
          <w:sz w:val="21"/>
          <w:szCs w:val="21"/>
        </w:rPr>
        <w:t>”</w:t>
      </w:r>
      <w:r w:rsidRPr="00312655">
        <w:rPr>
          <w:rFonts w:ascii="宋体" w:hAnsi="宋体" w:hint="eastAsia"/>
          <w:sz w:val="21"/>
          <w:szCs w:val="21"/>
        </w:rPr>
        <w:t>、</w:t>
      </w:r>
      <w:r w:rsidRPr="00312655">
        <w:rPr>
          <w:rFonts w:ascii="宋体" w:hAnsi="宋体"/>
          <w:sz w:val="21"/>
          <w:szCs w:val="21"/>
        </w:rPr>
        <w:t>“</w:t>
      </w:r>
      <w:r w:rsidRPr="00312655">
        <w:rPr>
          <w:rFonts w:ascii="宋体" w:hAnsi="宋体" w:hint="eastAsia"/>
          <w:sz w:val="21"/>
          <w:szCs w:val="21"/>
        </w:rPr>
        <w:t>超额选择配售权</w:t>
      </w:r>
      <w:r w:rsidRPr="00312655">
        <w:rPr>
          <w:rFonts w:ascii="宋体" w:hAnsi="宋体"/>
          <w:sz w:val="21"/>
          <w:szCs w:val="21"/>
        </w:rPr>
        <w:t>”</w:t>
      </w:r>
      <w:r w:rsidRPr="00312655">
        <w:rPr>
          <w:rFonts w:ascii="宋体" w:hAnsi="宋体" w:hint="eastAsia"/>
          <w:sz w:val="21"/>
          <w:szCs w:val="21"/>
        </w:rPr>
        <w:t>，它是发行人赋予主承销商的一种权利，获此权利的主承销商可以根据市场的认购状况，在股票上市后的一段时间内（一般为</w:t>
      </w:r>
      <w:r w:rsidRPr="00312655">
        <w:rPr>
          <w:rFonts w:ascii="宋体" w:hAnsi="宋体"/>
          <w:sz w:val="21"/>
          <w:szCs w:val="21"/>
        </w:rPr>
        <w:t>30</w:t>
      </w:r>
      <w:r w:rsidRPr="00312655">
        <w:rPr>
          <w:rFonts w:ascii="宋体" w:hAnsi="宋体" w:hint="eastAsia"/>
          <w:sz w:val="21"/>
          <w:szCs w:val="21"/>
        </w:rPr>
        <w:t>天），要求发行人额外发行一定数量的股票（通常数额不超过本次发行的</w:t>
      </w:r>
      <w:r w:rsidRPr="00312655">
        <w:rPr>
          <w:rFonts w:ascii="宋体" w:hAnsi="宋体"/>
          <w:sz w:val="21"/>
          <w:szCs w:val="21"/>
        </w:rPr>
        <w:t>15%</w:t>
      </w:r>
      <w:r w:rsidRPr="00312655">
        <w:rPr>
          <w:rFonts w:ascii="宋体" w:hAnsi="宋体" w:hint="eastAsia"/>
          <w:sz w:val="21"/>
          <w:szCs w:val="21"/>
        </w:rPr>
        <w:t>），或者从二级市场购入股票，也可两者兼而有之。</w:t>
      </w:r>
    </w:p>
    <w:p w:rsidR="003117A1" w:rsidRPr="00312655" w:rsidP="00312655">
      <w:pPr>
        <w:pStyle w:val="BodyText2"/>
        <w:spacing w:before="156" w:beforeLines="50" w:line="240" w:lineRule="atLeast"/>
        <w:ind w:right="32" w:firstLine="525" w:rightChars="15" w:firstLineChars="250"/>
        <w:jc w:val="both"/>
        <w:rPr>
          <w:rFonts w:ascii="宋体" w:hAnsi="宋体" w:hint="eastAsia"/>
          <w:sz w:val="21"/>
          <w:szCs w:val="21"/>
        </w:rPr>
      </w:pPr>
      <w:r w:rsidRPr="00312655">
        <w:rPr>
          <w:rFonts w:ascii="宋体" w:hAnsi="宋体" w:hint="eastAsia"/>
          <w:sz w:val="21"/>
          <w:szCs w:val="21"/>
        </w:rPr>
        <w:t>绿鞋机制主要在市场气氛不佳、对发行结果不乐观或难以预料的情况下使用。目的是防止新股发行上市后股价下跌至发行价或发行价以下，增强参与一级市场认</w:t>
      </w:r>
      <w:r w:rsidRPr="00312655" w:rsidR="00717364">
        <w:rPr>
          <w:rFonts w:ascii="宋体" w:hAnsi="宋体" w:hint="eastAsia"/>
          <w:sz w:val="21"/>
          <w:szCs w:val="21"/>
        </w:rPr>
        <w:t>购的投资者的信心，实现新股股价由一级市场向二级市场的平稳过渡。</w:t>
      </w:r>
    </w:p>
    <w:p w:rsidR="00A710E8" w:rsidRPr="00312655" w:rsidP="003C1ECF">
      <w:pPr>
        <w:pStyle w:val="BodyText2"/>
        <w:numPr>
          <w:ilvl w:val="0"/>
          <w:numId w:val="4"/>
        </w:numPr>
        <w:spacing w:before="156" w:beforeLines="50" w:line="240" w:lineRule="atLeast"/>
        <w:ind w:right="-334" w:rightChars="-159"/>
        <w:jc w:val="both"/>
        <w:rPr>
          <w:rFonts w:ascii="宋体" w:hAnsi="宋体" w:hint="eastAsia"/>
          <w:b/>
          <w:sz w:val="21"/>
          <w:szCs w:val="21"/>
        </w:rPr>
      </w:pPr>
      <w:r w:rsidRPr="00312655">
        <w:rPr>
          <w:rFonts w:ascii="宋体" w:hAnsi="宋体" w:hint="eastAsia"/>
          <w:b/>
          <w:sz w:val="21"/>
          <w:szCs w:val="21"/>
        </w:rPr>
        <w:t>股票首次公开发行（IPOs）的发行价格确定方法</w:t>
      </w:r>
      <w:r w:rsidRPr="00312655" w:rsidR="00147288">
        <w:rPr>
          <w:rFonts w:ascii="宋体" w:hAnsi="宋体" w:hint="eastAsia"/>
          <w:b/>
          <w:sz w:val="21"/>
          <w:szCs w:val="21"/>
        </w:rPr>
        <w:t>；我国当前的国情：我国现行新股发行制度特点</w:t>
      </w:r>
      <w:r w:rsidRPr="00312655" w:rsidR="009F49DA">
        <w:rPr>
          <w:rFonts w:ascii="宋体" w:hAnsi="宋体" w:hint="eastAsia"/>
          <w:b/>
          <w:sz w:val="21"/>
          <w:szCs w:val="21"/>
        </w:rPr>
        <w:t>；</w:t>
      </w:r>
      <w:r w:rsidRPr="00312655" w:rsidR="006010B6">
        <w:rPr>
          <w:rFonts w:ascii="宋体" w:hAnsi="宋体" w:hint="eastAsia"/>
          <w:b/>
          <w:sz w:val="21"/>
          <w:szCs w:val="21"/>
        </w:rPr>
        <w:t>新股发行询价制度</w:t>
      </w:r>
      <w:r w:rsidRPr="00312655" w:rsidR="009F49DA">
        <w:rPr>
          <w:rFonts w:ascii="宋体" w:hAnsi="宋体" w:hint="eastAsia"/>
          <w:b/>
          <w:sz w:val="21"/>
          <w:szCs w:val="21"/>
        </w:rPr>
        <w:t xml:space="preserve">。 </w:t>
      </w:r>
    </w:p>
    <w:p w:rsidR="000F5FBC" w:rsidRPr="00312655" w:rsidP="00312655">
      <w:pPr>
        <w:spacing w:line="240" w:lineRule="atLeast"/>
        <w:jc w:val="left"/>
        <w:rPr>
          <w:szCs w:val="21"/>
        </w:rPr>
      </w:pPr>
      <w:r w:rsidRPr="00312655" w:rsidR="00DE1E6F">
        <w:rPr>
          <w:rFonts w:hint="eastAsia"/>
          <w:color w:val="000000"/>
          <w:szCs w:val="21"/>
        </w:rPr>
        <w:t>（1）</w:t>
      </w:r>
      <w:r w:rsidRPr="00312655">
        <w:rPr>
          <w:rFonts w:hint="eastAsia"/>
          <w:color w:val="FF00FF"/>
          <w:szCs w:val="21"/>
        </w:rPr>
        <w:t>固定价</w:t>
      </w:r>
      <w:r w:rsidRPr="00312655" w:rsidR="00DE1E6F">
        <w:rPr>
          <w:rFonts w:hint="eastAsia"/>
          <w:color w:val="FF00FF"/>
          <w:szCs w:val="21"/>
        </w:rPr>
        <w:t>格法</w:t>
      </w:r>
      <w:r w:rsidRPr="00312655" w:rsidR="00DE1E6F">
        <w:rPr>
          <w:rFonts w:hint="eastAsia"/>
          <w:szCs w:val="21"/>
        </w:rPr>
        <w:t>：发行价格早在股票发售前就已由主承销商和发行人协商确定下来，</w:t>
      </w:r>
      <w:r w:rsidRPr="00312655">
        <w:rPr>
          <w:rFonts w:hint="eastAsia"/>
          <w:szCs w:val="21"/>
        </w:rPr>
        <w:t>通常价格较低，如香港和内地。</w:t>
      </w:r>
    </w:p>
    <w:p w:rsidR="000F5FBC" w:rsidRPr="00312655" w:rsidP="00312655">
      <w:pPr>
        <w:spacing w:line="240" w:lineRule="atLeast"/>
        <w:jc w:val="left"/>
        <w:rPr>
          <w:szCs w:val="21"/>
        </w:rPr>
        <w:sectPr>
          <w:type w:val="nextPage"/>
          <w:pgSz w:w="11906" w:h="16838"/>
          <w:pgMar w:top="1440" w:right="1800" w:bottom="1440" w:left="1800" w:header="851" w:footer="992" w:gutter="0"/>
          <w:pgNumType w:start="12"/>
          <w:cols w:space="425"/>
          <w:titlePg w:val="0"/>
          <w:docGrid w:type="lines" w:linePitch="312"/>
        </w:sectPr>
      </w:pPr>
      <w:r w:rsidRPr="00312655">
        <w:rPr>
          <w:rFonts w:hint="eastAsia"/>
          <w:szCs w:val="21"/>
        </w:rPr>
        <w:t xml:space="preserve">　　 </w:t>
      </w:r>
      <w:r w:rsidRPr="00312655">
        <w:rPr>
          <w:rFonts w:hint="eastAsia"/>
          <w:color w:val="FF00FF"/>
          <w:szCs w:val="21"/>
        </w:rPr>
        <w:t xml:space="preserve"> 公开定价法</w:t>
      </w:r>
    </w:p>
    <w:p w:rsidR="000F5FBC" w:rsidRPr="00312655" w:rsidP="00312655">
      <w:pPr>
        <w:spacing w:line="240" w:lineRule="atLeast"/>
        <w:jc w:val="left"/>
        <w:rPr>
          <w:szCs w:val="21"/>
        </w:rPr>
      </w:pPr>
      <w:r w:rsidRPr="00312655">
        <w:rPr>
          <w:rFonts w:hint="eastAsia"/>
          <w:szCs w:val="21"/>
        </w:rPr>
        <w:t>：先由主承销商与发行者商定一个股票发行的价格区间。根据市场情况的变动和新股需求量的变化而调整发行价格。如美国。</w:t>
      </w:r>
    </w:p>
    <w:p w:rsidR="000F5FBC" w:rsidRPr="00312655" w:rsidP="00312655">
      <w:pPr>
        <w:spacing w:line="240" w:lineRule="atLeast"/>
        <w:jc w:val="left"/>
        <w:rPr>
          <w:rFonts w:hint="eastAsia"/>
          <w:szCs w:val="21"/>
        </w:rPr>
      </w:pPr>
      <w:r w:rsidRPr="00312655">
        <w:rPr>
          <w:rFonts w:hint="eastAsia"/>
          <w:szCs w:val="21"/>
        </w:rPr>
        <w:t xml:space="preserve">　　  </w:t>
      </w:r>
      <w:r w:rsidRPr="00312655">
        <w:rPr>
          <w:rFonts w:hint="eastAsia"/>
          <w:color w:val="FF00FF"/>
          <w:szCs w:val="21"/>
        </w:rPr>
        <w:t>混合定价法</w:t>
      </w:r>
      <w:r w:rsidRPr="00312655">
        <w:rPr>
          <w:rFonts w:hint="eastAsia"/>
          <w:szCs w:val="21"/>
        </w:rPr>
        <w:t>：主承销商先用公开定价法选定一个定价区间，在国际范围内通过</w:t>
      </w:r>
      <w:r w:rsidRPr="00312655">
        <w:rPr>
          <w:rFonts w:hint="eastAsia"/>
          <w:color w:val="FF00FF"/>
          <w:szCs w:val="21"/>
        </w:rPr>
        <w:t>巡回推介</w:t>
      </w:r>
      <w:r w:rsidRPr="00312655">
        <w:rPr>
          <w:rFonts w:hint="eastAsia"/>
          <w:szCs w:val="21"/>
        </w:rPr>
        <w:t>确定最终发行价格。</w:t>
      </w:r>
    </w:p>
    <w:p w:rsidR="00DE1E6F" w:rsidRPr="00312655" w:rsidP="00312655">
      <w:pPr>
        <w:spacing w:line="240" w:lineRule="atLeast"/>
        <w:jc w:val="left"/>
        <w:rPr>
          <w:rFonts w:hint="eastAsia"/>
          <w:szCs w:val="21"/>
        </w:rPr>
      </w:pPr>
    </w:p>
    <w:p w:rsidR="00DE1E6F" w:rsidRPr="00312655" w:rsidP="00312655">
      <w:pPr>
        <w:spacing w:line="240" w:lineRule="atLeast"/>
        <w:jc w:val="left"/>
        <w:rPr>
          <w:rFonts w:hint="eastAsia"/>
          <w:szCs w:val="21"/>
        </w:rPr>
      </w:pPr>
      <w:r w:rsidRPr="00312655">
        <w:rPr>
          <w:rFonts w:hint="eastAsia"/>
          <w:szCs w:val="21"/>
        </w:rPr>
        <w:t>（2）我国现行新股发行制度的特点：</w:t>
      </w:r>
    </w:p>
    <w:p w:rsidR="00DE1E6F" w:rsidRPr="00312655" w:rsidP="00312655">
      <w:pPr>
        <w:pStyle w:val="BodyText2"/>
        <w:tabs>
          <w:tab w:val="left" w:pos="6870"/>
        </w:tabs>
        <w:spacing w:line="240" w:lineRule="atLeast"/>
        <w:ind w:left="600" w:right="-334" w:rightChars="-159"/>
        <w:jc w:val="both"/>
        <w:rPr>
          <w:rFonts w:ascii="宋体" w:hAnsi="宋体"/>
          <w:sz w:val="21"/>
          <w:szCs w:val="21"/>
        </w:rPr>
      </w:pPr>
      <w:r w:rsidRPr="00312655">
        <w:rPr>
          <w:rFonts w:ascii="宋体" w:hAnsi="宋体" w:hint="eastAsia"/>
          <w:sz w:val="21"/>
          <w:szCs w:val="21"/>
        </w:rPr>
        <w:t xml:space="preserve">    </w:t>
      </w:r>
      <w:r w:rsidRPr="00312655">
        <w:rPr>
          <w:rFonts w:ascii="宋体" w:hAnsi="宋体" w:hint="eastAsia"/>
          <w:color w:val="FF00FF"/>
          <w:sz w:val="21"/>
          <w:szCs w:val="21"/>
        </w:rPr>
        <w:t xml:space="preserve"> 引入机构投资者的询价机制</w:t>
      </w:r>
      <w:r w:rsidRPr="00312655">
        <w:rPr>
          <w:rFonts w:ascii="宋体" w:hAnsi="宋体" w:hint="eastAsia"/>
          <w:sz w:val="21"/>
          <w:szCs w:val="21"/>
        </w:rPr>
        <w:t>，实行网下配售和网上申购的发行方式，同时在部分大盘股中引进战略投资者配售。</w:t>
      </w:r>
      <w:r w:rsidRPr="00312655">
        <w:rPr>
          <w:rFonts w:ascii="宋体" w:hAnsi="宋体"/>
          <w:sz w:val="21"/>
          <w:szCs w:val="21"/>
        </w:rPr>
        <w:tab/>
      </w:r>
    </w:p>
    <w:p w:rsidR="00DE1E6F" w:rsidRPr="00312655" w:rsidP="00312655">
      <w:pPr>
        <w:spacing w:line="240" w:lineRule="atLeast"/>
        <w:ind w:left="525" w:hanging="525" w:hangingChars="250"/>
        <w:jc w:val="left"/>
        <w:rPr>
          <w:rFonts w:ascii="宋体" w:hAnsi="宋体" w:hint="eastAsia"/>
          <w:szCs w:val="21"/>
        </w:rPr>
      </w:pPr>
      <w:r w:rsidRPr="00312655">
        <w:rPr>
          <w:rFonts w:ascii="宋体" w:hAnsi="宋体" w:hint="eastAsia"/>
          <w:szCs w:val="21"/>
        </w:rPr>
        <w:t xml:space="preserve">       </w:t>
      </w:r>
      <w:r w:rsidRPr="00312655">
        <w:rPr>
          <w:rFonts w:ascii="宋体" w:hAnsi="宋体" w:hint="eastAsia"/>
          <w:color w:val="FF00FF"/>
          <w:szCs w:val="21"/>
        </w:rPr>
        <w:t xml:space="preserve">  实行核准制下的保荐制</w:t>
      </w:r>
      <w:r w:rsidRPr="00312655">
        <w:rPr>
          <w:rFonts w:ascii="宋体" w:hAnsi="宋体" w:hint="eastAsia"/>
          <w:szCs w:val="21"/>
        </w:rPr>
        <w:t>，即有资格的保荐人对剑符合条件的公司公开发行和上市证券，并对所推荐的发行人的信息披露质量和所做承诺提供辅导、知道和信用担保的制度。</w:t>
      </w:r>
    </w:p>
    <w:p w:rsidR="00507316" w:rsidRPr="00312655" w:rsidP="00312655">
      <w:pPr>
        <w:spacing w:line="240" w:lineRule="atLeast"/>
        <w:rPr>
          <w:rFonts w:ascii="宋体" w:hAnsi="宋体"/>
          <w:szCs w:val="21"/>
        </w:rPr>
      </w:pPr>
      <w:r w:rsidRPr="00312655">
        <w:rPr>
          <w:rFonts w:ascii="宋体" w:hAnsi="宋体" w:hint="eastAsia"/>
          <w:color w:val="000000"/>
          <w:szCs w:val="21"/>
        </w:rPr>
        <w:t>（3</w:t>
      </w:r>
      <w:r w:rsidRPr="00312655">
        <w:rPr>
          <w:rFonts w:ascii="宋体" w:hAnsi="宋体"/>
          <w:color w:val="000000"/>
          <w:szCs w:val="21"/>
        </w:rPr>
        <w:t>）</w:t>
      </w:r>
      <w:r w:rsidRPr="00312655">
        <w:rPr>
          <w:rFonts w:hint="eastAsia"/>
          <w:b/>
          <w:szCs w:val="21"/>
        </w:rPr>
        <w:t>新股发行询价制度</w:t>
      </w:r>
      <w:r w:rsidRPr="00312655">
        <w:rPr>
          <w:rFonts w:hint="eastAsia"/>
          <w:szCs w:val="21"/>
        </w:rPr>
        <w:t>：由发行人及其保荐人</w:t>
      </w:r>
      <w:r w:rsidRPr="00312655">
        <w:rPr>
          <w:rFonts w:hint="eastAsia"/>
          <w:color w:val="FF00FF"/>
          <w:szCs w:val="21"/>
        </w:rPr>
        <w:t>初步询价</w:t>
      </w:r>
      <w:r w:rsidRPr="00312655">
        <w:rPr>
          <w:rFonts w:hint="eastAsia"/>
          <w:szCs w:val="21"/>
        </w:rPr>
        <w:t>确定一个定价区间，再向机构投资者</w:t>
      </w:r>
      <w:r w:rsidRPr="00312655">
        <w:rPr>
          <w:rFonts w:hint="eastAsia"/>
          <w:color w:val="FF00FF"/>
          <w:szCs w:val="21"/>
        </w:rPr>
        <w:t>累计投标询价</w:t>
      </w:r>
      <w:r w:rsidRPr="00312655">
        <w:rPr>
          <w:rFonts w:hint="eastAsia"/>
          <w:szCs w:val="21"/>
        </w:rPr>
        <w:t>确定最终发行价格。</w:t>
      </w:r>
    </w:p>
    <w:p w:rsidR="00507316" w:rsidRPr="00312655" w:rsidP="00312655">
      <w:pPr>
        <w:spacing w:line="240" w:lineRule="atLeast"/>
        <w:ind w:left="420" w:firstLine="420" w:leftChars="200" w:firstLineChars="200"/>
        <w:rPr>
          <w:rFonts w:ascii="宋体" w:hAnsi="宋体"/>
          <w:szCs w:val="21"/>
        </w:rPr>
      </w:pPr>
      <w:r w:rsidRPr="00312655">
        <w:rPr>
          <w:rFonts w:ascii="宋体" w:hAnsi="宋体" w:hint="eastAsia"/>
          <w:szCs w:val="21"/>
        </w:rPr>
        <w:t>询价对象确定为证券投资基金、证券公司、信托投资公司、财务公司、保险机构投资者和合格境外机构投资者</w:t>
      </w:r>
      <w:r w:rsidRPr="00312655">
        <w:rPr>
          <w:rFonts w:ascii="宋体" w:hAnsi="宋体"/>
          <w:szCs w:val="21"/>
        </w:rPr>
        <w:t>(QFII)</w:t>
      </w:r>
      <w:r w:rsidRPr="00312655">
        <w:rPr>
          <w:rFonts w:ascii="宋体" w:hAnsi="宋体" w:hint="eastAsia"/>
          <w:szCs w:val="21"/>
        </w:rPr>
        <w:t>等六类机构 。</w:t>
      </w:r>
    </w:p>
    <w:p w:rsidR="00507316" w:rsidRPr="00312655" w:rsidP="00312655">
      <w:pPr>
        <w:spacing w:line="240" w:lineRule="atLeast"/>
        <w:ind w:left="420" w:firstLine="420" w:leftChars="200" w:firstLineChars="200"/>
        <w:rPr>
          <w:rFonts w:ascii="宋体" w:hAnsi="宋体"/>
          <w:szCs w:val="21"/>
        </w:rPr>
      </w:pPr>
      <w:r w:rsidRPr="00312655">
        <w:rPr>
          <w:rFonts w:ascii="宋体" w:hAnsi="宋体" w:hint="eastAsia"/>
          <w:szCs w:val="21"/>
        </w:rPr>
        <w:t>询价分为初步询价和累计投标询价两个阶段。发行人及其保荐机构应通过初步询价确定发行价格区间，通过累计投标询价确定发行价格。</w:t>
      </w:r>
    </w:p>
    <w:p w:rsidR="00DE1E6F" w:rsidRPr="00312655" w:rsidP="00312655">
      <w:pPr>
        <w:spacing w:line="240" w:lineRule="atLeast"/>
        <w:ind w:left="420" w:firstLine="420" w:leftChars="200" w:firstLineChars="200"/>
        <w:rPr>
          <w:rFonts w:ascii="宋体" w:hAnsi="宋体" w:hint="eastAsia"/>
          <w:szCs w:val="21"/>
        </w:rPr>
      </w:pPr>
      <w:r w:rsidRPr="00312655" w:rsidR="00507316">
        <w:rPr>
          <w:rFonts w:ascii="宋体" w:hAnsi="宋体" w:hint="eastAsia"/>
          <w:szCs w:val="21"/>
        </w:rPr>
        <w:t>向询价对象配售股票的比例为：公开发行数量在</w:t>
      </w:r>
      <w:r w:rsidRPr="00312655" w:rsidR="00507316">
        <w:rPr>
          <w:rFonts w:ascii="宋体" w:hAnsi="宋体"/>
          <w:szCs w:val="21"/>
        </w:rPr>
        <w:t>4</w:t>
      </w:r>
      <w:r w:rsidRPr="00312655" w:rsidR="00507316">
        <w:rPr>
          <w:rFonts w:ascii="宋体" w:hAnsi="宋体" w:hint="eastAsia"/>
          <w:szCs w:val="21"/>
        </w:rPr>
        <w:t>亿股以下的不超过</w:t>
      </w:r>
      <w:r w:rsidRPr="00312655" w:rsidR="00507316">
        <w:rPr>
          <w:rFonts w:ascii="宋体" w:hAnsi="宋体"/>
          <w:szCs w:val="21"/>
        </w:rPr>
        <w:t>20%</w:t>
      </w:r>
      <w:r w:rsidRPr="00312655" w:rsidR="00507316">
        <w:rPr>
          <w:rFonts w:ascii="宋体" w:hAnsi="宋体" w:hint="eastAsia"/>
          <w:szCs w:val="21"/>
        </w:rPr>
        <w:t>；在</w:t>
      </w:r>
      <w:r w:rsidRPr="00312655" w:rsidR="00507316">
        <w:rPr>
          <w:rFonts w:ascii="宋体" w:hAnsi="宋体"/>
          <w:szCs w:val="21"/>
        </w:rPr>
        <w:t>4</w:t>
      </w:r>
      <w:r w:rsidRPr="00312655" w:rsidR="00507316">
        <w:rPr>
          <w:rFonts w:ascii="宋体" w:hAnsi="宋体" w:hint="eastAsia"/>
          <w:szCs w:val="21"/>
        </w:rPr>
        <w:t>亿股以上</w:t>
      </w:r>
      <w:r w:rsidRPr="00312655" w:rsidR="00507316">
        <w:rPr>
          <w:rFonts w:ascii="宋体" w:hAnsi="宋体"/>
          <w:szCs w:val="21"/>
        </w:rPr>
        <w:t>(</w:t>
      </w:r>
      <w:r w:rsidRPr="00312655" w:rsidR="00507316">
        <w:rPr>
          <w:rFonts w:ascii="宋体" w:hAnsi="宋体" w:hint="eastAsia"/>
          <w:szCs w:val="21"/>
        </w:rPr>
        <w:t>含</w:t>
      </w:r>
      <w:r w:rsidRPr="00312655" w:rsidR="00507316">
        <w:rPr>
          <w:rFonts w:ascii="宋体" w:hAnsi="宋体"/>
          <w:szCs w:val="21"/>
        </w:rPr>
        <w:t>4</w:t>
      </w:r>
      <w:r w:rsidRPr="00312655" w:rsidR="00507316">
        <w:rPr>
          <w:rFonts w:ascii="宋体" w:hAnsi="宋体" w:hint="eastAsia"/>
          <w:szCs w:val="21"/>
        </w:rPr>
        <w:t>亿股</w:t>
      </w:r>
      <w:r w:rsidRPr="00312655" w:rsidR="00507316">
        <w:rPr>
          <w:rFonts w:ascii="宋体" w:hAnsi="宋体"/>
          <w:szCs w:val="21"/>
        </w:rPr>
        <w:t>)</w:t>
      </w:r>
      <w:r w:rsidRPr="00312655" w:rsidR="00507316">
        <w:rPr>
          <w:rFonts w:ascii="宋体" w:hAnsi="宋体" w:hint="eastAsia"/>
          <w:szCs w:val="21"/>
        </w:rPr>
        <w:t>的不超过</w:t>
      </w:r>
      <w:r w:rsidRPr="00312655" w:rsidR="00507316">
        <w:rPr>
          <w:rFonts w:ascii="宋体" w:hAnsi="宋体"/>
          <w:szCs w:val="21"/>
        </w:rPr>
        <w:t>50%</w:t>
      </w:r>
      <w:r w:rsidRPr="00312655" w:rsidR="00507316">
        <w:rPr>
          <w:rFonts w:ascii="宋体" w:hAnsi="宋体" w:hint="eastAsia"/>
          <w:szCs w:val="21"/>
        </w:rPr>
        <w:t>；询价对象应承诺将累计投标询价获配的股票锁定</w:t>
      </w:r>
      <w:r w:rsidRPr="00312655" w:rsidR="00507316">
        <w:rPr>
          <w:rFonts w:ascii="宋体" w:hAnsi="宋体"/>
          <w:szCs w:val="21"/>
        </w:rPr>
        <w:t>3</w:t>
      </w:r>
      <w:r w:rsidRPr="00312655" w:rsidR="00507316">
        <w:rPr>
          <w:rFonts w:ascii="宋体" w:hAnsi="宋体" w:hint="eastAsia"/>
          <w:szCs w:val="21"/>
        </w:rPr>
        <w:t>个月以上 。</w:t>
      </w:r>
    </w:p>
    <w:p w:rsidR="00526756" w:rsidRPr="00312655" w:rsidP="003C1ECF">
      <w:pPr>
        <w:pStyle w:val="BodyText2"/>
        <w:numPr>
          <w:ilvl w:val="0"/>
          <w:numId w:val="4"/>
        </w:numPr>
        <w:spacing w:before="156" w:beforeLines="50" w:line="240" w:lineRule="atLeast"/>
        <w:ind w:right="32" w:rightChars="15"/>
        <w:jc w:val="both"/>
        <w:rPr>
          <w:rFonts w:ascii="宋体" w:hAnsi="宋体" w:hint="eastAsia"/>
          <w:b/>
          <w:sz w:val="21"/>
          <w:szCs w:val="21"/>
        </w:rPr>
      </w:pPr>
      <w:r w:rsidRPr="00312655">
        <w:rPr>
          <w:rFonts w:ascii="宋体" w:hAnsi="宋体" w:hint="eastAsia"/>
          <w:b/>
          <w:sz w:val="21"/>
          <w:szCs w:val="21"/>
        </w:rPr>
        <w:t>买空交易与卖空交易</w:t>
      </w:r>
      <w:r w:rsidRPr="00312655" w:rsidR="00147288">
        <w:rPr>
          <w:rFonts w:ascii="宋体" w:hAnsi="宋体" w:hint="eastAsia"/>
          <w:b/>
          <w:sz w:val="21"/>
          <w:szCs w:val="21"/>
        </w:rPr>
        <w:t>；</w:t>
      </w:r>
      <w:r w:rsidRPr="00312655">
        <w:rPr>
          <w:rFonts w:ascii="宋体" w:hAnsi="宋体" w:hint="eastAsia"/>
          <w:b/>
          <w:sz w:val="21"/>
          <w:szCs w:val="21"/>
        </w:rPr>
        <w:t>我国券商推出的</w:t>
      </w:r>
      <w:r w:rsidRPr="00312655">
        <w:rPr>
          <w:rFonts w:ascii="宋体" w:hAnsi="宋体" w:hint="eastAsia"/>
          <w:b/>
          <w:sz w:val="21"/>
          <w:szCs w:val="21"/>
        </w:rPr>
        <w:t>“</w:t>
      </w:r>
      <w:r w:rsidRPr="00312655">
        <w:rPr>
          <w:rFonts w:ascii="宋体" w:hAnsi="宋体" w:hint="eastAsia"/>
          <w:b/>
          <w:sz w:val="21"/>
          <w:szCs w:val="21"/>
        </w:rPr>
        <w:t>融资融券业务</w:t>
      </w:r>
      <w:r w:rsidRPr="00312655">
        <w:rPr>
          <w:rFonts w:ascii="宋体" w:hAnsi="宋体" w:hint="eastAsia"/>
          <w:b/>
          <w:sz w:val="21"/>
          <w:szCs w:val="21"/>
        </w:rPr>
        <w:t>”</w:t>
      </w:r>
      <w:r w:rsidRPr="00312655" w:rsidR="00147288">
        <w:rPr>
          <w:rFonts w:ascii="宋体" w:hAnsi="宋体" w:hint="eastAsia"/>
          <w:b/>
          <w:sz w:val="21"/>
          <w:szCs w:val="21"/>
        </w:rPr>
        <w:t>。</w:t>
      </w:r>
    </w:p>
    <w:p w:rsidR="00507316" w:rsidRPr="00312655" w:rsidP="00312655">
      <w:pPr>
        <w:spacing w:line="240" w:lineRule="atLeast"/>
        <w:ind w:left="600"/>
        <w:jc w:val="left"/>
        <w:rPr>
          <w:rFonts w:hAnsi="宋体"/>
          <w:szCs w:val="21"/>
        </w:rPr>
      </w:pPr>
      <w:r w:rsidRPr="00312655">
        <w:rPr>
          <w:rFonts w:ascii="宋体" w:hAnsi="宋体" w:hint="eastAsia"/>
          <w:b/>
          <w:szCs w:val="21"/>
        </w:rPr>
        <w:t>买空交易</w:t>
      </w:r>
      <w:r w:rsidRPr="00312655">
        <w:rPr>
          <w:rFonts w:ascii="宋体" w:hAnsi="宋体" w:hint="eastAsia"/>
          <w:szCs w:val="21"/>
        </w:rPr>
        <w:t>：</w:t>
      </w:r>
      <w:r w:rsidRPr="00312655">
        <w:rPr>
          <w:rFonts w:hAnsi="宋体" w:hint="eastAsia"/>
          <w:color w:val="FF00FF"/>
          <w:szCs w:val="21"/>
        </w:rPr>
        <w:t>在投行的经纪业务中，常常还会通过向客户提供一部分购买证券的贷款资金从而获得贷款利息收入，</w:t>
      </w:r>
      <w:r w:rsidRPr="00312655">
        <w:rPr>
          <w:rFonts w:hAnsi="宋体" w:hint="eastAsia"/>
          <w:szCs w:val="21"/>
        </w:rPr>
        <w:t>在进行这种贷款时，投行要求客户预付一定数额的保证金，保证金与实际购买价格之间的差额就是投行的贷款额。</w:t>
      </w:r>
    </w:p>
    <w:p w:rsidR="006B671A" w:rsidRPr="00312655" w:rsidP="00312655">
      <w:pPr>
        <w:spacing w:line="240" w:lineRule="atLeast"/>
        <w:ind w:left="626" w:leftChars="298"/>
        <w:rPr>
          <w:rFonts w:hint="eastAsia"/>
          <w:szCs w:val="21"/>
        </w:rPr>
      </w:pPr>
      <w:r w:rsidRPr="00312655" w:rsidR="00507316">
        <w:rPr>
          <w:rFonts w:ascii="宋体" w:hAnsi="宋体" w:hint="eastAsia"/>
          <w:b/>
          <w:szCs w:val="21"/>
        </w:rPr>
        <w:t>卖空交易：</w:t>
      </w:r>
      <w:r w:rsidRPr="00312655" w:rsidR="00507316">
        <w:rPr>
          <w:rFonts w:hint="eastAsia"/>
          <w:color w:val="FF00FF"/>
          <w:szCs w:val="21"/>
        </w:rPr>
        <w:t>当投资者预计某种证券价格将下跌，而手中又没此种证券时，可进行</w:t>
      </w:r>
      <w:r w:rsidRPr="00312655" w:rsidR="00507316">
        <w:rPr>
          <w:rFonts w:hint="eastAsia"/>
          <w:color w:val="FF00FF"/>
          <w:szCs w:val="21"/>
        </w:rPr>
        <w:t>“</w:t>
      </w:r>
      <w:r w:rsidRPr="00312655" w:rsidR="00507316">
        <w:rPr>
          <w:rFonts w:hint="eastAsia"/>
          <w:color w:val="FF00FF"/>
          <w:szCs w:val="21"/>
        </w:rPr>
        <w:t>卖空</w:t>
      </w:r>
      <w:r w:rsidRPr="00312655" w:rsidR="00507316">
        <w:rPr>
          <w:rFonts w:hint="eastAsia"/>
          <w:color w:val="FF00FF"/>
          <w:szCs w:val="21"/>
        </w:rPr>
        <w:t>”</w:t>
      </w:r>
      <w:r w:rsidRPr="00312655" w:rsidR="00507316">
        <w:rPr>
          <w:rFonts w:hint="eastAsia"/>
          <w:color w:val="FF00FF"/>
          <w:szCs w:val="21"/>
        </w:rPr>
        <w:t>。</w:t>
      </w:r>
      <w:r w:rsidRPr="00312655" w:rsidR="00507316">
        <w:rPr>
          <w:rFonts w:hint="eastAsia"/>
          <w:szCs w:val="21"/>
        </w:rPr>
        <w:t>投资者可要求投行卖出自己实际并未拥有过的证券，而所需证券由投行从自身帐户或其他投行处融资获得。</w:t>
      </w:r>
    </w:p>
    <w:p w:rsidR="00507316" w:rsidRPr="00312655" w:rsidP="00312655">
      <w:pPr>
        <w:spacing w:line="240" w:lineRule="atLeast"/>
        <w:ind w:left="626" w:leftChars="298"/>
        <w:rPr>
          <w:rFonts w:hint="eastAsia"/>
          <w:color w:val="FF00FF"/>
          <w:szCs w:val="21"/>
        </w:rPr>
      </w:pPr>
      <w:r w:rsidRPr="00312655">
        <w:rPr>
          <w:rFonts w:hint="eastAsia"/>
          <w:color w:val="FF00FF"/>
          <w:szCs w:val="21"/>
        </w:rPr>
        <w:t>“</w:t>
      </w:r>
      <w:r w:rsidRPr="00312655">
        <w:rPr>
          <w:rFonts w:hint="eastAsia"/>
          <w:color w:val="FF00FF"/>
          <w:szCs w:val="21"/>
        </w:rPr>
        <w:t>卖空</w:t>
      </w:r>
      <w:r w:rsidRPr="00312655">
        <w:rPr>
          <w:rFonts w:hint="eastAsia"/>
          <w:color w:val="FF00FF"/>
          <w:szCs w:val="21"/>
        </w:rPr>
        <w:t>”</w:t>
      </w:r>
      <w:r w:rsidRPr="00312655">
        <w:rPr>
          <w:rFonts w:hint="eastAsia"/>
          <w:color w:val="FF00FF"/>
          <w:szCs w:val="21"/>
        </w:rPr>
        <w:t>所得价款必须存于投行处，当证券价格果然下降时，投资者可低价买入该证券归还投行，同时获得存于投行的价款，两者差价即为投资者收益。</w:t>
      </w:r>
    </w:p>
    <w:p w:rsidR="006B671A" w:rsidRPr="00312655" w:rsidP="00312655">
      <w:pPr>
        <w:spacing w:line="240" w:lineRule="atLeast"/>
        <w:ind w:left="626" w:leftChars="298"/>
        <w:rPr>
          <w:rFonts w:hint="eastAsia"/>
          <w:szCs w:val="21"/>
        </w:rPr>
      </w:pPr>
      <w:r w:rsidRPr="00312655">
        <w:rPr>
          <w:rFonts w:hint="eastAsia"/>
          <w:szCs w:val="21"/>
        </w:rPr>
        <w:t>PPT:</w:t>
      </w:r>
    </w:p>
    <w:p w:rsidR="006B671A" w:rsidRPr="00312655" w:rsidP="00312655">
      <w:pPr>
        <w:spacing w:line="240" w:lineRule="atLeast"/>
        <w:ind w:left="626" w:leftChars="298"/>
        <w:rPr>
          <w:rFonts w:hint="eastAsia"/>
          <w:szCs w:val="21"/>
        </w:rPr>
      </w:pPr>
      <w:r w:rsidRPr="00312655">
        <w:rPr>
          <w:rFonts w:hint="eastAsia"/>
          <w:b/>
          <w:szCs w:val="21"/>
        </w:rPr>
        <w:t>保证金买空交易：</w:t>
      </w:r>
      <w:r w:rsidRPr="00312655">
        <w:rPr>
          <w:rFonts w:hint="eastAsia"/>
          <w:szCs w:val="21"/>
        </w:rPr>
        <w:t>指投资者在缴纳部分保证金后，委托经纪人垫付其余款项，买进指定的证券。然后，投资者以垫付的证券作抵押，并支付垫付款的利息，以后在保证金垫付款项内用现金或卖出证券偿还经纪人的垫付款项、利息和佣金。如果投资者不能偿还款项时，经纪人可以处理这些证券。</w:t>
      </w:r>
    </w:p>
    <w:p w:rsidR="006B671A" w:rsidRPr="00312655" w:rsidP="00312655">
      <w:pPr>
        <w:spacing w:line="240" w:lineRule="atLeast"/>
        <w:ind w:left="626" w:leftChars="298"/>
        <w:rPr>
          <w:szCs w:val="21"/>
        </w:rPr>
      </w:pPr>
      <w:r w:rsidRPr="00312655">
        <w:rPr>
          <w:rFonts w:hint="eastAsia"/>
          <w:b/>
          <w:szCs w:val="21"/>
        </w:rPr>
        <w:t>保证金卖空交易：</w:t>
      </w:r>
      <w:r w:rsidRPr="00312655">
        <w:rPr>
          <w:rFonts w:hint="eastAsia"/>
          <w:szCs w:val="21"/>
        </w:rPr>
        <w:t>指投资者预期证券价格将下跌，缴纳一定数量保证金后，向经纪人借入一定数量的证券并卖出，以后再买回这部分垫付的证券归还经纪人。</w:t>
      </w:r>
    </w:p>
    <w:p w:rsidR="00FF4F1C" w:rsidRPr="00312655" w:rsidP="00312655">
      <w:pPr>
        <w:spacing w:line="240" w:lineRule="atLeast"/>
        <w:ind w:left="359" w:firstLine="105" w:leftChars="171" w:firstLineChars="50"/>
        <w:rPr>
          <w:rFonts w:ascii="宋体" w:hAnsi="宋体"/>
          <w:b/>
          <w:szCs w:val="21"/>
        </w:rPr>
      </w:pPr>
      <w:r w:rsidRPr="00312655">
        <w:rPr>
          <w:rFonts w:ascii="宋体" w:hAnsi="宋体" w:hint="eastAsia"/>
          <w:b/>
          <w:szCs w:val="21"/>
        </w:rPr>
        <w:t>融资融券简介</w:t>
      </w:r>
    </w:p>
    <w:p w:rsidR="00FF4F1C" w:rsidRPr="00312655" w:rsidP="003C1ECF">
      <w:pPr>
        <w:numPr>
          <w:ilvl w:val="0"/>
          <w:numId w:val="41"/>
        </w:numPr>
        <w:spacing w:line="240" w:lineRule="atLeast"/>
        <w:rPr>
          <w:rFonts w:ascii="宋体" w:hAnsi="宋体"/>
          <w:color w:val="FF00FF"/>
          <w:szCs w:val="21"/>
        </w:rPr>
      </w:pPr>
      <w:r w:rsidRPr="00312655">
        <w:rPr>
          <w:rFonts w:ascii="宋体" w:hAnsi="宋体"/>
          <w:szCs w:val="21"/>
        </w:rPr>
        <w:t>“</w:t>
      </w:r>
      <w:r w:rsidRPr="00312655">
        <w:rPr>
          <w:rFonts w:ascii="宋体" w:hAnsi="宋体" w:hint="eastAsia"/>
          <w:szCs w:val="21"/>
        </w:rPr>
        <w:t>证券融资融券交易</w:t>
      </w:r>
      <w:r w:rsidRPr="00312655">
        <w:rPr>
          <w:rFonts w:ascii="宋体" w:hAnsi="宋体" w:hint="eastAsia"/>
          <w:szCs w:val="21"/>
        </w:rPr>
        <w:t>”</w:t>
      </w:r>
      <w:r w:rsidRPr="00312655">
        <w:rPr>
          <w:rFonts w:ascii="宋体" w:hAnsi="宋体" w:hint="eastAsia"/>
          <w:szCs w:val="21"/>
        </w:rPr>
        <w:t>，又称</w:t>
      </w:r>
      <w:r w:rsidRPr="00312655">
        <w:rPr>
          <w:rFonts w:ascii="宋体" w:hAnsi="宋体" w:hint="eastAsia"/>
          <w:szCs w:val="21"/>
        </w:rPr>
        <w:t>“</w:t>
      </w:r>
      <w:r w:rsidRPr="00312655">
        <w:rPr>
          <w:rFonts w:ascii="宋体" w:hAnsi="宋体" w:hint="eastAsia"/>
          <w:szCs w:val="21"/>
        </w:rPr>
        <w:t>证券信用交易</w:t>
      </w:r>
      <w:r w:rsidRPr="00312655">
        <w:rPr>
          <w:rFonts w:ascii="宋体" w:hAnsi="宋体" w:hint="eastAsia"/>
          <w:szCs w:val="21"/>
        </w:rPr>
        <w:t>”</w:t>
      </w:r>
      <w:r w:rsidRPr="00312655">
        <w:rPr>
          <w:rFonts w:ascii="宋体" w:hAnsi="宋体" w:hint="eastAsia"/>
          <w:szCs w:val="21"/>
        </w:rPr>
        <w:t>，</w:t>
      </w:r>
      <w:r w:rsidRPr="00312655">
        <w:rPr>
          <w:rFonts w:ascii="宋体" w:hAnsi="宋体" w:hint="eastAsia"/>
          <w:color w:val="FF00FF"/>
          <w:szCs w:val="21"/>
        </w:rPr>
        <w:t>包括券商对投资者的融资、融券和金融机构对券商的融资、融券四种。市场通常说的</w:t>
      </w:r>
      <w:r w:rsidRPr="00312655">
        <w:rPr>
          <w:rFonts w:ascii="宋体" w:hAnsi="宋体" w:hint="eastAsia"/>
          <w:color w:val="FF00FF"/>
          <w:szCs w:val="21"/>
        </w:rPr>
        <w:t>“</w:t>
      </w:r>
      <w:r w:rsidRPr="00312655">
        <w:rPr>
          <w:rFonts w:ascii="宋体" w:hAnsi="宋体" w:hint="eastAsia"/>
          <w:color w:val="FF00FF"/>
          <w:szCs w:val="21"/>
        </w:rPr>
        <w:t>融资融券</w:t>
      </w:r>
      <w:r w:rsidRPr="00312655">
        <w:rPr>
          <w:rFonts w:ascii="宋体" w:hAnsi="宋体" w:hint="eastAsia"/>
          <w:color w:val="FF00FF"/>
          <w:szCs w:val="21"/>
        </w:rPr>
        <w:t>”</w:t>
      </w:r>
      <w:r w:rsidRPr="00312655">
        <w:rPr>
          <w:rFonts w:ascii="宋体" w:hAnsi="宋体" w:hint="eastAsia"/>
          <w:color w:val="FF00FF"/>
          <w:szCs w:val="21"/>
        </w:rPr>
        <w:t xml:space="preserve">，是指券商为投资者提供融资和融券交易。简而言之，融资是借钱买证券；而融券是借证券来卖，然后以证券归还，即卖空。 </w:t>
      </w:r>
    </w:p>
    <w:p w:rsidR="00FF4F1C" w:rsidRPr="00312655" w:rsidP="003C1ECF">
      <w:pPr>
        <w:numPr>
          <w:ilvl w:val="0"/>
          <w:numId w:val="41"/>
        </w:numPr>
        <w:spacing w:line="240" w:lineRule="atLeast"/>
        <w:rPr>
          <w:rFonts w:ascii="宋体" w:hAnsi="宋体"/>
          <w:color w:val="FF00FF"/>
          <w:szCs w:val="21"/>
        </w:rPr>
      </w:pPr>
      <w:r w:rsidRPr="00312655">
        <w:rPr>
          <w:rFonts w:ascii="宋体" w:hAnsi="宋体" w:hint="eastAsia"/>
          <w:szCs w:val="21"/>
        </w:rPr>
        <w:t>融资融券，是指客户借款购买证券或借进证券出售的一种交易行为，是海外证券市场普遍实施的一项成熟交易制度，是证券市场基本职能发挥作用的重要基础。</w:t>
      </w:r>
      <w:r w:rsidRPr="00312655">
        <w:rPr>
          <w:rFonts w:ascii="宋体" w:hAnsi="宋体" w:hint="eastAsia"/>
          <w:color w:val="FF00FF"/>
          <w:szCs w:val="21"/>
        </w:rPr>
        <w:t>其最大意义，在于打通了货币市场和资本市场。该项业务的开闸将大大提高股票市场交投的活跃性。</w:t>
      </w:r>
      <w:r w:rsidRPr="00312655">
        <w:rPr>
          <w:rFonts w:ascii="宋体" w:hAnsi="宋体"/>
          <w:color w:val="FF00FF"/>
          <w:szCs w:val="21"/>
        </w:rPr>
        <w:br/>
      </w:r>
      <w:r w:rsidRPr="00312655">
        <w:rPr>
          <w:rFonts w:ascii="宋体" w:hAnsi="宋体"/>
          <w:color w:val="FF00FF"/>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https://d.book118.com/335023133212011114</w:t>
        </w:r>
      </w:hyperlink>
    </w:p>
    <w:p w:rsidR="00FF4F1C" w:rsidRPr="00312655" w:rsidP="003C1ECF">
      <w:pPr>
        <w:numPr>
          <w:ilvl w:val="0"/>
          <w:numId w:val="41"/>
        </w:numPr>
        <w:spacing w:line="240" w:lineRule="atLeast"/>
        <w:rPr>
          <w:rFonts w:ascii="宋体" w:hAnsi="宋体"/>
          <w:color w:val="FF00FF"/>
          <w:szCs w:val="21"/>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ˎ̥">
    <w:altName w:val="Times New Roman"/>
    <w:panose1 w:val="00000000000000000000"/>
    <w:charset w:val="00"/>
    <w:family w:val="roman"/>
    <w:notTrueType/>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5C4A"/>
    <w:multiLevelType w:val="hybridMultilevel"/>
    <w:tmpl w:val="BA7001F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540E356"/>
    <w:multiLevelType w:val="hybridMultilevel"/>
    <w:tmpl w:val="3EEC2CF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6052C15"/>
    <w:multiLevelType w:val="hybridMultilevel"/>
    <w:tmpl w:val="C6AEA2C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
    <w:nsid w:val="06661F6F"/>
    <w:multiLevelType w:val="hybridMultilevel"/>
    <w:tmpl w:val="43CEB94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
    <w:nsid w:val="072D7182"/>
    <w:multiLevelType w:val="hybridMultilevel"/>
    <w:tmpl w:val="A05A0E72"/>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5">
    <w:nsid w:val="07AD34C6"/>
    <w:multiLevelType w:val="hybridMultilevel"/>
    <w:tmpl w:val="8D1E3DD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6">
    <w:nsid w:val="08804957"/>
    <w:multiLevelType w:val="hybridMultilevel"/>
    <w:tmpl w:val="CBD89D98"/>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7">
    <w:nsid w:val="0964652A"/>
    <w:multiLevelType w:val="hybridMultilevel"/>
    <w:tmpl w:val="872044F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8">
    <w:nsid w:val="09C6286F"/>
    <w:multiLevelType w:val="hybridMultilevel"/>
    <w:tmpl w:val="C0ECBCE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9">
    <w:nsid w:val="0D15020B"/>
    <w:multiLevelType w:val="hybridMultilevel"/>
    <w:tmpl w:val="0FCA05C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0">
    <w:nsid w:val="0DA36B50"/>
    <w:multiLevelType w:val="hybridMultilevel"/>
    <w:tmpl w:val="4308ED62"/>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0E377DB0"/>
    <w:multiLevelType w:val="hybridMultilevel"/>
    <w:tmpl w:val="4DAE9C1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2">
    <w:nsid w:val="0E7016CF"/>
    <w:multiLevelType w:val="hybridMultilevel"/>
    <w:tmpl w:val="68BC9528"/>
    <w:lvl w:ilvl="0">
      <w:start w:val="1"/>
      <w:numFmt w:val="decimalEnclosedCircle"/>
      <w:lvlText w:val="%1"/>
      <w:lvlJc w:val="left"/>
      <w:pPr>
        <w:ind w:left="360" w:hanging="360"/>
      </w:pPr>
      <w:rPr>
        <w:rFonts w:hint="default"/>
        <w:u w:val="none" w:color="auto"/>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0EA637C1"/>
    <w:multiLevelType w:val="hybridMultilevel"/>
    <w:tmpl w:val="353223A6"/>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0EDA70AB"/>
    <w:multiLevelType w:val="hybridMultilevel"/>
    <w:tmpl w:val="4D18E96A"/>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0EE92473"/>
    <w:multiLevelType w:val="hybridMultilevel"/>
    <w:tmpl w:val="06E275F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0F684A72"/>
    <w:multiLevelType w:val="hybridMultilevel"/>
    <w:tmpl w:val="57804D3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7">
    <w:nsid w:val="10A070DD"/>
    <w:multiLevelType w:val="hybridMultilevel"/>
    <w:tmpl w:val="3EEC2CF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15BB6C7F"/>
    <w:multiLevelType w:val="hybridMultilevel"/>
    <w:tmpl w:val="09F69456"/>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632226B"/>
    <w:multiLevelType w:val="hybridMultilevel"/>
    <w:tmpl w:val="181C4C3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0">
    <w:nsid w:val="1704285C"/>
    <w:multiLevelType w:val="hybridMultilevel"/>
    <w:tmpl w:val="3102894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197C7297"/>
    <w:multiLevelType w:val="hybridMultilevel"/>
    <w:tmpl w:val="CDCE00C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2">
    <w:nsid w:val="1D2E1927"/>
    <w:multiLevelType w:val="hybridMultilevel"/>
    <w:tmpl w:val="473893C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3">
    <w:nsid w:val="246B5738"/>
    <w:multiLevelType w:val="hybridMultilevel"/>
    <w:tmpl w:val="6936C02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4">
    <w:nsid w:val="247B2960"/>
    <w:multiLevelType w:val="hybridMultilevel"/>
    <w:tmpl w:val="9832530C"/>
    <w:lvl w:ilvl="0">
      <w:start w:val="2"/>
      <w:numFmt w:val="decimal"/>
      <w:lvlText w:val="%1"/>
      <w:lvlJc w:val="left"/>
      <w:pPr>
        <w:tabs>
          <w:tab w:val="num" w:pos="1380"/>
        </w:tabs>
        <w:ind w:left="1380" w:hanging="360"/>
      </w:pPr>
      <w:rPr>
        <w:rFonts w:ascii="宋体" w:hAnsi="宋体" w:hint="default"/>
        <w:b/>
        <w:color w:val="auto"/>
        <w:sz w:val="24"/>
      </w:rPr>
    </w:lvl>
    <w:lvl w:ilvl="1" w:tentative="1">
      <w:start w:val="1"/>
      <w:numFmt w:val="lowerLetter"/>
      <w:lvlText w:val="%2)"/>
      <w:lvlJc w:val="left"/>
      <w:pPr>
        <w:tabs>
          <w:tab w:val="num" w:pos="1860"/>
        </w:tabs>
        <w:ind w:left="1860" w:hanging="420"/>
      </w:pPr>
    </w:lvl>
    <w:lvl w:ilvl="2" w:tentative="1">
      <w:start w:val="1"/>
      <w:numFmt w:val="lowerRoman"/>
      <w:lvlText w:val="%3."/>
      <w:lvlJc w:val="right"/>
      <w:pPr>
        <w:tabs>
          <w:tab w:val="num" w:pos="2280"/>
        </w:tabs>
        <w:ind w:left="2280" w:hanging="420"/>
      </w:pPr>
    </w:lvl>
    <w:lvl w:ilvl="3" w:tentative="1">
      <w:start w:val="1"/>
      <w:numFmt w:val="decimal"/>
      <w:lvlText w:val="%4."/>
      <w:lvlJc w:val="left"/>
      <w:pPr>
        <w:tabs>
          <w:tab w:val="num" w:pos="2700"/>
        </w:tabs>
        <w:ind w:left="2700" w:hanging="420"/>
      </w:pPr>
    </w:lvl>
    <w:lvl w:ilvl="4" w:tentative="1">
      <w:start w:val="1"/>
      <w:numFmt w:val="lowerLetter"/>
      <w:lvlText w:val="%5)"/>
      <w:lvlJc w:val="left"/>
      <w:pPr>
        <w:tabs>
          <w:tab w:val="num" w:pos="3120"/>
        </w:tabs>
        <w:ind w:left="3120" w:hanging="420"/>
      </w:pPr>
    </w:lvl>
    <w:lvl w:ilvl="5" w:tentative="1">
      <w:start w:val="1"/>
      <w:numFmt w:val="lowerRoman"/>
      <w:lvlText w:val="%6."/>
      <w:lvlJc w:val="right"/>
      <w:pPr>
        <w:tabs>
          <w:tab w:val="num" w:pos="3540"/>
        </w:tabs>
        <w:ind w:left="3540" w:hanging="420"/>
      </w:pPr>
    </w:lvl>
    <w:lvl w:ilvl="6" w:tentative="1">
      <w:start w:val="1"/>
      <w:numFmt w:val="decimal"/>
      <w:lvlText w:val="%7."/>
      <w:lvlJc w:val="left"/>
      <w:pPr>
        <w:tabs>
          <w:tab w:val="num" w:pos="3960"/>
        </w:tabs>
        <w:ind w:left="3960" w:hanging="420"/>
      </w:pPr>
    </w:lvl>
    <w:lvl w:ilvl="7" w:tentative="1">
      <w:start w:val="1"/>
      <w:numFmt w:val="lowerLetter"/>
      <w:lvlText w:val="%8)"/>
      <w:lvlJc w:val="left"/>
      <w:pPr>
        <w:tabs>
          <w:tab w:val="num" w:pos="4380"/>
        </w:tabs>
        <w:ind w:left="4380" w:hanging="420"/>
      </w:pPr>
    </w:lvl>
    <w:lvl w:ilvl="8" w:tentative="1">
      <w:start w:val="1"/>
      <w:numFmt w:val="lowerRoman"/>
      <w:lvlText w:val="%9."/>
      <w:lvlJc w:val="right"/>
      <w:pPr>
        <w:tabs>
          <w:tab w:val="num" w:pos="4800"/>
        </w:tabs>
        <w:ind w:left="4800" w:hanging="420"/>
      </w:pPr>
    </w:lvl>
  </w:abstractNum>
  <w:abstractNum w:abstractNumId="25">
    <w:nsid w:val="2495235E"/>
    <w:multiLevelType w:val="hybridMultilevel"/>
    <w:tmpl w:val="040A6340"/>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4C42A76"/>
    <w:multiLevelType w:val="hybridMultilevel"/>
    <w:tmpl w:val="50C6123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7">
    <w:nsid w:val="287959B3"/>
    <w:multiLevelType w:val="hybridMultilevel"/>
    <w:tmpl w:val="F386091A"/>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2BD420E8"/>
    <w:multiLevelType w:val="hybridMultilevel"/>
    <w:tmpl w:val="52F6048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9">
    <w:nsid w:val="2C2F3507"/>
    <w:multiLevelType w:val="hybridMultilevel"/>
    <w:tmpl w:val="34EED9D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0">
    <w:nsid w:val="2E830B49"/>
    <w:multiLevelType w:val="hybridMultilevel"/>
    <w:tmpl w:val="3B48C700"/>
    <w:lvl w:ilvl="0">
      <w:start w:val="1"/>
      <w:numFmt w:val="decimal"/>
      <w:lvlText w:val="%1."/>
      <w:lvlJc w:val="left"/>
      <w:pPr>
        <w:tabs>
          <w:tab w:val="num" w:pos="420"/>
        </w:tabs>
        <w:ind w:left="420" w:hanging="420"/>
      </w:pPr>
    </w:lvl>
    <w:lvl w:ilvl="1">
      <w:start w:val="1"/>
      <w:numFmt w:val="decimal"/>
      <w:lvlText w:val="（%2）"/>
      <w:lvlJc w:val="left"/>
      <w:pPr>
        <w:tabs>
          <w:tab w:val="num" w:pos="1380"/>
        </w:tabs>
        <w:ind w:left="1380" w:hanging="960"/>
      </w:pPr>
      <w:rPr>
        <w:rFonts w:hint="default"/>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20"/>
        </w:tabs>
        <w:ind w:left="1620" w:hanging="36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2EB76244"/>
    <w:multiLevelType w:val="hybridMultilevel"/>
    <w:tmpl w:val="95649AFA"/>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32">
    <w:nsid w:val="2FD83878"/>
    <w:multiLevelType w:val="hybridMultilevel"/>
    <w:tmpl w:val="141AA16A"/>
    <w:lvl w:ilvl="0">
      <w:start w:val="1"/>
      <w:numFmt w:val="decimalEnclosedCircle"/>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33">
    <w:nsid w:val="340F713F"/>
    <w:multiLevelType w:val="hybridMultilevel"/>
    <w:tmpl w:val="AF1EC5D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4">
    <w:nsid w:val="34CE0C1D"/>
    <w:multiLevelType w:val="hybridMultilevel"/>
    <w:tmpl w:val="C758F68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5">
    <w:nsid w:val="37C820B9"/>
    <w:multiLevelType w:val="hybridMultilevel"/>
    <w:tmpl w:val="44E47464"/>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36">
    <w:nsid w:val="38C23229"/>
    <w:multiLevelType w:val="hybridMultilevel"/>
    <w:tmpl w:val="3274FCC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7">
    <w:nsid w:val="39F408BF"/>
    <w:multiLevelType w:val="hybridMultilevel"/>
    <w:tmpl w:val="5ABC58A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8">
    <w:nsid w:val="3A6861A1"/>
    <w:multiLevelType w:val="hybridMultilevel"/>
    <w:tmpl w:val="52669E9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39">
    <w:nsid w:val="3B7F351C"/>
    <w:multiLevelType w:val="hybridMultilevel"/>
    <w:tmpl w:val="5AC0CF7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0">
    <w:nsid w:val="3D4242AE"/>
    <w:multiLevelType w:val="hybridMultilevel"/>
    <w:tmpl w:val="84A0822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1">
    <w:nsid w:val="3D582669"/>
    <w:multiLevelType w:val="hybridMultilevel"/>
    <w:tmpl w:val="8FC8586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2">
    <w:nsid w:val="3DAD6160"/>
    <w:multiLevelType w:val="hybridMultilevel"/>
    <w:tmpl w:val="19703734"/>
    <w:lvl w:ilvl="0">
      <w:start w:val="1"/>
      <w:numFmt w:val="decimal"/>
      <w:lvlText w:val="%1)"/>
      <w:lvlJc w:val="left"/>
      <w:pPr>
        <w:ind w:left="420" w:hanging="420"/>
      </w:pPr>
    </w:lvl>
    <w:lvl w:ilvl="1">
      <w:start w:val="2"/>
      <w:numFmt w:val="decimal"/>
      <w:lvlText w:val="（%2）"/>
      <w:lvlJc w:val="left"/>
      <w:pPr>
        <w:tabs>
          <w:tab w:val="num" w:pos="1140"/>
        </w:tabs>
        <w:ind w:left="1140" w:hanging="720"/>
      </w:pPr>
      <w:rPr>
        <w:rFonts w:ascii="宋体" w:hAnsi="宋体" w:hint="default"/>
        <w:b/>
        <w:color w:val="auto"/>
        <w:sz w:val="24"/>
      </w:rPr>
    </w:lvl>
    <w:lvl w:ilvl="2">
      <w:start w:val="1"/>
      <w:numFmt w:val="decimal"/>
      <w:lvlText w:val="%3)"/>
      <w:lvlJc w:val="left"/>
      <w:pPr>
        <w:ind w:left="1260" w:hanging="420"/>
      </w:pPr>
    </w:lvl>
    <w:lvl w:ilvl="3">
      <w:start w:val="2"/>
      <w:numFmt w:val="decimal"/>
      <w:lvlText w:val="%4）"/>
      <w:lvlJc w:val="left"/>
      <w:pPr>
        <w:tabs>
          <w:tab w:val="num" w:pos="1620"/>
        </w:tabs>
        <w:ind w:left="1620" w:hanging="360"/>
      </w:pPr>
      <w:rPr>
        <w:rFonts w:ascii="宋体" w:hAnsi="宋体" w:hint="default"/>
        <w:b/>
        <w:color w:val="auto"/>
        <w:sz w:val="24"/>
      </w:r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3">
    <w:nsid w:val="3F1A12A8"/>
    <w:multiLevelType w:val="hybridMultilevel"/>
    <w:tmpl w:val="F80C736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4">
    <w:nsid w:val="3FD877C4"/>
    <w:multiLevelType w:val="hybridMultilevel"/>
    <w:tmpl w:val="C57492B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40FE10FF"/>
    <w:multiLevelType w:val="hybridMultilevel"/>
    <w:tmpl w:val="5F92EEE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6">
    <w:nsid w:val="417025DC"/>
    <w:multiLevelType w:val="hybridMultilevel"/>
    <w:tmpl w:val="209C741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7">
    <w:nsid w:val="41C85592"/>
    <w:multiLevelType w:val="hybridMultilevel"/>
    <w:tmpl w:val="02C246A6"/>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48">
    <w:nsid w:val="443A3A7E"/>
    <w:multiLevelType w:val="hybridMultilevel"/>
    <w:tmpl w:val="45B24D0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450D4E75"/>
    <w:multiLevelType w:val="hybridMultilevel"/>
    <w:tmpl w:val="62408EB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47346BDE"/>
    <w:multiLevelType w:val="hybridMultilevel"/>
    <w:tmpl w:val="010C86B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1">
    <w:nsid w:val="48455375"/>
    <w:multiLevelType w:val="hybridMultilevel"/>
    <w:tmpl w:val="DB365B5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2">
    <w:nsid w:val="4B1B146A"/>
    <w:multiLevelType w:val="hybridMultilevel"/>
    <w:tmpl w:val="C930DF8E"/>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53">
    <w:nsid w:val="4CB33F83"/>
    <w:multiLevelType w:val="hybridMultilevel"/>
    <w:tmpl w:val="6C9405D0"/>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54">
    <w:nsid w:val="4D5F76C2"/>
    <w:multiLevelType w:val="hybridMultilevel"/>
    <w:tmpl w:val="43B26DBA"/>
    <w:lvl w:ilvl="0">
      <w:start w:val="1"/>
      <w:numFmt w:val="decimalEnclosedCircle"/>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5">
    <w:nsid w:val="595443AF"/>
    <w:multiLevelType w:val="hybridMultilevel"/>
    <w:tmpl w:val="9A44BD1C"/>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56">
    <w:nsid w:val="60FD192B"/>
    <w:multiLevelType w:val="hybridMultilevel"/>
    <w:tmpl w:val="9B429F5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7">
    <w:nsid w:val="60FE356A"/>
    <w:multiLevelType w:val="hybridMultilevel"/>
    <w:tmpl w:val="D864240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8">
    <w:nsid w:val="61CC10FA"/>
    <w:multiLevelType w:val="hybridMultilevel"/>
    <w:tmpl w:val="025E5216"/>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9">
    <w:nsid w:val="62396A3E"/>
    <w:multiLevelType w:val="hybridMultilevel"/>
    <w:tmpl w:val="55F6138C"/>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60">
    <w:nsid w:val="64833523"/>
    <w:multiLevelType w:val="hybridMultilevel"/>
    <w:tmpl w:val="6D9C996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61">
    <w:nsid w:val="64B96B38"/>
    <w:multiLevelType w:val="hybridMultilevel"/>
    <w:tmpl w:val="415CCBF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62">
    <w:nsid w:val="658D0DD4"/>
    <w:multiLevelType w:val="hybridMultilevel"/>
    <w:tmpl w:val="595EDD7C"/>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63">
    <w:nsid w:val="65A42105"/>
    <w:multiLevelType w:val="hybridMultilevel"/>
    <w:tmpl w:val="FC2498E6"/>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64">
    <w:nsid w:val="66157F01"/>
    <w:multiLevelType w:val="hybridMultilevel"/>
    <w:tmpl w:val="399801F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65">
    <w:nsid w:val="66866758"/>
    <w:multiLevelType w:val="hybridMultilevel"/>
    <w:tmpl w:val="F55C4CE6"/>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66">
    <w:nsid w:val="679455AB"/>
    <w:multiLevelType w:val="hybridMultilevel"/>
    <w:tmpl w:val="86388C60"/>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67">
    <w:nsid w:val="68251201"/>
    <w:multiLevelType w:val="hybridMultilevel"/>
    <w:tmpl w:val="BD5AC330"/>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68">
    <w:nsid w:val="68DC117E"/>
    <w:multiLevelType w:val="hybridMultilevel"/>
    <w:tmpl w:val="808CF4F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69">
    <w:nsid w:val="69595C51"/>
    <w:multiLevelType w:val="hybridMultilevel"/>
    <w:tmpl w:val="B01CC6F8"/>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70">
    <w:nsid w:val="6A7E3E6E"/>
    <w:multiLevelType w:val="hybridMultilevel"/>
    <w:tmpl w:val="5C6CF7C8"/>
    <w:lvl w:ilvl="0">
      <w:start w:val="1"/>
      <w:numFmt w:val="decimal"/>
      <w:lvlText w:val="（%1）"/>
      <w:lvlJc w:val="left"/>
      <w:pPr>
        <w:ind w:left="1080" w:hanging="720"/>
      </w:pPr>
      <w:rPr>
        <w:rFonts w:hint="default"/>
        <w:sz w:val="24"/>
      </w:r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abstractNum w:abstractNumId="71">
    <w:nsid w:val="6C803681"/>
    <w:multiLevelType w:val="hybridMultilevel"/>
    <w:tmpl w:val="874E231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706C24FD"/>
    <w:multiLevelType w:val="hybridMultilevel"/>
    <w:tmpl w:val="8286F57A"/>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73">
    <w:nsid w:val="71326BD2"/>
    <w:multiLevelType w:val="hybridMultilevel"/>
    <w:tmpl w:val="4C84DE7C"/>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74">
    <w:nsid w:val="75B32D0A"/>
    <w:multiLevelType w:val="hybridMultilevel"/>
    <w:tmpl w:val="0AF0D50E"/>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75">
    <w:nsid w:val="774F66C8"/>
    <w:multiLevelType w:val="hybridMultilevel"/>
    <w:tmpl w:val="DD7C65BA"/>
    <w:lvl w:ilvl="0">
      <w:start w:val="1"/>
      <w:numFmt w:val="decimal"/>
      <w:lvlText w:val="%1."/>
      <w:lvlJc w:val="left"/>
      <w:pPr>
        <w:tabs>
          <w:tab w:val="num" w:pos="420"/>
        </w:tabs>
        <w:ind w:left="420" w:hanging="420"/>
      </w:p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
    <w:nsid w:val="779304BE"/>
    <w:multiLevelType w:val="hybridMultilevel"/>
    <w:tmpl w:val="591266D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7">
    <w:nsid w:val="78047DB2"/>
    <w:multiLevelType w:val="hybridMultilevel"/>
    <w:tmpl w:val="D9B6AD2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78">
    <w:nsid w:val="79632030"/>
    <w:multiLevelType w:val="hybridMultilevel"/>
    <w:tmpl w:val="F18AE73E"/>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79">
    <w:nsid w:val="7DE05412"/>
    <w:multiLevelType w:val="hybridMultilevel"/>
    <w:tmpl w:val="EBD61F0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80">
    <w:nsid w:val="7FB3426D"/>
    <w:multiLevelType w:val="hybridMultilevel"/>
    <w:tmpl w:val="267CCBF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76"/>
  </w:num>
  <w:num w:numId="2">
    <w:abstractNumId w:val="80"/>
  </w:num>
  <w:num w:numId="3">
    <w:abstractNumId w:val="75"/>
  </w:num>
  <w:num w:numId="4">
    <w:abstractNumId w:val="30"/>
  </w:num>
  <w:num w:numId="5">
    <w:abstractNumId w:val="20"/>
  </w:num>
  <w:num w:numId="6">
    <w:abstractNumId w:val="44"/>
  </w:num>
  <w:num w:numId="7">
    <w:abstractNumId w:val="0"/>
  </w:num>
  <w:num w:numId="8">
    <w:abstractNumId w:val="15"/>
  </w:num>
  <w:num w:numId="9">
    <w:abstractNumId w:val="49"/>
  </w:num>
  <w:num w:numId="10">
    <w:abstractNumId w:val="25"/>
  </w:num>
  <w:num w:numId="11">
    <w:abstractNumId w:val="27"/>
  </w:num>
  <w:num w:numId="12">
    <w:abstractNumId w:val="47"/>
  </w:num>
  <w:num w:numId="13">
    <w:abstractNumId w:val="10"/>
  </w:num>
  <w:num w:numId="14">
    <w:abstractNumId w:val="35"/>
  </w:num>
  <w:num w:numId="15">
    <w:abstractNumId w:val="14"/>
  </w:num>
  <w:num w:numId="16">
    <w:abstractNumId w:val="59"/>
  </w:num>
  <w:num w:numId="17">
    <w:abstractNumId w:val="18"/>
  </w:num>
  <w:num w:numId="18">
    <w:abstractNumId w:val="62"/>
  </w:num>
  <w:num w:numId="19">
    <w:abstractNumId w:val="6"/>
  </w:num>
  <w:num w:numId="20">
    <w:abstractNumId w:val="63"/>
  </w:num>
  <w:num w:numId="21">
    <w:abstractNumId w:val="65"/>
  </w:num>
  <w:num w:numId="22">
    <w:abstractNumId w:val="55"/>
  </w:num>
  <w:num w:numId="23">
    <w:abstractNumId w:val="53"/>
  </w:num>
  <w:num w:numId="24">
    <w:abstractNumId w:val="13"/>
  </w:num>
  <w:num w:numId="25">
    <w:abstractNumId w:val="52"/>
  </w:num>
  <w:num w:numId="26">
    <w:abstractNumId w:val="78"/>
  </w:num>
  <w:num w:numId="27">
    <w:abstractNumId w:val="66"/>
  </w:num>
  <w:num w:numId="28">
    <w:abstractNumId w:val="46"/>
  </w:num>
  <w:num w:numId="29">
    <w:abstractNumId w:val="9"/>
  </w:num>
  <w:num w:numId="30">
    <w:abstractNumId w:val="43"/>
  </w:num>
  <w:num w:numId="31">
    <w:abstractNumId w:val="58"/>
  </w:num>
  <w:num w:numId="32">
    <w:abstractNumId w:val="33"/>
  </w:num>
  <w:num w:numId="33">
    <w:abstractNumId w:val="29"/>
  </w:num>
  <w:num w:numId="34">
    <w:abstractNumId w:val="64"/>
  </w:num>
  <w:num w:numId="35">
    <w:abstractNumId w:val="17"/>
  </w:num>
  <w:num w:numId="36">
    <w:abstractNumId w:val="71"/>
  </w:num>
  <w:num w:numId="37">
    <w:abstractNumId w:val="48"/>
  </w:num>
  <w:num w:numId="38">
    <w:abstractNumId w:val="19"/>
  </w:num>
  <w:num w:numId="39">
    <w:abstractNumId w:val="67"/>
  </w:num>
  <w:num w:numId="40">
    <w:abstractNumId w:val="4"/>
  </w:num>
  <w:num w:numId="41">
    <w:abstractNumId w:val="56"/>
  </w:num>
  <w:num w:numId="42">
    <w:abstractNumId w:val="42"/>
  </w:num>
  <w:num w:numId="43">
    <w:abstractNumId w:val="60"/>
  </w:num>
  <w:num w:numId="44">
    <w:abstractNumId w:val="24"/>
  </w:num>
  <w:num w:numId="45">
    <w:abstractNumId w:val="12"/>
  </w:num>
  <w:num w:numId="46">
    <w:abstractNumId w:val="7"/>
  </w:num>
  <w:num w:numId="47">
    <w:abstractNumId w:val="72"/>
  </w:num>
  <w:num w:numId="48">
    <w:abstractNumId w:val="21"/>
  </w:num>
  <w:num w:numId="49">
    <w:abstractNumId w:val="32"/>
  </w:num>
  <w:num w:numId="50">
    <w:abstractNumId w:val="54"/>
  </w:num>
  <w:num w:numId="51">
    <w:abstractNumId w:val="70"/>
  </w:num>
  <w:num w:numId="52">
    <w:abstractNumId w:val="5"/>
  </w:num>
  <w:num w:numId="53">
    <w:abstractNumId w:val="74"/>
  </w:num>
  <w:num w:numId="54">
    <w:abstractNumId w:val="45"/>
  </w:num>
  <w:num w:numId="55">
    <w:abstractNumId w:val="36"/>
  </w:num>
  <w:num w:numId="56">
    <w:abstractNumId w:val="26"/>
  </w:num>
  <w:num w:numId="57">
    <w:abstractNumId w:val="77"/>
  </w:num>
  <w:num w:numId="58">
    <w:abstractNumId w:val="68"/>
  </w:num>
  <w:num w:numId="59">
    <w:abstractNumId w:val="38"/>
  </w:num>
  <w:num w:numId="60">
    <w:abstractNumId w:val="57"/>
  </w:num>
  <w:num w:numId="61">
    <w:abstractNumId w:val="69"/>
  </w:num>
  <w:num w:numId="62">
    <w:abstractNumId w:val="3"/>
  </w:num>
  <w:num w:numId="63">
    <w:abstractNumId w:val="23"/>
  </w:num>
  <w:num w:numId="64">
    <w:abstractNumId w:val="22"/>
  </w:num>
  <w:num w:numId="65">
    <w:abstractNumId w:val="40"/>
  </w:num>
  <w:num w:numId="66">
    <w:abstractNumId w:val="39"/>
  </w:num>
  <w:num w:numId="67">
    <w:abstractNumId w:val="37"/>
  </w:num>
  <w:num w:numId="68">
    <w:abstractNumId w:val="61"/>
  </w:num>
  <w:num w:numId="69">
    <w:abstractNumId w:val="28"/>
  </w:num>
  <w:num w:numId="70">
    <w:abstractNumId w:val="2"/>
  </w:num>
  <w:num w:numId="71">
    <w:abstractNumId w:val="8"/>
  </w:num>
  <w:num w:numId="72">
    <w:abstractNumId w:val="73"/>
  </w:num>
  <w:num w:numId="73">
    <w:abstractNumId w:val="50"/>
  </w:num>
  <w:num w:numId="74">
    <w:abstractNumId w:val="16"/>
  </w:num>
  <w:num w:numId="75">
    <w:abstractNumId w:val="11"/>
  </w:num>
  <w:num w:numId="76">
    <w:abstractNumId w:val="51"/>
  </w:num>
  <w:num w:numId="77">
    <w:abstractNumId w:val="41"/>
  </w:num>
  <w:num w:numId="78">
    <w:abstractNumId w:val="34"/>
  </w:num>
  <w:num w:numId="79">
    <w:abstractNumId w:val="79"/>
  </w:num>
  <w:num w:numId="80">
    <w:abstractNumId w:val="31"/>
  </w:num>
  <w:num w:numId="8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bordersDoNotSurroundHeader/>
  <w:bordersDoNotSurroundFooter/>
  <w:stylePaneFormatFilter w:val="3F01"/>
  <w:doNotTrackMoves/>
  <w:defaultTabStop w:val="31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1044"/>
    <w:rsid w:val="00010888"/>
    <w:rsid w:val="000269C8"/>
    <w:rsid w:val="00040863"/>
    <w:rsid w:val="00064449"/>
    <w:rsid w:val="00075718"/>
    <w:rsid w:val="000809E5"/>
    <w:rsid w:val="000A00E8"/>
    <w:rsid w:val="000A4472"/>
    <w:rsid w:val="000B4660"/>
    <w:rsid w:val="000B7883"/>
    <w:rsid w:val="000E5418"/>
    <w:rsid w:val="000F459B"/>
    <w:rsid w:val="000F5FBC"/>
    <w:rsid w:val="00113615"/>
    <w:rsid w:val="00122419"/>
    <w:rsid w:val="001341A0"/>
    <w:rsid w:val="00140455"/>
    <w:rsid w:val="001450C9"/>
    <w:rsid w:val="00147288"/>
    <w:rsid w:val="00176B89"/>
    <w:rsid w:val="001827B3"/>
    <w:rsid w:val="00184E1B"/>
    <w:rsid w:val="0019114D"/>
    <w:rsid w:val="0019602A"/>
    <w:rsid w:val="001A41CD"/>
    <w:rsid w:val="001F1219"/>
    <w:rsid w:val="001F54A9"/>
    <w:rsid w:val="00207700"/>
    <w:rsid w:val="00225F21"/>
    <w:rsid w:val="0024231F"/>
    <w:rsid w:val="00283609"/>
    <w:rsid w:val="00284993"/>
    <w:rsid w:val="002A5DD9"/>
    <w:rsid w:val="002F2B68"/>
    <w:rsid w:val="002F5A5F"/>
    <w:rsid w:val="0030334D"/>
    <w:rsid w:val="003117A1"/>
    <w:rsid w:val="00312655"/>
    <w:rsid w:val="00323BA4"/>
    <w:rsid w:val="003340E7"/>
    <w:rsid w:val="00343234"/>
    <w:rsid w:val="0035440D"/>
    <w:rsid w:val="00354445"/>
    <w:rsid w:val="0035542E"/>
    <w:rsid w:val="0035694E"/>
    <w:rsid w:val="00372036"/>
    <w:rsid w:val="003815A2"/>
    <w:rsid w:val="00385C63"/>
    <w:rsid w:val="00386B88"/>
    <w:rsid w:val="003B2BF7"/>
    <w:rsid w:val="003C009D"/>
    <w:rsid w:val="003C1ECF"/>
    <w:rsid w:val="00415A65"/>
    <w:rsid w:val="00422111"/>
    <w:rsid w:val="00470B1E"/>
    <w:rsid w:val="00475A11"/>
    <w:rsid w:val="0048515C"/>
    <w:rsid w:val="00486C8E"/>
    <w:rsid w:val="004A369B"/>
    <w:rsid w:val="004D63CF"/>
    <w:rsid w:val="004D7EC0"/>
    <w:rsid w:val="00507316"/>
    <w:rsid w:val="00512DC6"/>
    <w:rsid w:val="00522F03"/>
    <w:rsid w:val="00526756"/>
    <w:rsid w:val="005319E2"/>
    <w:rsid w:val="00540F9A"/>
    <w:rsid w:val="00560ADA"/>
    <w:rsid w:val="0056659F"/>
    <w:rsid w:val="005670D9"/>
    <w:rsid w:val="0059743C"/>
    <w:rsid w:val="005D0611"/>
    <w:rsid w:val="005E5D99"/>
    <w:rsid w:val="006010B6"/>
    <w:rsid w:val="006012DD"/>
    <w:rsid w:val="00603FD7"/>
    <w:rsid w:val="0060779A"/>
    <w:rsid w:val="00615BC2"/>
    <w:rsid w:val="00617CB8"/>
    <w:rsid w:val="0062482D"/>
    <w:rsid w:val="00654FAE"/>
    <w:rsid w:val="00656DA6"/>
    <w:rsid w:val="00660CD7"/>
    <w:rsid w:val="00673CA2"/>
    <w:rsid w:val="00675A75"/>
    <w:rsid w:val="0067798A"/>
    <w:rsid w:val="006915F5"/>
    <w:rsid w:val="006939AB"/>
    <w:rsid w:val="006B0D8C"/>
    <w:rsid w:val="006B671A"/>
    <w:rsid w:val="006D6346"/>
    <w:rsid w:val="006D6AE9"/>
    <w:rsid w:val="006F0907"/>
    <w:rsid w:val="006F71D4"/>
    <w:rsid w:val="00710F1B"/>
    <w:rsid w:val="00712B57"/>
    <w:rsid w:val="00717364"/>
    <w:rsid w:val="00742F56"/>
    <w:rsid w:val="007439E1"/>
    <w:rsid w:val="00753182"/>
    <w:rsid w:val="007B02A5"/>
    <w:rsid w:val="007B4754"/>
    <w:rsid w:val="007B654F"/>
    <w:rsid w:val="007D7D0E"/>
    <w:rsid w:val="007F64C5"/>
    <w:rsid w:val="008216CB"/>
    <w:rsid w:val="00860241"/>
    <w:rsid w:val="0086078E"/>
    <w:rsid w:val="008A35D3"/>
    <w:rsid w:val="008A6D4D"/>
    <w:rsid w:val="008A6F4A"/>
    <w:rsid w:val="008B3E1C"/>
    <w:rsid w:val="008D7096"/>
    <w:rsid w:val="008E0A99"/>
    <w:rsid w:val="008F02D6"/>
    <w:rsid w:val="008F1B86"/>
    <w:rsid w:val="008F6731"/>
    <w:rsid w:val="00914BB5"/>
    <w:rsid w:val="00916275"/>
    <w:rsid w:val="00920370"/>
    <w:rsid w:val="009354FB"/>
    <w:rsid w:val="00943872"/>
    <w:rsid w:val="00946B77"/>
    <w:rsid w:val="0094782F"/>
    <w:rsid w:val="009556D8"/>
    <w:rsid w:val="00955A32"/>
    <w:rsid w:val="00965F46"/>
    <w:rsid w:val="009664B3"/>
    <w:rsid w:val="00966DB0"/>
    <w:rsid w:val="009711AB"/>
    <w:rsid w:val="0097544A"/>
    <w:rsid w:val="00977FF9"/>
    <w:rsid w:val="009B469B"/>
    <w:rsid w:val="009C2A21"/>
    <w:rsid w:val="009C5771"/>
    <w:rsid w:val="009E249F"/>
    <w:rsid w:val="009E347E"/>
    <w:rsid w:val="009F49DA"/>
    <w:rsid w:val="00A64155"/>
    <w:rsid w:val="00A710E8"/>
    <w:rsid w:val="00A714B4"/>
    <w:rsid w:val="00A71F94"/>
    <w:rsid w:val="00A87F19"/>
    <w:rsid w:val="00A94882"/>
    <w:rsid w:val="00AD4765"/>
    <w:rsid w:val="00AE5595"/>
    <w:rsid w:val="00AE681D"/>
    <w:rsid w:val="00AF5356"/>
    <w:rsid w:val="00B02D95"/>
    <w:rsid w:val="00B11044"/>
    <w:rsid w:val="00B13A61"/>
    <w:rsid w:val="00B6233D"/>
    <w:rsid w:val="00BB358A"/>
    <w:rsid w:val="00BC5D54"/>
    <w:rsid w:val="00BD1ABE"/>
    <w:rsid w:val="00BD1D82"/>
    <w:rsid w:val="00BF2960"/>
    <w:rsid w:val="00C008D4"/>
    <w:rsid w:val="00C00E2B"/>
    <w:rsid w:val="00C03A4D"/>
    <w:rsid w:val="00C0521E"/>
    <w:rsid w:val="00C20586"/>
    <w:rsid w:val="00C54A76"/>
    <w:rsid w:val="00C5671E"/>
    <w:rsid w:val="00C63A8C"/>
    <w:rsid w:val="00CA0CD1"/>
    <w:rsid w:val="00CE4D21"/>
    <w:rsid w:val="00CF0223"/>
    <w:rsid w:val="00D030ED"/>
    <w:rsid w:val="00D0544E"/>
    <w:rsid w:val="00D34DF1"/>
    <w:rsid w:val="00D61289"/>
    <w:rsid w:val="00D82C8A"/>
    <w:rsid w:val="00D85E96"/>
    <w:rsid w:val="00DB1192"/>
    <w:rsid w:val="00DE1E6F"/>
    <w:rsid w:val="00E055A4"/>
    <w:rsid w:val="00E138DD"/>
    <w:rsid w:val="00E22199"/>
    <w:rsid w:val="00E82D3E"/>
    <w:rsid w:val="00E860D7"/>
    <w:rsid w:val="00E86330"/>
    <w:rsid w:val="00E90756"/>
    <w:rsid w:val="00EA7C7D"/>
    <w:rsid w:val="00EB7686"/>
    <w:rsid w:val="00EC70AF"/>
    <w:rsid w:val="00EE21B3"/>
    <w:rsid w:val="00F361C9"/>
    <w:rsid w:val="00F62FF2"/>
    <w:rsid w:val="00F663A4"/>
    <w:rsid w:val="00F7632D"/>
    <w:rsid w:val="00F846A8"/>
    <w:rsid w:val="00FC290C"/>
    <w:rsid w:val="00FC4B32"/>
    <w:rsid w:val="00FD097F"/>
    <w:rsid w:val="00FD6804"/>
    <w:rsid w:val="00FD73AA"/>
    <w:rsid w:val="00FF42E7"/>
    <w:rsid w:val="00FF4F1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widowControl/>
      <w:jc w:val="left"/>
    </w:pPr>
    <w:rPr>
      <w:sz w:val="32"/>
      <w:szCs w:val="28"/>
    </w:rPr>
  </w:style>
  <w:style w:type="paragraph" w:styleId="BodyText2">
    <w:name w:val="Body Text 2"/>
    <w:basedOn w:val="Normal"/>
    <w:link w:val="2Char"/>
    <w:pPr>
      <w:tabs>
        <w:tab w:val="left" w:pos="0"/>
      </w:tabs>
      <w:jc w:val="center"/>
    </w:pPr>
    <w:rPr>
      <w:sz w:val="32"/>
    </w:rPr>
  </w:style>
  <w:style w:type="character" w:customStyle="1" w:styleId="hangju">
    <w:name w:val="hangju"/>
    <w:basedOn w:val="DefaultParagraphFont"/>
    <w:rsid w:val="00860241"/>
  </w:style>
  <w:style w:type="character" w:customStyle="1" w:styleId="2Char">
    <w:name w:val="正文文本 2 Char"/>
    <w:link w:val="BodyText2"/>
    <w:rsid w:val="00386B88"/>
    <w:rPr>
      <w:rFonts w:eastAsia="宋体"/>
      <w:kern w:val="2"/>
      <w:sz w:val="32"/>
      <w:szCs w:val="24"/>
      <w:lang w:val="en-US" w:eastAsia="zh-CN" w:bidi="ar-SA"/>
    </w:rPr>
  </w:style>
  <w:style w:type="character" w:customStyle="1" w:styleId="CharChar3">
    <w:name w:val=" Char Char3"/>
    <w:rsid w:val="0035694E"/>
    <w:rPr>
      <w:rFonts w:ascii="Times New Roman" w:eastAsia="宋体" w:hAnsi="Times New Roman" w:cs="Times New Roman"/>
      <w:sz w:val="32"/>
      <w:szCs w:val="24"/>
    </w:rPr>
  </w:style>
  <w:style w:type="character" w:styleId="Hyperlink">
    <w:name w:val="Hyperlink"/>
    <w:rsid w:val="0019602A"/>
    <w:rPr>
      <w:color w:val="136EC2"/>
      <w:u w:val="single"/>
      <w:effect w:val="none"/>
    </w:rPr>
  </w:style>
  <w:style w:type="paragraph" w:styleId="NormalWeb">
    <w:name w:val="Normal (Web)"/>
    <w:basedOn w:val="Normal"/>
    <w:uiPriority w:val="99"/>
    <w:rsid w:val="0019602A"/>
    <w:pPr>
      <w:widowControl/>
      <w:spacing w:before="100" w:beforeAutospacing="1" w:after="100" w:afterAutospacing="1"/>
      <w:jc w:val="left"/>
    </w:pPr>
    <w:rPr>
      <w:rFonts w:ascii="宋体" w:hAnsi="宋体" w:cs="宋体"/>
      <w:kern w:val="0"/>
      <w:sz w:val="24"/>
    </w:rPr>
  </w:style>
  <w:style w:type="paragraph" w:styleId="ListParagraph">
    <w:name w:val="List Paragraph"/>
    <w:basedOn w:val="Normal"/>
    <w:qFormat/>
    <w:rsid w:val="007F64C5"/>
    <w:pPr>
      <w:ind w:firstLine="420" w:firstLineChars="200"/>
    </w:pPr>
    <w:rPr>
      <w:rFonts w:ascii="Calibri" w:hAnsi="Calibri"/>
      <w:szCs w:val="22"/>
    </w:rPr>
  </w:style>
  <w:style w:type="paragraph" w:styleId="HTMLPreformatted">
    <w:name w:val="HTML Preformatted"/>
    <w:basedOn w:val="Normal"/>
    <w:link w:val="HTMLChar"/>
    <w:semiHidden/>
    <w:unhideWhenUsed/>
    <w:rsid w:val="005D06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Preformatted"/>
    <w:semiHidden/>
    <w:rsid w:val="005D0611"/>
    <w:rPr>
      <w:rFonts w:ascii="宋体" w:eastAsia="宋体" w:hAnsi="宋体" w:cs="宋体"/>
      <w:sz w:val="24"/>
      <w:szCs w:val="24"/>
      <w:lang w:val="en-US" w:eastAsia="zh-CN" w:bidi="ar-SA"/>
    </w:rPr>
  </w:style>
  <w:style w:type="paragraph" w:styleId="Header">
    <w:name w:val="header"/>
    <w:basedOn w:val="Normal"/>
    <w:link w:val="Char"/>
    <w:rsid w:val="00CA0CD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CA0CD1"/>
    <w:rPr>
      <w:kern w:val="2"/>
      <w:sz w:val="18"/>
      <w:szCs w:val="18"/>
    </w:rPr>
  </w:style>
  <w:style w:type="paragraph" w:styleId="Footer">
    <w:name w:val="footer"/>
    <w:basedOn w:val="Normal"/>
    <w:link w:val="Char0"/>
    <w:rsid w:val="00CA0CD1"/>
    <w:pPr>
      <w:tabs>
        <w:tab w:val="center" w:pos="4153"/>
        <w:tab w:val="right" w:pos="8306"/>
      </w:tabs>
      <w:snapToGrid w:val="0"/>
      <w:jc w:val="left"/>
    </w:pPr>
    <w:rPr>
      <w:sz w:val="18"/>
      <w:szCs w:val="18"/>
    </w:rPr>
  </w:style>
  <w:style w:type="character" w:customStyle="1" w:styleId="Char0">
    <w:name w:val="页脚 Char"/>
    <w:link w:val="Footer"/>
    <w:rsid w:val="00CA0CD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baike.baidu.com/view/1167645.htm" TargetMode="External" /><Relationship Id="rId11" Type="http://schemas.openxmlformats.org/officeDocument/2006/relationships/hyperlink" Target="https://d.book118.com/335023133212011114"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baike.baidu.com/view/1344052.htm" TargetMode="External" /><Relationship Id="rId6" Type="http://schemas.openxmlformats.org/officeDocument/2006/relationships/hyperlink" Target="http://baike.baidu.com/view/2085.htm" TargetMode="External" /><Relationship Id="rId7" Type="http://schemas.openxmlformats.org/officeDocument/2006/relationships/hyperlink" Target="http://baike.baidu.com/view/76932.htm" TargetMode="External" /><Relationship Id="rId8" Type="http://schemas.openxmlformats.org/officeDocument/2006/relationships/hyperlink" Target="http://baike.baidu.com/view/500386.htm" TargetMode="External" /><Relationship Id="rId9" Type="http://schemas.openxmlformats.org/officeDocument/2006/relationships/hyperlink" Target="http://baike.baidu.com/view/176.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BE83D-DE06-41D2-A139-22368A215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20</Pages>
  <Words>3785</Words>
  <Characters>21579</Characters>
  <Application>Microsoft Office Word</Application>
  <DocSecurity>0</DocSecurity>
  <Lines>179</Lines>
  <Paragraphs>50</Paragraphs>
  <ScaleCrop>false</ScaleCrop>
  <Company>AAA</Company>
  <LinksUpToDate>false</LinksUpToDate>
  <CharactersWithSpaces>25314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复习参考题</dc:title>
  <dc:creator>LSB</dc:creator>
  <cp:lastModifiedBy>PukWang</cp:lastModifiedBy>
  <cp:revision>49</cp:revision>
  <dcterms:created xsi:type="dcterms:W3CDTF">2011-06-21T02:59:00Z</dcterms:created>
  <dcterms:modified xsi:type="dcterms:W3CDTF">2011-06-24T08:42:00Z</dcterms:modified>
</cp:coreProperties>
</file>