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特种海绵项目策划方案报告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一、特种海绵行业发展形势分析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(一)、特种海绵行业发展形势分析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二、SWOT分析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三、公司简介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_Toc32434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0" w:history="1">
        <w:r>
          <w:rPr>
            <w:rFonts w:ascii="仿宋" w:eastAsia="仿宋" w:hAnsi="仿宋" w:cs="仿宋" w:hint="eastAsia"/>
            <w:lang w:eastAsia="zh-CN"/>
          </w:rPr>
          <w:t>四、特种海绵项目总体情况说明</w:t>
        </w:r>
        <w:r>
          <w:tab/>
        </w:r>
        <w:r>
          <w:fldChar w:fldCharType="begin"/>
        </w:r>
        <w:r>
          <w:instrText xml:space="preserve"> PAGEREF _Toc20640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2" w:history="1">
        <w:r>
          <w:rPr>
            <w:rFonts w:ascii="仿宋" w:eastAsia="仿宋" w:hAnsi="仿宋" w:cs="仿宋" w:hint="eastAsia"/>
            <w:lang w:eastAsia="zh-CN"/>
          </w:rPr>
          <w:t>(二)、特种海绵项目情况说明</w:t>
        </w:r>
        <w:r>
          <w:tab/>
        </w:r>
        <w:r>
          <w:fldChar w:fldCharType="begin"/>
        </w:r>
        <w:r>
          <w:instrText xml:space="preserve"> PAGEREF _Toc17382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6" w:history="1">
        <w:r>
          <w:rPr>
            <w:rFonts w:ascii="仿宋" w:eastAsia="仿宋" w:hAnsi="仿宋" w:cs="仿宋" w:hint="eastAsia"/>
            <w:lang w:eastAsia="zh-CN"/>
          </w:rPr>
          <w:t>五、经营分析</w:t>
        </w:r>
        <w:r>
          <w:tab/>
        </w:r>
        <w:r>
          <w:fldChar w:fldCharType="begin"/>
        </w:r>
        <w:r>
          <w:instrText xml:space="preserve"> PAGEREF _Toc23266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(二)、特种海绵项目运营组织结构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_Toc15450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_Toc12790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七、风险应对评估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_Toc3819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_Toc12675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(一)、特种海绵项目风险分析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" w:history="1">
        <w:r>
          <w:rPr>
            <w:rFonts w:ascii="仿宋" w:eastAsia="仿宋" w:hAnsi="仿宋" w:cs="仿宋" w:hint="eastAsia"/>
            <w:lang w:eastAsia="zh-CN"/>
          </w:rPr>
          <w:t>(二)、特种海绵项目风险对策</w:t>
        </w:r>
        <w:r>
          <w:tab/>
        </w:r>
        <w:r>
          <w:fldChar w:fldCharType="begin"/>
        </w:r>
        <w:r>
          <w:instrText xml:space="preserve"> PAGEREF _Toc1598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九、特种海绵项目风险分析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(一)、特种海绵项目风险分析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(二)、特种海绵项目风险对策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4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_Toc14234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7" w:history="1">
        <w:r>
          <w:rPr>
            <w:rFonts w:ascii="仿宋" w:eastAsia="仿宋" w:hAnsi="仿宋" w:cs="仿宋" w:hint="eastAsia"/>
            <w:lang w:eastAsia="zh-CN"/>
          </w:rPr>
          <w:t>(一)、特种海绵项目工程设计总体要求</w:t>
        </w:r>
        <w:r>
          <w:tab/>
        </w:r>
        <w:r>
          <w:fldChar w:fldCharType="begin"/>
        </w:r>
        <w:r>
          <w:instrText xml:space="preserve"> PAGEREF _Toc7927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97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_Toc24897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_Toc6581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5" w:history="1">
        <w:r>
          <w:rPr>
            <w:rFonts w:ascii="仿宋" w:eastAsia="仿宋" w:hAnsi="仿宋" w:cs="仿宋" w:hint="eastAsia"/>
            <w:lang w:eastAsia="zh-CN"/>
          </w:rPr>
          <w:t>十一、经济效益分析</w:t>
        </w:r>
        <w:r>
          <w:tab/>
        </w:r>
        <w:r>
          <w:fldChar w:fldCharType="begin"/>
        </w:r>
        <w:r>
          <w:instrText xml:space="preserve"> PAGEREF _Toc30995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_Toc27834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_Toc6321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" w:history="1">
        <w:r>
          <w:rPr>
            <w:rFonts w:ascii="仿宋" w:eastAsia="仿宋" w:hAnsi="仿宋" w:cs="仿宋" w:hint="eastAsia"/>
            <w:lang w:eastAsia="zh-CN"/>
          </w:rPr>
          <w:t>(三)、特种海绵项目盈利能力分析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_Toc27853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十二、监测和评估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(一)、特种海绵项目监测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6" w:history="1">
        <w:r>
          <w:rPr>
            <w:rFonts w:ascii="仿宋" w:eastAsia="仿宋" w:hAnsi="仿宋" w:cs="仿宋" w:hint="eastAsia"/>
            <w:lang w:eastAsia="zh-CN"/>
          </w:rPr>
          <w:t>(二)、特种海绵项目评估</w:t>
        </w:r>
        <w:r>
          <w:tab/>
        </w:r>
        <w:r>
          <w:fldChar w:fldCharType="begin"/>
        </w:r>
        <w:r>
          <w:instrText xml:space="preserve"> PAGEREF _Toc30936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十三、项目招标方案及组织管理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7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_Toc13577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7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_Toc17317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9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_Toc20569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4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_Toc7644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1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1" w:history="1">
        <w:r>
          <w:rPr>
            <w:rFonts w:ascii="仿宋" w:eastAsia="仿宋" w:hAnsi="仿宋" w:cs="仿宋" w:hint="eastAsia"/>
            <w:lang w:eastAsia="zh-CN"/>
          </w:rPr>
          <w:t>(二)、特种海绵项目技术工艺分析</w:t>
        </w:r>
        <w:r>
          <w:tab/>
        </w:r>
        <w:r>
          <w:fldChar w:fldCharType="begin"/>
        </w:r>
        <w:r>
          <w:instrText xml:space="preserve"> PAGEREF _Toc3991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(三)、特种海绵项目技术流程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7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_Toc29537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eastAsia="zh-CN"/>
          </w:rPr>
          <w:t>十六、安全与环境问题的沟通与协调</w:t>
        </w:r>
        <w:r>
          <w:tab/>
        </w:r>
        <w:r>
          <w:fldChar w:fldCharType="begin"/>
        </w:r>
        <w:r>
          <w:instrText xml:space="preserve"> PAGEREF _Toc10325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8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_Toc16368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_Toc8378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eastAsia="zh-CN"/>
          </w:rPr>
          <w:t>(二)、生产过程控制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5" w:history="1">
        <w:r>
          <w:rPr>
            <w:rFonts w:ascii="仿宋" w:eastAsia="仿宋" w:hAnsi="仿宋" w:cs="仿宋" w:hint="eastAsia"/>
            <w:lang w:eastAsia="zh-CN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_Toc26295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十八、客户关系管理方案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_Toc920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" w:history="1">
        <w:r>
          <w:rPr>
            <w:rFonts w:ascii="仿宋" w:eastAsia="仿宋" w:hAnsi="仿宋" w:cs="仿宋" w:hint="eastAsia"/>
            <w:lang w:eastAsia="zh-CN"/>
          </w:rPr>
          <w:t>十九、项目技术流程</w:t>
        </w:r>
        <w:r>
          <w:tab/>
        </w:r>
        <w:r>
          <w:fldChar w:fldCharType="begin"/>
        </w:r>
        <w:r>
          <w:instrText xml:space="preserve"> PAGEREF _Toc673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1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_Toc15511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246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_Toc10246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二十、信息化建设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8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_Toc22098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二十一、特种海绵项目监督与评估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1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_Toc20651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02"/>
      <w:r>
        <w:rPr>
          <w:rFonts w:ascii="仿宋" w:eastAsia="仿宋" w:hAnsi="仿宋" w:cs="仿宋" w:hint="eastAsia"/>
          <w:sz w:val="28"/>
          <w:lang w:eastAsia="zh-CN"/>
        </w:rPr>
        <w:t>一、特种海绵行业发展形势分析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08"/>
      <w:r>
        <w:rPr>
          <w:rFonts w:ascii="仿宋" w:eastAsia="仿宋" w:hAnsi="仿宋" w:cs="仿宋" w:hint="eastAsia"/>
          <w:lang w:eastAsia="zh-CN"/>
        </w:rPr>
        <w:t>(一)、特种海绵行业发展形势分析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特种海绵行业市场规模与发展趋势：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我们需要对特种海绵行业的市场规模和发展趋势进行详细分析。通过了解该行业的总体规模和过去几年的增长情况，企业可以评估市场的吸引力和潜在机会。如果该行业显示出稳定增长的态势，企业可以放心地考虑扩大业务规模。相反，如果市场规模较小或增长缓慢，企业可能需要更加谨慎地制定战略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特种海绵行业竞争格局和市场份额：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https://d.book118.com/335133132324011121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特种海绵项目策划方案报告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特种海绵项目策划方案报告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特种海绵项目策划方案报告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特种海绵项目策划方案报告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特种海绵项目策划方案报告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CF9"/>
    <w:rsid w:val="00F54CF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13313232401112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2024-03-11T15:18:00Z</dcterms:created>
  <dcterms:modified xsi:type="dcterms:W3CDTF">2024-03-11T15:19:07Z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1D51C4D7294F407298CC445C82650879_11</vt:lpwstr>
  </property>
  <property fmtid="{D5CDD505-2E9C-101B-9397-08002B2CF9AE}" pid="3" name="KSOProductBuildVer">
    <vt:lpwstr>2052-12.1.0.16399</vt:lpwstr>
  </property>
</Properties>
</file>