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tabs>
          <w:tab w:val="left" w:pos="2160"/>
        </w:tabs>
        <w:spacing w:before="37"/>
        <w:ind w:left="0" w:right="6695" w:firstLine="0"/>
        <w:jc w:val="center"/>
        <w:rPr>
          <w:rFonts w:ascii="宋体" w:eastAsia="宋体" w:hint="eastAsia"/>
          <w:sz w:val="27"/>
        </w:rPr>
      </w:pPr>
      <w:r>
        <w:pict>
          <v:group id="_x0000_s1025" style="width:893pt;height:1248pt;margin-top:0;margin-left:0;mso-position-horizontal-relative:page;mso-position-vertical-relative:page;position:absolute;z-index:-251658240" coordorigin="0,0" coordsize="17860,24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7860;height:24960;position:absolute" stroked="f">
              <v:imagedata r:id="rId4" o:title=""/>
            </v:shape>
            <v:shape id="_x0000_s1027" type="#_x0000_t75" style="width:8921;height:8132;left:4893;position:absolute;top:5751" stroked="f">
              <v:imagedata r:id="rId5" o:title=""/>
            </v:shape>
          </v:group>
        </w:pict>
      </w:r>
      <w:r>
        <w:rPr>
          <w:rFonts w:ascii="宋体" w:eastAsia="宋体" w:hint="eastAsia"/>
          <w:sz w:val="27"/>
        </w:rPr>
        <w:t>范文</w:t>
      </w:r>
      <w:r>
        <w:rPr>
          <w:rFonts w:ascii="宋体" w:eastAsia="宋体" w:hint="eastAsia"/>
          <w:spacing w:val="1"/>
          <w:sz w:val="27"/>
        </w:rPr>
        <w:t xml:space="preserve"> </w:t>
      </w:r>
      <w:r>
        <w:rPr>
          <w:rFonts w:ascii="宋体" w:eastAsia="宋体" w:hint="eastAsia"/>
          <w:sz w:val="27"/>
        </w:rPr>
        <w:t>范例</w:t>
      </w:r>
      <w:r>
        <w:rPr>
          <w:rFonts w:ascii="宋体" w:eastAsia="宋体" w:hint="eastAsia"/>
          <w:spacing w:val="-1"/>
          <w:sz w:val="27"/>
        </w:rPr>
        <w:t xml:space="preserve"> </w:t>
      </w:r>
      <w:r>
        <w:rPr>
          <w:rFonts w:ascii="宋体" w:eastAsia="宋体" w:hint="eastAsia"/>
          <w:sz w:val="27"/>
        </w:rPr>
        <w:t>指导</w:t>
        <w:tab/>
        <w:t>参考</w:t>
      </w:r>
    </w:p>
    <w:p>
      <w:pPr>
        <w:pStyle w:val="BodyText"/>
        <w:rPr>
          <w:rFonts w:ascii="宋体"/>
          <w:sz w:val="26"/>
        </w:rPr>
      </w:pPr>
    </w:p>
    <w:p>
      <w:pPr>
        <w:pStyle w:val="BodyText"/>
        <w:rPr>
          <w:rFonts w:ascii="宋体"/>
          <w:sz w:val="26"/>
        </w:rPr>
      </w:pPr>
    </w:p>
    <w:p>
      <w:pPr>
        <w:pStyle w:val="BodyText"/>
        <w:rPr>
          <w:rFonts w:ascii="宋体"/>
          <w:sz w:val="26"/>
        </w:rPr>
      </w:pPr>
    </w:p>
    <w:p>
      <w:pPr>
        <w:pStyle w:val="BodyText"/>
        <w:spacing w:before="12"/>
        <w:rPr>
          <w:rFonts w:ascii="宋体"/>
          <w:sz w:val="32"/>
        </w:rPr>
      </w:pPr>
    </w:p>
    <w:p>
      <w:pPr>
        <w:spacing w:before="0"/>
        <w:ind w:left="2168" w:right="2115" w:firstLine="0"/>
        <w:jc w:val="center"/>
        <w:rPr>
          <w:b/>
          <w:sz w:val="48"/>
        </w:rPr>
      </w:pPr>
      <w:r>
        <w:rPr>
          <w:b/>
          <w:sz w:val="48"/>
        </w:rPr>
        <w:t>瑞丽至腾冲高速公路瑞丽至陇川段建设项目</w:t>
      </w: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34"/>
        </w:rPr>
      </w:pPr>
    </w:p>
    <w:p>
      <w:pPr>
        <w:spacing w:before="0"/>
        <w:ind w:left="0" w:right="6789" w:firstLine="0"/>
        <w:jc w:val="center"/>
        <w:rPr>
          <w:b/>
          <w:sz w:val="29"/>
        </w:rPr>
      </w:pPr>
      <w:r>
        <w:rPr>
          <w:b/>
          <w:sz w:val="29"/>
        </w:rPr>
        <w:t>钻孔桩（旋挖钻）施工专项方案</w:t>
      </w:r>
    </w:p>
    <w:p>
      <w:pPr>
        <w:pStyle w:val="BodyText"/>
        <w:rPr>
          <w:b/>
          <w:sz w:val="28"/>
        </w:rPr>
      </w:pPr>
    </w:p>
    <w:p>
      <w:pPr>
        <w:pStyle w:val="BodyText"/>
        <w:rPr>
          <w:b/>
          <w:sz w:val="28"/>
        </w:rPr>
      </w:pPr>
    </w:p>
    <w:p>
      <w:pPr>
        <w:pStyle w:val="BodyText"/>
        <w:rPr>
          <w:b/>
          <w:sz w:val="28"/>
        </w:rPr>
      </w:pPr>
    </w:p>
    <w:p>
      <w:pPr>
        <w:pStyle w:val="BodyText"/>
        <w:rPr>
          <w:b/>
          <w:sz w:val="28"/>
        </w:rPr>
      </w:pPr>
    </w:p>
    <w:p>
      <w:pPr>
        <w:pStyle w:val="BodyText"/>
        <w:rPr>
          <w:b/>
          <w:sz w:val="28"/>
        </w:rPr>
      </w:pPr>
    </w:p>
    <w:p>
      <w:pPr>
        <w:pStyle w:val="BodyText"/>
        <w:rPr>
          <w:b/>
          <w:sz w:val="28"/>
        </w:rPr>
      </w:pPr>
    </w:p>
    <w:p>
      <w:pPr>
        <w:pStyle w:val="BodyText"/>
        <w:rPr>
          <w:b/>
          <w:sz w:val="28"/>
        </w:rPr>
      </w:pPr>
    </w:p>
    <w:p>
      <w:pPr>
        <w:pStyle w:val="BodyText"/>
        <w:rPr>
          <w:b/>
          <w:sz w:val="28"/>
        </w:rPr>
      </w:pPr>
    </w:p>
    <w:p>
      <w:pPr>
        <w:pStyle w:val="BodyText"/>
        <w:rPr>
          <w:b/>
          <w:sz w:val="28"/>
        </w:rPr>
      </w:pPr>
    </w:p>
    <w:p>
      <w:pPr>
        <w:pStyle w:val="BodyText"/>
        <w:rPr>
          <w:b/>
          <w:sz w:val="28"/>
        </w:rPr>
      </w:pPr>
    </w:p>
    <w:p>
      <w:pPr>
        <w:pStyle w:val="BodyText"/>
        <w:rPr>
          <w:b/>
          <w:sz w:val="28"/>
        </w:rPr>
      </w:pPr>
    </w:p>
    <w:p>
      <w:pPr>
        <w:pStyle w:val="BodyText"/>
        <w:rPr>
          <w:b/>
          <w:sz w:val="28"/>
        </w:rPr>
      </w:pPr>
    </w:p>
    <w:p>
      <w:pPr>
        <w:spacing w:before="201" w:line="364" w:lineRule="auto"/>
        <w:ind w:left="418" w:right="1568" w:firstLine="0"/>
        <w:jc w:val="left"/>
        <w:rPr>
          <w:b/>
          <w:sz w:val="48"/>
        </w:rPr>
      </w:pPr>
      <w:r>
        <w:rPr>
          <w:b/>
          <w:spacing w:val="-1"/>
          <w:w w:val="95"/>
          <w:sz w:val="48"/>
        </w:rPr>
        <w:t xml:space="preserve">编制单位：西南交建集团瑞陇高速公路第一合同项目部 </w:t>
      </w:r>
      <w:r>
        <w:rPr>
          <w:b/>
          <w:sz w:val="48"/>
        </w:rPr>
        <w:t>编制时间：二○一四年三月二日</w:t>
      </w:r>
    </w:p>
    <w:p>
      <w:pPr>
        <w:pStyle w:val="BodyText"/>
        <w:rPr>
          <w:b/>
          <w:sz w:val="48"/>
        </w:rPr>
      </w:pPr>
    </w:p>
    <w:p>
      <w:pPr>
        <w:pStyle w:val="BodyText"/>
        <w:rPr>
          <w:b/>
          <w:sz w:val="48"/>
        </w:rPr>
      </w:pPr>
    </w:p>
    <w:p>
      <w:pPr>
        <w:pStyle w:val="BodyText"/>
        <w:spacing w:before="5"/>
        <w:rPr>
          <w:b/>
          <w:sz w:val="67"/>
        </w:rPr>
      </w:pPr>
    </w:p>
    <w:p>
      <w:pPr>
        <w:spacing w:before="1"/>
        <w:ind w:left="4476"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版 整理</w:t>
      </w:r>
    </w:p>
    <w:p>
      <w:pPr>
        <w:spacing w:after="0"/>
        <w:jc w:val="left"/>
        <w:rPr>
          <w:rFonts w:ascii="宋体" w:eastAsia="宋体" w:hint="eastAsia"/>
          <w:sz w:val="27"/>
        </w:rPr>
        <w:sectPr>
          <w:type w:val="continuous"/>
          <w:pgSz w:w="17860" w:h="25260"/>
          <w:pgMar w:top="1020" w:right="1820" w:bottom="280" w:left="2560" w:header="708" w:footer="708"/>
          <w:cols w:space="708"/>
        </w:sectPr>
      </w:pPr>
    </w:p>
    <w:p>
      <w:pPr>
        <w:tabs>
          <w:tab w:val="left" w:pos="4202"/>
        </w:tabs>
        <w:spacing w:before="37"/>
        <w:ind w:left="2041" w:right="0" w:firstLine="0"/>
        <w:jc w:val="left"/>
        <w:rPr>
          <w:rFonts w:ascii="宋体" w:eastAsia="宋体" w:hint="eastAsia"/>
          <w:sz w:val="27"/>
        </w:rPr>
      </w:pPr>
      <w:r>
        <w:drawing>
          <wp:anchor distT="0" distB="0" distL="0" distR="0" simplePos="0" relativeHeight="251659264" behindDoc="1" locked="0" layoutInCell="1" allowOverlap="1">
            <wp:simplePos x="0" y="0"/>
            <wp:positionH relativeFrom="page">
              <wp:posOffset>0</wp:posOffset>
            </wp:positionH>
            <wp:positionV relativeFrom="page">
              <wp:posOffset>0</wp:posOffset>
            </wp:positionV>
            <wp:extent cx="11340845" cy="15849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宋体" w:eastAsia="宋体" w:hint="eastAsia"/>
          <w:sz w:val="27"/>
        </w:rPr>
        <w:t>范文</w:t>
      </w:r>
      <w:r>
        <w:rPr>
          <w:rFonts w:ascii="宋体" w:eastAsia="宋体" w:hint="eastAsia"/>
          <w:spacing w:val="1"/>
          <w:sz w:val="27"/>
        </w:rPr>
        <w:t xml:space="preserve"> </w:t>
      </w:r>
      <w:r>
        <w:rPr>
          <w:rFonts w:ascii="宋体" w:eastAsia="宋体" w:hint="eastAsia"/>
          <w:sz w:val="27"/>
        </w:rPr>
        <w:t>范例</w:t>
      </w:r>
      <w:r>
        <w:rPr>
          <w:rFonts w:ascii="宋体" w:eastAsia="宋体" w:hint="eastAsia"/>
          <w:spacing w:val="-1"/>
          <w:sz w:val="27"/>
        </w:rPr>
        <w:t xml:space="preserve"> </w:t>
      </w:r>
      <w:r>
        <w:rPr>
          <w:rFonts w:ascii="宋体" w:eastAsia="宋体" w:hint="eastAsia"/>
          <w:sz w:val="27"/>
        </w:rPr>
        <w:t>指导</w:t>
        <w:tab/>
        <w:t>参考</w:t>
      </w:r>
    </w:p>
    <w:p>
      <w:pPr>
        <w:pStyle w:val="BodyText"/>
        <w:rPr>
          <w:rFonts w:ascii="宋体"/>
          <w:sz w:val="26"/>
        </w:rPr>
      </w:pPr>
    </w:p>
    <w:p>
      <w:pPr>
        <w:pStyle w:val="BodyText"/>
        <w:rPr>
          <w:rFonts w:ascii="宋体"/>
          <w:sz w:val="26"/>
        </w:rPr>
      </w:pPr>
    </w:p>
    <w:p>
      <w:pPr>
        <w:pStyle w:val="BodyText"/>
        <w:rPr>
          <w:rFonts w:ascii="宋体"/>
          <w:sz w:val="26"/>
        </w:rPr>
      </w:pPr>
    </w:p>
    <w:p>
      <w:pPr>
        <w:pStyle w:val="BodyText"/>
        <w:spacing w:before="12"/>
        <w:rPr>
          <w:rFonts w:ascii="宋体"/>
          <w:sz w:val="32"/>
        </w:rPr>
      </w:pPr>
    </w:p>
    <w:p>
      <w:pPr>
        <w:spacing w:before="0"/>
        <w:ind w:left="2168" w:right="2103" w:firstLine="0"/>
        <w:jc w:val="center"/>
        <w:rPr>
          <w:b/>
          <w:sz w:val="48"/>
        </w:rPr>
      </w:pPr>
      <w:r>
        <w:rPr>
          <w:b/>
          <w:sz w:val="48"/>
        </w:rPr>
        <w:t>钻孔桩（旋挖钻）施工专项方案</w:t>
      </w:r>
    </w:p>
    <w:p>
      <w:pPr>
        <w:pStyle w:val="BodyText"/>
        <w:rPr>
          <w:b/>
          <w:sz w:val="48"/>
        </w:rPr>
      </w:pPr>
    </w:p>
    <w:p>
      <w:pPr>
        <w:pStyle w:val="BodyText"/>
        <w:spacing w:before="1"/>
        <w:rPr>
          <w:b/>
          <w:sz w:val="55"/>
        </w:rPr>
      </w:pPr>
    </w:p>
    <w:p>
      <w:pPr>
        <w:pStyle w:val="BodyText"/>
        <w:tabs>
          <w:tab w:val="left" w:pos="12022"/>
        </w:tabs>
        <w:spacing w:line="364" w:lineRule="auto"/>
        <w:ind w:left="418" w:right="280" w:firstLine="719"/>
      </w:pPr>
      <w:r>
        <w:t>为了保证《中华人民共和国安全生产法</w:t>
      </w:r>
      <w:r>
        <w:rPr>
          <w:spacing w:val="-107"/>
        </w:rPr>
        <w:t>》</w:t>
      </w:r>
      <w:r>
        <w:rPr>
          <w:spacing w:val="-173"/>
        </w:rPr>
        <w:t>、</w:t>
      </w:r>
      <w:r>
        <w:t>《中华人民共和国建筑法》及有关建设工程质量、安全技术标准、规范的切实落实，加强建筑工程项目的质量安全生产监督管理，保障人民群众生命财产的安全，依据《建设工程安全生产管理条</w:t>
      </w:r>
      <w:r>
        <w:rPr>
          <w:spacing w:val="32"/>
        </w:rPr>
        <w:t>例</w:t>
      </w:r>
      <w:r>
        <w:t>)</w:t>
      </w:r>
      <w:r>
        <w:rPr>
          <w:spacing w:val="-148"/>
        </w:rPr>
        <w:t xml:space="preserve"> </w:t>
      </w:r>
      <w:r>
        <w:t>和《危险性较大工程安全专项施工方案编制及专家论证审查办法</w:t>
        <w:tab/>
        <w:t>)(</w:t>
      </w:r>
      <w:r>
        <w:rPr>
          <w:spacing w:val="-148"/>
        </w:rPr>
        <w:t xml:space="preserve"> </w:t>
      </w:r>
      <w:r>
        <w:t>建质[2004]213</w:t>
      </w:r>
      <w:r>
        <w:rPr>
          <w:spacing w:val="-26"/>
        </w:rPr>
        <w:t xml:space="preserve"> </w:t>
      </w:r>
      <w:r>
        <w:t>号)(危险性较大工程是指依据(建设工程安全生产管理条例》第二十六条所指的七项分部分项工程，并要求在施工前单独编制安全专项施工方案并经专家论证审查通过)，编制一份合理完善的危险性较大工程安全专项施工方案是非</w:t>
      </w:r>
      <w:r>
        <w:rPr>
          <w:spacing w:val="-18"/>
        </w:rPr>
        <w:t>常</w:t>
      </w:r>
      <w:r>
        <w:t>重要的。本方案主要阐述的是钻孔桩（旋挖钻）施工。</w:t>
      </w:r>
    </w:p>
    <w:p>
      <w:pPr>
        <w:pStyle w:val="Heading1"/>
        <w:spacing w:before="36"/>
      </w:pPr>
      <w:r>
        <w:t>一、工程概况</w:t>
      </w:r>
    </w:p>
    <w:p>
      <w:pPr>
        <w:pStyle w:val="BodyText"/>
        <w:spacing w:before="1"/>
        <w:rPr>
          <w:b/>
          <w:sz w:val="40"/>
        </w:rPr>
      </w:pPr>
    </w:p>
    <w:p>
      <w:pPr>
        <w:pStyle w:val="BodyText"/>
        <w:spacing w:before="1"/>
        <w:ind w:left="418"/>
      </w:pPr>
      <w:r>
        <w:t>1、工程概况</w:t>
      </w:r>
    </w:p>
    <w:p>
      <w:pPr>
        <w:pStyle w:val="BodyText"/>
        <w:spacing w:before="320" w:line="405" w:lineRule="auto"/>
        <w:ind w:left="418" w:right="245" w:firstLine="719"/>
      </w:pPr>
      <w:r>
        <w:t>云南省瑞丽至陇川高速公路位于云南省西部瑞丽市境内；线路起点位于瑞丽</w:t>
      </w:r>
      <w:r>
        <w:rPr>
          <w:spacing w:val="1"/>
        </w:rPr>
        <w:t>市以北帕色坝岗雷附近，终点至陇川县，全长</w:t>
      </w:r>
      <w:r>
        <w:t>19.02km</w:t>
      </w:r>
      <w:r>
        <w:rPr>
          <w:spacing w:val="-2"/>
        </w:rPr>
        <w:t>。本标段为第一合同段，起</w:t>
      </w:r>
      <w:r>
        <w:rPr>
          <w:spacing w:val="-19"/>
        </w:rPr>
        <w:t xml:space="preserve">讫里程为 </w:t>
      </w:r>
      <w:r>
        <w:t>K0+000～K6+017.05，</w:t>
      </w:r>
      <w:r>
        <w:rPr>
          <w:spacing w:val="-30"/>
        </w:rPr>
        <w:t xml:space="preserve">全长 </w:t>
      </w:r>
      <w:r>
        <w:t>6.01705km</w:t>
      </w:r>
      <w:r>
        <w:rPr>
          <w:spacing w:val="-12"/>
        </w:rPr>
        <w:t xml:space="preserve">。该段共有大桥 </w:t>
      </w:r>
      <w:r>
        <w:t>4</w:t>
      </w:r>
      <w:r>
        <w:rPr>
          <w:spacing w:val="-31"/>
        </w:rPr>
        <w:t xml:space="preserve"> 座，中桥 </w:t>
      </w:r>
      <w:r>
        <w:t>5</w:t>
      </w:r>
      <w:r>
        <w:rPr>
          <w:spacing w:val="-30"/>
        </w:rPr>
        <w:t xml:space="preserve"> 座。</w:t>
      </w:r>
    </w:p>
    <w:p>
      <w:pPr>
        <w:pStyle w:val="BodyText"/>
        <w:spacing w:before="2"/>
        <w:ind w:left="418"/>
      </w:pPr>
      <w:r>
        <w:t>2、施工平面布置</w:t>
      </w:r>
    </w:p>
    <w:p>
      <w:pPr>
        <w:pStyle w:val="BodyText"/>
        <w:spacing w:before="172" w:line="364" w:lineRule="auto"/>
        <w:ind w:left="418" w:right="303" w:firstLine="899"/>
      </w:pPr>
      <w:r>
        <w:rPr>
          <w:spacing w:val="-8"/>
        </w:rPr>
        <w:t xml:space="preserve">瑞陇高速公路第一合同段 </w:t>
      </w:r>
      <w:r>
        <w:t>ZXK0+740</w:t>
      </w:r>
      <w:r>
        <w:rPr>
          <w:spacing w:val="-14"/>
        </w:rPr>
        <w:t>、</w:t>
      </w:r>
      <w:r>
        <w:t>ZCK0+295</w:t>
      </w:r>
      <w:r>
        <w:rPr>
          <w:spacing w:val="-15"/>
        </w:rPr>
        <w:t>、</w:t>
      </w:r>
      <w:r>
        <w:t>ZA2K1+385</w:t>
      </w:r>
      <w:r>
        <w:rPr>
          <w:spacing w:val="-15"/>
        </w:rPr>
        <w:t xml:space="preserve"> 桥桩基施工均涉</w:t>
      </w:r>
      <w:r>
        <w:rPr>
          <w:spacing w:val="-7"/>
        </w:rPr>
        <w:t xml:space="preserve">及旋挖钻钻孔施工，桩基总计 </w:t>
      </w:r>
      <w:r>
        <w:t>112</w:t>
      </w:r>
      <w:r>
        <w:rPr>
          <w:spacing w:val="-24"/>
        </w:rPr>
        <w:t xml:space="preserve"> 棵，平均桩长 </w:t>
      </w:r>
      <w:r>
        <w:t>38m</w:t>
      </w:r>
      <w:r>
        <w:rPr>
          <w:spacing w:val="-23"/>
        </w:rPr>
        <w:t xml:space="preserve"> 左右。</w:t>
      </w:r>
    </w:p>
    <w:p>
      <w:pPr>
        <w:pStyle w:val="BodyText"/>
        <w:spacing w:before="2"/>
        <w:ind w:left="418"/>
      </w:pPr>
      <w:r>
        <w:t>3、施工要求和技术保证条件</w:t>
      </w:r>
    </w:p>
    <w:p>
      <w:pPr>
        <w:pStyle w:val="BodyText"/>
        <w:spacing w:before="241"/>
        <w:ind w:left="418"/>
      </w:pPr>
      <w:r>
        <w:t>（1）护筒施工</w:t>
      </w:r>
    </w:p>
    <w:p>
      <w:pPr>
        <w:pStyle w:val="BodyText"/>
        <w:spacing w:before="240" w:line="364" w:lineRule="auto"/>
        <w:ind w:left="418" w:right="302" w:firstLine="1079"/>
      </w:pPr>
      <w:r>
        <w:rPr>
          <w:spacing w:val="-12"/>
        </w:rPr>
        <w:t xml:space="preserve">①护筒的制作及埋设的原则：护简采用钢护筒，长度 </w:t>
      </w:r>
      <w:r>
        <w:t>4m</w:t>
      </w:r>
      <w:r>
        <w:rPr>
          <w:spacing w:val="-27"/>
        </w:rPr>
        <w:t xml:space="preserve"> 以内采用厚 </w:t>
      </w:r>
      <w:r>
        <w:rPr>
          <w:spacing w:val="-4"/>
        </w:rPr>
        <w:t xml:space="preserve">4～6mm </w:t>
      </w:r>
      <w:r>
        <w:rPr>
          <w:spacing w:val="-7"/>
        </w:rPr>
        <w:t xml:space="preserve">的钢板制作，长度大于 </w:t>
      </w:r>
      <w:r>
        <w:t>4ｍ</w:t>
      </w:r>
      <w:r>
        <w:rPr>
          <w:spacing w:val="-14"/>
        </w:rPr>
        <w:t xml:space="preserve">的采用厚 </w:t>
      </w:r>
      <w:r>
        <w:t>6～8mm</w:t>
      </w:r>
      <w:r>
        <w:rPr>
          <w:spacing w:val="-10"/>
        </w:rPr>
        <w:t xml:space="preserve"> 钢板制作。护筒埋臵较深时，采用多</w:t>
      </w:r>
      <w:r>
        <w:t>节护筒连接使用，连接形式采用焊接，焊接时保证接头圆顺同时满足刚度、强度及防漏的要求。</w:t>
      </w:r>
    </w:p>
    <w:p>
      <w:pPr>
        <w:pStyle w:val="BodyText"/>
        <w:tabs>
          <w:tab w:val="left" w:pos="1864"/>
        </w:tabs>
        <w:spacing w:before="5" w:line="364" w:lineRule="auto"/>
        <w:ind w:left="418" w:right="452" w:firstLine="719"/>
      </w:pPr>
      <w:r>
        <w:t>②</w:t>
        <w:tab/>
      </w:r>
      <w:r>
        <w:rPr>
          <w:spacing w:val="-1"/>
        </w:rPr>
        <w:t>护筒埋设深度满足设计及有关规范要求，河流中将护筒埋在较坚硬密实</w:t>
      </w:r>
      <w:r>
        <w:rPr>
          <w:spacing w:val="-19"/>
        </w:rPr>
        <w:t xml:space="preserve">的土层中 </w:t>
      </w:r>
      <w:r>
        <w:t>0.5m</w:t>
      </w:r>
      <w:r>
        <w:rPr>
          <w:spacing w:val="-23"/>
        </w:rPr>
        <w:t xml:space="preserve"> 以上。</w:t>
      </w:r>
    </w:p>
    <w:p>
      <w:pPr>
        <w:pStyle w:val="BodyText"/>
        <w:spacing w:before="2"/>
        <w:ind w:left="1317"/>
      </w:pPr>
      <w:r>
        <w:t>③护简顶高出施工水位或地下水位 2.0m，并高出施工地面 0.2m。</w:t>
      </w:r>
    </w:p>
    <w:p>
      <w:pPr>
        <w:pStyle w:val="BodyText"/>
        <w:spacing w:before="2"/>
        <w:rPr>
          <w:sz w:val="37"/>
        </w:rPr>
      </w:pPr>
    </w:p>
    <w:p>
      <w:pPr>
        <w:spacing w:before="0"/>
        <w:ind w:left="4476"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版 整理</w:t>
      </w:r>
    </w:p>
    <w:p>
      <w:pPr>
        <w:spacing w:after="0"/>
        <w:jc w:val="left"/>
        <w:rPr>
          <w:rFonts w:ascii="宋体" w:eastAsia="宋体" w:hint="eastAsia"/>
          <w:sz w:val="27"/>
        </w:rPr>
        <w:sectPr>
          <w:pgSz w:w="17860" w:h="25260"/>
          <w:pgMar w:top="1020" w:right="1820" w:bottom="280" w:left="2560" w:header="708" w:footer="708"/>
          <w:pgNumType w:start="2"/>
          <w:cols w:space="708"/>
        </w:sectPr>
      </w:pPr>
    </w:p>
    <w:p>
      <w:pPr>
        <w:tabs>
          <w:tab w:val="left" w:pos="4202"/>
        </w:tabs>
        <w:spacing w:before="37"/>
        <w:ind w:left="2041" w:right="0" w:firstLine="0"/>
        <w:jc w:val="left"/>
        <w:rPr>
          <w:rFonts w:ascii="宋体" w:eastAsia="宋体" w:hint="eastAsia"/>
          <w:sz w:val="27"/>
        </w:rPr>
      </w:pPr>
      <w:r>
        <w:drawing>
          <wp:anchor distT="0" distB="0" distL="0" distR="0" simplePos="0" relativeHeight="251660288" behindDoc="1" locked="0" layoutInCell="1" allowOverlap="1">
            <wp:simplePos x="0" y="0"/>
            <wp:positionH relativeFrom="page">
              <wp:posOffset>0</wp:posOffset>
            </wp:positionH>
            <wp:positionV relativeFrom="page">
              <wp:posOffset>0</wp:posOffset>
            </wp:positionV>
            <wp:extent cx="11340845" cy="158496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宋体" w:eastAsia="宋体" w:hint="eastAsia"/>
          <w:sz w:val="27"/>
        </w:rPr>
        <w:t>范文</w:t>
      </w:r>
      <w:r>
        <w:rPr>
          <w:rFonts w:ascii="宋体" w:eastAsia="宋体" w:hint="eastAsia"/>
          <w:spacing w:val="1"/>
          <w:sz w:val="27"/>
        </w:rPr>
        <w:t xml:space="preserve"> </w:t>
      </w:r>
      <w:r>
        <w:rPr>
          <w:rFonts w:ascii="宋体" w:eastAsia="宋体" w:hint="eastAsia"/>
          <w:sz w:val="27"/>
        </w:rPr>
        <w:t>范例</w:t>
      </w:r>
      <w:r>
        <w:rPr>
          <w:rFonts w:ascii="宋体" w:eastAsia="宋体" w:hint="eastAsia"/>
          <w:spacing w:val="-1"/>
          <w:sz w:val="27"/>
        </w:rPr>
        <w:t xml:space="preserve"> </w:t>
      </w:r>
      <w:r>
        <w:rPr>
          <w:rFonts w:ascii="宋体" w:eastAsia="宋体" w:hint="eastAsia"/>
          <w:sz w:val="27"/>
        </w:rPr>
        <w:t>指导</w:t>
        <w:tab/>
        <w:t>参考</w:t>
      </w:r>
    </w:p>
    <w:p>
      <w:pPr>
        <w:pStyle w:val="BodyText"/>
        <w:rPr>
          <w:rFonts w:ascii="宋体"/>
          <w:sz w:val="26"/>
        </w:rPr>
      </w:pPr>
    </w:p>
    <w:p>
      <w:pPr>
        <w:pStyle w:val="BodyText"/>
        <w:spacing w:before="216" w:line="364" w:lineRule="auto"/>
        <w:ind w:left="418" w:right="266" w:firstLine="1079"/>
      </w:pPr>
      <w:r>
        <w:t>④护筒埋设前，先准确测量放样，保证护筒顶面位臵偏差不大于5cm，埋设中保证护筒斜度不大于 1%。</w:t>
      </w:r>
    </w:p>
    <w:p>
      <w:pPr>
        <w:pStyle w:val="BodyText"/>
        <w:spacing w:before="2"/>
        <w:ind w:left="734"/>
      </w:pPr>
      <w:r>
        <w:t>（2）泥浆</w:t>
      </w:r>
    </w:p>
    <w:p>
      <w:pPr>
        <w:pStyle w:val="BodyText"/>
        <w:spacing w:before="241" w:line="364" w:lineRule="auto"/>
        <w:ind w:left="418" w:right="99" w:firstLine="1803"/>
      </w:pPr>
      <w:r>
        <w:t>制浆前，应先把粘土块尽量打碎，在井孔外以泥浆搅拌机制成泥浆后使用。为了回收泥浆原料和减少环境污染，均应设臵泥浆循环净化系统。在钻进 过程中，根据地层不同情况，保持一定的静水水头压力，按平衡钻进原理指导泥 浆管理工作，尽量利用地层粘土，自然造浆，泥浆稠度不能满足要求时，应选择 造</w:t>
      </w:r>
      <w:r>
        <w:rPr>
          <w:spacing w:val="-1"/>
        </w:rPr>
        <w:t xml:space="preserve">浆能力强、粘度大的粘性土进行造浆，以提高泥浆稠度，确保钻进过程不塌孔， </w:t>
      </w:r>
      <w:r>
        <w:t>不缩孔。</w:t>
      </w:r>
    </w:p>
    <w:p>
      <w:pPr>
        <w:pStyle w:val="BodyText"/>
        <w:spacing w:before="6" w:line="364" w:lineRule="auto"/>
        <w:ind w:left="418" w:right="459"/>
        <w:jc w:val="both"/>
      </w:pPr>
      <w:r>
        <w:t>桩孔施工采用一次性全面不间断作业，施工中根据出渣情况判断土层结构及时合理地调整泥浆性能指标，遇松散地层时，适当增大泥浆相对密度和粘度，保持孔内水头高度，尽量减轻冲液对孔壁的影响，同时降低转速和钻压以满足施工质量控制要求。</w:t>
      </w:r>
    </w:p>
    <w:p>
      <w:pPr>
        <w:pStyle w:val="BodyText"/>
        <w:spacing w:before="4"/>
        <w:ind w:left="597"/>
      </w:pPr>
      <w:r>
        <w:t>（3）合理控制钻斗的升降速度</w:t>
      </w:r>
    </w:p>
    <w:p>
      <w:pPr>
        <w:pStyle w:val="BodyText"/>
        <w:spacing w:before="240"/>
        <w:ind w:left="2397"/>
      </w:pPr>
      <w:r>
        <w:t>在开始钻进或穿过软硬层交界处时，为保持钻杆竖直，宜缓慢进尺。</w:t>
      </w:r>
    </w:p>
    <w:p>
      <w:pPr>
        <w:pStyle w:val="BodyText"/>
        <w:spacing w:before="12"/>
        <w:rPr>
          <w:sz w:val="14"/>
        </w:rPr>
      </w:pPr>
    </w:p>
    <w:p>
      <w:pPr>
        <w:pStyle w:val="BodyText"/>
        <w:spacing w:before="50"/>
        <w:ind w:left="418"/>
      </w:pPr>
      <w:r>
        <w:t>在钻进过</w:t>
      </w:r>
    </w:p>
    <w:p>
      <w:pPr>
        <w:pStyle w:val="BodyText"/>
        <w:spacing w:before="241" w:line="369" w:lineRule="auto"/>
        <w:ind w:left="418" w:right="459"/>
        <w:rPr>
          <w:b/>
          <w:sz w:val="42"/>
        </w:rPr>
      </w:pPr>
      <w:r>
        <w:t>程中如发现钻杆摇晃或难钻进时，可能是遇到硬石、石块或硬物等，这时应立即提钻检查，等查明原因并妥善处理后再钻，以免导致桩孔严重倾斜、偏移，甚至使钻杆、钻具扭断或损坏。钻进过程中应随时清除孔口积土和地面散落土。遇到孔内渗水、塌孔、缩颈等异常情况时，应将钻具从孔内提出，研究妥善处理。</w:t>
      </w:r>
      <w:r>
        <w:rPr>
          <w:b/>
          <w:sz w:val="42"/>
        </w:rPr>
        <w:t>二、编制依据</w:t>
      </w:r>
    </w:p>
    <w:p>
      <w:pPr>
        <w:pStyle w:val="ListParagraph"/>
        <w:numPr>
          <w:ilvl w:val="0"/>
          <w:numId w:val="24"/>
        </w:numPr>
        <w:tabs>
          <w:tab w:val="left" w:pos="1499"/>
        </w:tabs>
        <w:spacing w:before="74" w:after="0" w:line="364" w:lineRule="auto"/>
        <w:ind w:left="418" w:right="306" w:firstLine="720"/>
        <w:jc w:val="left"/>
        <w:rPr>
          <w:sz w:val="36"/>
        </w:rPr>
      </w:pPr>
      <w:r>
        <w:rPr>
          <w:sz w:val="36"/>
        </w:rPr>
        <w:t>瑞陇高速建设指挥部下发的</w:t>
      </w:r>
      <w:r>
        <w:rPr>
          <w:spacing w:val="-16"/>
          <w:sz w:val="36"/>
        </w:rPr>
        <w:t>：《瑞丽至腾冲高速公路瑞丽至陇川段建设项目</w:t>
      </w:r>
      <w:r>
        <w:rPr>
          <w:spacing w:val="-14"/>
          <w:sz w:val="36"/>
        </w:rPr>
        <w:t>施工招标文件》、两阶段施工图设计、工程地质勘察报告、参考资料及补遗书；</w:t>
      </w:r>
    </w:p>
    <w:p>
      <w:pPr>
        <w:pStyle w:val="ListParagraph"/>
        <w:numPr>
          <w:ilvl w:val="0"/>
          <w:numId w:val="24"/>
        </w:numPr>
        <w:tabs>
          <w:tab w:val="left" w:pos="1556"/>
        </w:tabs>
        <w:spacing w:before="3" w:after="0" w:line="364" w:lineRule="auto"/>
        <w:ind w:left="418" w:right="306" w:firstLine="720"/>
        <w:jc w:val="both"/>
        <w:rPr>
          <w:sz w:val="36"/>
        </w:rPr>
      </w:pPr>
      <w:r>
        <w:rPr>
          <w:spacing w:val="57"/>
          <w:sz w:val="36"/>
        </w:rPr>
        <w:t>中华人民共和国交通部发布的《 公路桥涵施工技术规范</w:t>
      </w:r>
      <w:r>
        <w:rPr>
          <w:sz w:val="36"/>
        </w:rPr>
        <w:t>（</w:t>
      </w:r>
      <w:r>
        <w:rPr>
          <w:spacing w:val="-118"/>
          <w:sz w:val="36"/>
        </w:rPr>
        <w:t xml:space="preserve"> </w:t>
      </w:r>
      <w:r>
        <w:rPr>
          <w:sz w:val="36"/>
        </w:rPr>
        <w:t>JTG/T F50-201</w:t>
      </w:r>
      <w:r>
        <w:rPr>
          <w:spacing w:val="3"/>
          <w:sz w:val="36"/>
        </w:rPr>
        <w:t>1</w:t>
      </w:r>
      <w:r>
        <w:rPr>
          <w:spacing w:val="-177"/>
          <w:sz w:val="36"/>
        </w:rPr>
        <w:t>）</w:t>
      </w:r>
      <w:r>
        <w:rPr>
          <w:spacing w:val="-27"/>
          <w:sz w:val="36"/>
        </w:rPr>
        <w:t>》、《公路工程质量检验评定标准</w:t>
      </w:r>
      <w:r>
        <w:rPr>
          <w:sz w:val="36"/>
        </w:rPr>
        <w:t>（</w:t>
      </w:r>
      <w:r>
        <w:rPr>
          <w:spacing w:val="-100"/>
          <w:sz w:val="36"/>
        </w:rPr>
        <w:t xml:space="preserve"> </w:t>
      </w:r>
      <w:r>
        <w:rPr>
          <w:sz w:val="36"/>
        </w:rPr>
        <w:t>JTG F80/1-200</w:t>
      </w:r>
      <w:r>
        <w:rPr>
          <w:spacing w:val="7"/>
          <w:sz w:val="36"/>
        </w:rPr>
        <w:t>4</w:t>
      </w:r>
      <w:r>
        <w:rPr>
          <w:spacing w:val="-173"/>
          <w:sz w:val="36"/>
        </w:rPr>
        <w:t>）</w:t>
      </w:r>
      <w:r>
        <w:rPr>
          <w:spacing w:val="-41"/>
          <w:sz w:val="36"/>
        </w:rPr>
        <w:t>》、《公路工程施工</w:t>
      </w:r>
      <w:r>
        <w:rPr>
          <w:spacing w:val="-44"/>
          <w:sz w:val="36"/>
        </w:rPr>
        <w:t xml:space="preserve">安全技术规程(中华人民共和国行业标准 </w:t>
      </w:r>
      <w:r>
        <w:rPr>
          <w:sz w:val="36"/>
        </w:rPr>
        <w:t>JTJ076-95)》等系列规范和标准；</w:t>
      </w:r>
    </w:p>
    <w:p>
      <w:pPr>
        <w:pStyle w:val="ListParagraph"/>
        <w:numPr>
          <w:ilvl w:val="0"/>
          <w:numId w:val="24"/>
        </w:numPr>
        <w:tabs>
          <w:tab w:val="left" w:pos="1499"/>
        </w:tabs>
        <w:spacing w:before="3" w:after="0" w:line="364" w:lineRule="auto"/>
        <w:ind w:left="418" w:right="302" w:firstLine="720"/>
        <w:jc w:val="both"/>
        <w:rPr>
          <w:sz w:val="36"/>
        </w:rPr>
      </w:pPr>
      <w:r>
        <w:rPr>
          <w:sz w:val="36"/>
        </w:rPr>
        <w:t>《云南省高速公路施工标准化实施要点（2012</w:t>
      </w:r>
      <w:r>
        <w:rPr>
          <w:spacing w:val="-51"/>
          <w:sz w:val="36"/>
        </w:rPr>
        <w:t xml:space="preserve"> 年 </w:t>
      </w:r>
      <w:r>
        <w:rPr>
          <w:sz w:val="36"/>
        </w:rPr>
        <w:t>10</w:t>
      </w:r>
      <w:r>
        <w:rPr>
          <w:spacing w:val="-40"/>
          <w:sz w:val="36"/>
        </w:rPr>
        <w:t xml:space="preserve"> 月第 </w:t>
      </w:r>
      <w:r>
        <w:rPr>
          <w:sz w:val="36"/>
        </w:rPr>
        <w:t>1</w:t>
      </w:r>
      <w:r>
        <w:rPr>
          <w:spacing w:val="-38"/>
          <w:sz w:val="36"/>
        </w:rPr>
        <w:t xml:space="preserve"> 版</w:t>
      </w:r>
      <w:r>
        <w:rPr>
          <w:spacing w:val="-184"/>
          <w:sz w:val="36"/>
        </w:rPr>
        <w:t>）</w:t>
      </w:r>
      <w:r>
        <w:rPr>
          <w:spacing w:val="-3"/>
          <w:sz w:val="36"/>
        </w:rPr>
        <w:t>》及《中华</w:t>
      </w:r>
      <w:r>
        <w:rPr>
          <w:spacing w:val="-15"/>
          <w:sz w:val="36"/>
        </w:rPr>
        <w:t>人民共和国环境保护法》、《公路环境保护设计规范</w:t>
      </w:r>
      <w:r>
        <w:rPr>
          <w:sz w:val="36"/>
        </w:rPr>
        <w:t>(JTG</w:t>
      </w:r>
      <w:r>
        <w:rPr>
          <w:spacing w:val="9"/>
          <w:sz w:val="36"/>
        </w:rPr>
        <w:t xml:space="preserve"> </w:t>
      </w:r>
      <w:r>
        <w:rPr>
          <w:sz w:val="36"/>
        </w:rPr>
        <w:t>B04-2010</w:t>
      </w:r>
      <w:r>
        <w:rPr>
          <w:spacing w:val="-46"/>
          <w:sz w:val="36"/>
        </w:rPr>
        <w:t>)》、《中华人民</w:t>
      </w:r>
      <w:r>
        <w:rPr>
          <w:spacing w:val="-55"/>
          <w:sz w:val="36"/>
        </w:rPr>
        <w:t>共和国水污染防治法》；</w:t>
      </w:r>
    </w:p>
    <w:p>
      <w:pPr>
        <w:pStyle w:val="BodyText"/>
        <w:spacing w:before="11"/>
        <w:rPr>
          <w:sz w:val="48"/>
        </w:rPr>
      </w:pPr>
    </w:p>
    <w:p>
      <w:pPr>
        <w:spacing w:before="1"/>
        <w:ind w:left="4476"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版 整理</w:t>
      </w:r>
    </w:p>
    <w:p>
      <w:pPr>
        <w:spacing w:after="0"/>
        <w:jc w:val="left"/>
        <w:rPr>
          <w:rFonts w:ascii="宋体" w:eastAsia="宋体" w:hint="eastAsia"/>
          <w:sz w:val="27"/>
        </w:rPr>
        <w:sectPr>
          <w:pgSz w:w="17860" w:h="25260"/>
          <w:pgMar w:top="1020" w:right="1820" w:bottom="280" w:left="2560" w:header="708" w:footer="708"/>
          <w:pgNumType w:start="3"/>
          <w:cols w:space="708"/>
        </w:sectPr>
      </w:pPr>
    </w:p>
    <w:p>
      <w:pPr>
        <w:tabs>
          <w:tab w:val="left" w:pos="4202"/>
        </w:tabs>
        <w:spacing w:before="37"/>
        <w:ind w:left="2041" w:right="0" w:firstLine="0"/>
        <w:jc w:val="left"/>
        <w:rPr>
          <w:rFonts w:ascii="宋体" w:eastAsia="宋体" w:hint="eastAsia"/>
          <w:sz w:val="27"/>
        </w:rPr>
      </w:pPr>
      <w:r>
        <w:pict>
          <v:group id="_x0000_s1028" style="width:893pt;height:1248pt;margin-top:0;margin-left:0;mso-position-horizontal-relative:page;mso-position-vertical-relative:page;position:absolute;z-index:-251655168" coordorigin="0,0" coordsize="17860,24960">
            <v:shape id="_x0000_s1029" type="#_x0000_t75" style="width:17860;height:24960;position:absolute" stroked="f">
              <v:imagedata r:id="rId4" o:title=""/>
            </v:shape>
            <v:shape id="_x0000_s1030" type="#_x0000_t75" style="width:12500;height:9620;left:3120;position:absolute;top:11220" stroked="f">
              <v:imagedata r:id="rId6" o:title=""/>
            </v:shape>
          </v:group>
        </w:pict>
      </w:r>
      <w:r>
        <w:rPr>
          <w:rFonts w:ascii="宋体" w:eastAsia="宋体" w:hint="eastAsia"/>
          <w:sz w:val="27"/>
        </w:rPr>
        <w:t>范文</w:t>
      </w:r>
      <w:r>
        <w:rPr>
          <w:rFonts w:ascii="宋体" w:eastAsia="宋体" w:hint="eastAsia"/>
          <w:spacing w:val="1"/>
          <w:sz w:val="27"/>
        </w:rPr>
        <w:t xml:space="preserve"> </w:t>
      </w:r>
      <w:r>
        <w:rPr>
          <w:rFonts w:ascii="宋体" w:eastAsia="宋体" w:hint="eastAsia"/>
          <w:sz w:val="27"/>
        </w:rPr>
        <w:t>范例</w:t>
      </w:r>
      <w:r>
        <w:rPr>
          <w:rFonts w:ascii="宋体" w:eastAsia="宋体" w:hint="eastAsia"/>
          <w:spacing w:val="-1"/>
          <w:sz w:val="27"/>
        </w:rPr>
        <w:t xml:space="preserve"> </w:t>
      </w:r>
      <w:r>
        <w:rPr>
          <w:rFonts w:ascii="宋体" w:eastAsia="宋体" w:hint="eastAsia"/>
          <w:sz w:val="27"/>
        </w:rPr>
        <w:t>指导</w:t>
        <w:tab/>
        <w:t>参考</w:t>
      </w:r>
    </w:p>
    <w:p>
      <w:pPr>
        <w:pStyle w:val="BodyText"/>
        <w:rPr>
          <w:rFonts w:ascii="宋体"/>
          <w:sz w:val="26"/>
        </w:rPr>
      </w:pPr>
    </w:p>
    <w:p>
      <w:pPr>
        <w:pStyle w:val="ListParagraph"/>
        <w:numPr>
          <w:ilvl w:val="0"/>
          <w:numId w:val="23"/>
        </w:numPr>
        <w:tabs>
          <w:tab w:val="left" w:pos="1502"/>
        </w:tabs>
        <w:spacing w:before="216" w:after="0" w:line="364" w:lineRule="auto"/>
        <w:ind w:left="418" w:right="456" w:firstLine="720"/>
        <w:jc w:val="left"/>
        <w:rPr>
          <w:sz w:val="36"/>
        </w:rPr>
      </w:pPr>
      <w:r>
        <w:rPr>
          <w:spacing w:val="-1"/>
          <w:sz w:val="36"/>
        </w:rPr>
        <w:t>本公司现有的施工设备、管理水平、技术力量和以往高等级公路工程建设</w:t>
      </w:r>
      <w:r>
        <w:rPr>
          <w:sz w:val="36"/>
        </w:rPr>
        <w:t>施工经验及工法；</w:t>
      </w:r>
    </w:p>
    <w:p>
      <w:pPr>
        <w:pStyle w:val="ListParagraph"/>
        <w:numPr>
          <w:ilvl w:val="0"/>
          <w:numId w:val="23"/>
        </w:numPr>
        <w:tabs>
          <w:tab w:val="left" w:pos="1499"/>
        </w:tabs>
        <w:spacing w:before="2" w:after="0" w:line="240" w:lineRule="auto"/>
        <w:ind w:left="1499" w:right="0" w:hanging="361"/>
        <w:jc w:val="left"/>
        <w:rPr>
          <w:sz w:val="36"/>
        </w:rPr>
      </w:pPr>
      <w:r>
        <w:rPr>
          <w:sz w:val="36"/>
        </w:rPr>
        <w:t>本合同段现场踏勘情况汇总。</w:t>
      </w:r>
    </w:p>
    <w:p>
      <w:pPr>
        <w:pStyle w:val="Heading1"/>
      </w:pPr>
      <w:r>
        <w:t>三、施工计划</w:t>
      </w:r>
    </w:p>
    <w:p>
      <w:pPr>
        <w:pStyle w:val="BodyText"/>
        <w:spacing w:before="251"/>
        <w:ind w:left="418"/>
      </w:pPr>
      <w:r>
        <w:t>1、进度计划</w:t>
      </w:r>
    </w:p>
    <w:p>
      <w:pPr>
        <w:pStyle w:val="BodyText"/>
        <w:spacing w:before="125" w:line="302" w:lineRule="auto"/>
        <w:ind w:left="418" w:right="1267" w:firstLine="719"/>
      </w:pPr>
      <w:r>
        <w:rPr>
          <w:spacing w:val="-7"/>
        </w:rPr>
        <w:t xml:space="preserve">本分部分项工程施工工期为 </w:t>
      </w:r>
      <w:r>
        <w:t>12</w:t>
      </w:r>
      <w:r>
        <w:rPr>
          <w:spacing w:val="-30"/>
        </w:rPr>
        <w:t xml:space="preserve"> 个月</w:t>
      </w:r>
      <w:r>
        <w:t>（2014</w:t>
      </w:r>
      <w:r>
        <w:rPr>
          <w:spacing w:val="-60"/>
        </w:rPr>
        <w:t xml:space="preserve"> 年 </w:t>
      </w:r>
      <w:r>
        <w:t>1</w:t>
      </w:r>
      <w:r>
        <w:rPr>
          <w:spacing w:val="-60"/>
        </w:rPr>
        <w:t xml:space="preserve"> 月 </w:t>
      </w:r>
      <w:r>
        <w:t>1</w:t>
      </w:r>
      <w:r>
        <w:rPr>
          <w:spacing w:val="-45"/>
        </w:rPr>
        <w:t xml:space="preserve"> 日至 </w:t>
      </w:r>
      <w:r>
        <w:t>12</w:t>
      </w:r>
      <w:r>
        <w:rPr>
          <w:spacing w:val="-60"/>
        </w:rPr>
        <w:t xml:space="preserve"> 月 </w:t>
      </w:r>
      <w:r>
        <w:t>31</w:t>
      </w:r>
      <w:r>
        <w:rPr>
          <w:spacing w:val="-45"/>
        </w:rPr>
        <w:t xml:space="preserve"> 日</w:t>
      </w:r>
      <w:r>
        <w:rPr>
          <w:spacing w:val="-15"/>
        </w:rPr>
        <w:t xml:space="preserve">） </w:t>
      </w:r>
      <w:r>
        <w:t>2、材料与设备计划</w:t>
      </w:r>
    </w:p>
    <w:p>
      <w:pPr>
        <w:pStyle w:val="BodyText"/>
        <w:spacing w:before="8" w:line="364" w:lineRule="auto"/>
        <w:ind w:left="1138" w:right="1719"/>
      </w:pPr>
      <w:r>
        <w:t>(1)混凝土：混凝土前期采用商品混凝土，后期自建混凝土站供应。(2)钢材：钢箱梁采用 Q345（D)钢材，从厂家统一订购。</w:t>
      </w:r>
    </w:p>
    <w:p>
      <w:pPr>
        <w:pStyle w:val="ListParagraph"/>
        <w:numPr>
          <w:ilvl w:val="0"/>
          <w:numId w:val="22"/>
        </w:numPr>
        <w:tabs>
          <w:tab w:val="left" w:pos="1679"/>
        </w:tabs>
        <w:spacing w:before="3" w:after="0" w:line="364" w:lineRule="auto"/>
        <w:ind w:left="418" w:right="300" w:firstLine="720"/>
        <w:jc w:val="both"/>
        <w:rPr>
          <w:sz w:val="36"/>
        </w:rPr>
      </w:pPr>
      <w:r>
        <w:rPr>
          <w:spacing w:val="-1"/>
          <w:sz w:val="36"/>
        </w:rPr>
        <w:t xml:space="preserve">普通钢筋：钢筋直径大于 </w:t>
      </w:r>
      <w:r>
        <w:rPr>
          <w:sz w:val="36"/>
        </w:rPr>
        <w:t>12mm</w:t>
      </w:r>
      <w:r>
        <w:rPr>
          <w:spacing w:val="-3"/>
          <w:sz w:val="36"/>
        </w:rPr>
        <w:t xml:space="preserve"> 采用 </w:t>
      </w:r>
      <w:r>
        <w:rPr>
          <w:sz w:val="36"/>
        </w:rPr>
        <w:t>HRB335</w:t>
      </w:r>
      <w:r>
        <w:rPr>
          <w:spacing w:val="-3"/>
          <w:sz w:val="36"/>
        </w:rPr>
        <w:t xml:space="preserve"> 钢筋，直径小于 </w:t>
      </w:r>
      <w:r>
        <w:rPr>
          <w:sz w:val="36"/>
        </w:rPr>
        <w:t>12mm</w:t>
      </w:r>
      <w:r>
        <w:rPr>
          <w:spacing w:val="-7"/>
          <w:sz w:val="36"/>
        </w:rPr>
        <w:t xml:space="preserve"> 采用</w:t>
      </w:r>
      <w:r>
        <w:rPr>
          <w:sz w:val="36"/>
        </w:rPr>
        <w:t>HPB300</w:t>
      </w:r>
      <w:r>
        <w:rPr>
          <w:spacing w:val="-6"/>
          <w:sz w:val="36"/>
        </w:rPr>
        <w:t xml:space="preserve">，其技术标准须符合 </w:t>
      </w:r>
      <w:r>
        <w:rPr>
          <w:sz w:val="36"/>
        </w:rPr>
        <w:t>GB1499.1-2008</w:t>
      </w:r>
      <w:r>
        <w:rPr>
          <w:spacing w:val="-34"/>
          <w:sz w:val="36"/>
        </w:rPr>
        <w:t xml:space="preserve"> 和 </w:t>
      </w:r>
      <w:r>
        <w:rPr>
          <w:sz w:val="36"/>
        </w:rPr>
        <w:t>GB1499.2-2007</w:t>
      </w:r>
      <w:r>
        <w:rPr>
          <w:spacing w:val="-9"/>
          <w:sz w:val="36"/>
        </w:rPr>
        <w:t xml:space="preserve"> 的有关规定。我合</w:t>
      </w:r>
      <w:r>
        <w:rPr>
          <w:sz w:val="36"/>
        </w:rPr>
        <w:t>同段与其他三个标段由指挥部统一联合采购。</w:t>
      </w:r>
    </w:p>
    <w:p>
      <w:pPr>
        <w:pStyle w:val="ListParagraph"/>
        <w:numPr>
          <w:ilvl w:val="0"/>
          <w:numId w:val="22"/>
        </w:numPr>
        <w:tabs>
          <w:tab w:val="left" w:pos="1499"/>
        </w:tabs>
        <w:spacing w:before="0" w:after="0" w:line="345" w:lineRule="exact"/>
        <w:ind w:left="1499" w:right="0" w:hanging="541"/>
        <w:jc w:val="left"/>
        <w:rPr>
          <w:sz w:val="36"/>
        </w:rPr>
      </w:pPr>
      <w:r>
        <w:rPr>
          <w:sz w:val="36"/>
        </w:rPr>
        <w:t>设备计划</w:t>
      </w:r>
    </w:p>
    <w:p>
      <w:pPr>
        <w:pStyle w:val="BodyText"/>
        <w:spacing w:before="125"/>
        <w:ind w:left="418"/>
      </w:pPr>
      <w:r>
        <w:t>施工主要机械设备见下表：</w:t>
      </w:r>
    </w:p>
    <w:p>
      <w:pPr>
        <w:pStyle w:val="BodyText"/>
        <w:rPr>
          <w:sz w:val="20"/>
        </w:rPr>
      </w:pPr>
    </w:p>
    <w:p>
      <w:pPr>
        <w:pStyle w:val="BodyText"/>
        <w:spacing w:before="6"/>
        <w:rPr>
          <w:sz w:val="11"/>
        </w:rPr>
      </w:pPr>
    </w:p>
    <w:tbl>
      <w:tblPr>
        <w:tblStyle w:val="TableNormal0"/>
        <w:tblW w:w="0" w:type="auto"/>
        <w:jc w:val="left"/>
        <w:tblInd w:w="7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67"/>
        <w:gridCol w:w="3469"/>
        <w:gridCol w:w="2526"/>
        <w:gridCol w:w="2304"/>
      </w:tblGrid>
      <w:tr>
        <w:tblPrEx>
          <w:tblW w:w="0" w:type="auto"/>
          <w:jc w:val="left"/>
          <w:tblInd w:w="7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267"/>
          <w:jc w:val="left"/>
        </w:trPr>
        <w:tc>
          <w:tcPr>
            <w:tcW w:w="1267" w:type="dxa"/>
          </w:tcPr>
          <w:p>
            <w:pPr>
              <w:pStyle w:val="TableParagraph"/>
              <w:spacing w:line="411" w:lineRule="exact"/>
              <w:ind w:left="50"/>
              <w:rPr>
                <w:sz w:val="36"/>
              </w:rPr>
            </w:pPr>
            <w:r>
              <w:rPr>
                <w:sz w:val="36"/>
              </w:rPr>
              <w:t>序号</w:t>
            </w:r>
          </w:p>
          <w:p>
            <w:pPr>
              <w:pStyle w:val="TableParagraph"/>
              <w:spacing w:before="262"/>
              <w:ind w:left="50"/>
              <w:rPr>
                <w:sz w:val="36"/>
              </w:rPr>
            </w:pPr>
            <w:r>
              <w:rPr>
                <w:sz w:val="36"/>
              </w:rPr>
              <w:t>1</w:t>
            </w:r>
          </w:p>
        </w:tc>
        <w:tc>
          <w:tcPr>
            <w:tcW w:w="3469" w:type="dxa"/>
          </w:tcPr>
          <w:p>
            <w:pPr>
              <w:pStyle w:val="TableParagraph"/>
              <w:spacing w:line="411" w:lineRule="exact"/>
              <w:ind w:left="496"/>
              <w:rPr>
                <w:sz w:val="36"/>
              </w:rPr>
            </w:pPr>
            <w:r>
              <w:rPr>
                <w:sz w:val="36"/>
              </w:rPr>
              <w:t>设备名称</w:t>
            </w:r>
          </w:p>
          <w:p>
            <w:pPr>
              <w:pStyle w:val="TableParagraph"/>
              <w:spacing w:before="262"/>
              <w:ind w:left="496"/>
              <w:rPr>
                <w:sz w:val="36"/>
              </w:rPr>
            </w:pPr>
            <w:r>
              <w:rPr>
                <w:sz w:val="36"/>
              </w:rPr>
              <w:t>旋挖钻机</w:t>
            </w:r>
          </w:p>
        </w:tc>
        <w:tc>
          <w:tcPr>
            <w:tcW w:w="2526" w:type="dxa"/>
          </w:tcPr>
          <w:p>
            <w:pPr>
              <w:pStyle w:val="TableParagraph"/>
              <w:spacing w:line="411" w:lineRule="exact"/>
              <w:ind w:left="1171"/>
              <w:rPr>
                <w:sz w:val="36"/>
              </w:rPr>
            </w:pPr>
            <w:r>
              <w:rPr>
                <w:sz w:val="36"/>
              </w:rPr>
              <w:t>数量</w:t>
            </w:r>
          </w:p>
          <w:p>
            <w:pPr>
              <w:pStyle w:val="TableParagraph"/>
              <w:spacing w:before="262"/>
              <w:ind w:left="1171"/>
              <w:rPr>
                <w:sz w:val="36"/>
              </w:rPr>
            </w:pPr>
            <w:r>
              <w:rPr>
                <w:sz w:val="36"/>
              </w:rPr>
              <w:t>1</w:t>
            </w:r>
            <w:r>
              <w:rPr>
                <w:spacing w:val="-45"/>
                <w:sz w:val="36"/>
              </w:rPr>
              <w:t xml:space="preserve"> 台</w:t>
            </w:r>
          </w:p>
        </w:tc>
        <w:tc>
          <w:tcPr>
            <w:tcW w:w="2304" w:type="dxa"/>
          </w:tcPr>
          <w:p>
            <w:pPr>
              <w:pStyle w:val="TableParagraph"/>
              <w:spacing w:line="411" w:lineRule="exact"/>
              <w:ind w:left="633"/>
              <w:rPr>
                <w:sz w:val="36"/>
              </w:rPr>
            </w:pPr>
            <w:r>
              <w:rPr>
                <w:sz w:val="36"/>
              </w:rPr>
              <w:t>备注</w:t>
            </w:r>
          </w:p>
        </w:tc>
      </w:tr>
      <w:tr>
        <w:tblPrEx>
          <w:tblW w:w="0" w:type="auto"/>
          <w:jc w:val="left"/>
          <w:tblInd w:w="746" w:type="dxa"/>
          <w:tblLayout w:type="fixed"/>
          <w:tblCellMar>
            <w:top w:w="0" w:type="dxa"/>
            <w:left w:w="0" w:type="dxa"/>
            <w:bottom w:w="0" w:type="dxa"/>
            <w:right w:w="0" w:type="dxa"/>
          </w:tblCellMar>
          <w:tblLook w:val="01E0"/>
        </w:tblPrEx>
        <w:trPr>
          <w:trHeight w:val="725"/>
          <w:jc w:val="left"/>
        </w:trPr>
        <w:tc>
          <w:tcPr>
            <w:tcW w:w="1267" w:type="dxa"/>
          </w:tcPr>
          <w:p>
            <w:pPr>
              <w:pStyle w:val="TableParagraph"/>
              <w:spacing w:before="133"/>
              <w:ind w:left="50"/>
              <w:rPr>
                <w:sz w:val="36"/>
              </w:rPr>
            </w:pPr>
            <w:r>
              <w:rPr>
                <w:sz w:val="36"/>
              </w:rPr>
              <w:t>2</w:t>
            </w:r>
          </w:p>
        </w:tc>
        <w:tc>
          <w:tcPr>
            <w:tcW w:w="3469" w:type="dxa"/>
          </w:tcPr>
          <w:p>
            <w:pPr>
              <w:pStyle w:val="TableParagraph"/>
              <w:spacing w:before="133"/>
              <w:ind w:left="496"/>
              <w:rPr>
                <w:sz w:val="36"/>
              </w:rPr>
            </w:pPr>
            <w:r>
              <w:rPr>
                <w:sz w:val="36"/>
              </w:rPr>
              <w:t>发电机</w:t>
            </w:r>
          </w:p>
        </w:tc>
        <w:tc>
          <w:tcPr>
            <w:tcW w:w="2526" w:type="dxa"/>
          </w:tcPr>
          <w:p>
            <w:pPr>
              <w:pStyle w:val="TableParagraph"/>
              <w:spacing w:before="133"/>
              <w:ind w:right="721"/>
              <w:jc w:val="right"/>
              <w:rPr>
                <w:sz w:val="36"/>
              </w:rPr>
            </w:pPr>
            <w:r>
              <w:rPr>
                <w:sz w:val="36"/>
              </w:rPr>
              <w:t>1 台</w:t>
            </w:r>
          </w:p>
        </w:tc>
        <w:tc>
          <w:tcPr>
            <w:tcW w:w="2304" w:type="dxa"/>
          </w:tcPr>
          <w:p>
            <w:pPr>
              <w:pStyle w:val="TableParagraph"/>
              <w:spacing w:before="133"/>
              <w:ind w:left="633"/>
              <w:rPr>
                <w:sz w:val="36"/>
              </w:rPr>
            </w:pPr>
            <w:r>
              <w:rPr>
                <w:sz w:val="36"/>
              </w:rPr>
              <w:t>备用</w:t>
            </w:r>
          </w:p>
        </w:tc>
      </w:tr>
      <w:tr>
        <w:tblPrEx>
          <w:tblW w:w="0" w:type="auto"/>
          <w:jc w:val="left"/>
          <w:tblInd w:w="746" w:type="dxa"/>
          <w:tblLayout w:type="fixed"/>
          <w:tblCellMar>
            <w:top w:w="0" w:type="dxa"/>
            <w:left w:w="0" w:type="dxa"/>
            <w:bottom w:w="0" w:type="dxa"/>
            <w:right w:w="0" w:type="dxa"/>
          </w:tblCellMar>
          <w:tblLook w:val="01E0"/>
        </w:tblPrEx>
        <w:trPr>
          <w:trHeight w:val="723"/>
          <w:jc w:val="left"/>
        </w:trPr>
        <w:tc>
          <w:tcPr>
            <w:tcW w:w="1267" w:type="dxa"/>
          </w:tcPr>
          <w:p>
            <w:pPr>
              <w:pStyle w:val="TableParagraph"/>
              <w:spacing w:before="131"/>
              <w:ind w:left="50"/>
              <w:rPr>
                <w:sz w:val="36"/>
              </w:rPr>
            </w:pPr>
            <w:r>
              <w:rPr>
                <w:sz w:val="36"/>
              </w:rPr>
              <w:t>3</w:t>
            </w:r>
          </w:p>
        </w:tc>
        <w:tc>
          <w:tcPr>
            <w:tcW w:w="3469" w:type="dxa"/>
          </w:tcPr>
          <w:p>
            <w:pPr>
              <w:pStyle w:val="TableParagraph"/>
              <w:spacing w:before="131"/>
              <w:ind w:left="496"/>
              <w:rPr>
                <w:sz w:val="36"/>
              </w:rPr>
            </w:pPr>
            <w:r>
              <w:rPr>
                <w:sz w:val="36"/>
              </w:rPr>
              <w:t>电焊机</w:t>
            </w:r>
          </w:p>
        </w:tc>
        <w:tc>
          <w:tcPr>
            <w:tcW w:w="2526" w:type="dxa"/>
          </w:tcPr>
          <w:p>
            <w:pPr>
              <w:pStyle w:val="TableParagraph"/>
              <w:spacing w:before="131"/>
              <w:ind w:right="721"/>
              <w:jc w:val="right"/>
              <w:rPr>
                <w:sz w:val="36"/>
              </w:rPr>
            </w:pPr>
            <w:r>
              <w:rPr>
                <w:sz w:val="36"/>
              </w:rPr>
              <w:t>3 台</w:t>
            </w:r>
          </w:p>
        </w:tc>
        <w:tc>
          <w:tcPr>
            <w:tcW w:w="2304" w:type="dxa"/>
          </w:tcPr>
          <w:p>
            <w:pPr>
              <w:pStyle w:val="TableParagraph"/>
              <w:rPr>
                <w:rFonts w:ascii="Times New Roman"/>
                <w:sz w:val="34"/>
              </w:rPr>
            </w:pPr>
          </w:p>
        </w:tc>
      </w:tr>
      <w:tr>
        <w:tblPrEx>
          <w:tblW w:w="0" w:type="auto"/>
          <w:jc w:val="left"/>
          <w:tblInd w:w="746" w:type="dxa"/>
          <w:tblLayout w:type="fixed"/>
          <w:tblCellMar>
            <w:top w:w="0" w:type="dxa"/>
            <w:left w:w="0" w:type="dxa"/>
            <w:bottom w:w="0" w:type="dxa"/>
            <w:right w:w="0" w:type="dxa"/>
          </w:tblCellMar>
          <w:tblLook w:val="01E0"/>
        </w:tblPrEx>
        <w:trPr>
          <w:trHeight w:val="723"/>
          <w:jc w:val="left"/>
        </w:trPr>
        <w:tc>
          <w:tcPr>
            <w:tcW w:w="1267" w:type="dxa"/>
          </w:tcPr>
          <w:p>
            <w:pPr>
              <w:pStyle w:val="TableParagraph"/>
              <w:spacing w:before="131"/>
              <w:ind w:left="50"/>
              <w:rPr>
                <w:sz w:val="36"/>
              </w:rPr>
            </w:pPr>
            <w:r>
              <w:rPr>
                <w:sz w:val="36"/>
              </w:rPr>
              <w:t>4</w:t>
            </w:r>
          </w:p>
        </w:tc>
        <w:tc>
          <w:tcPr>
            <w:tcW w:w="3469" w:type="dxa"/>
          </w:tcPr>
          <w:p>
            <w:pPr>
              <w:pStyle w:val="TableParagraph"/>
              <w:spacing w:before="131"/>
              <w:ind w:left="496"/>
              <w:rPr>
                <w:sz w:val="36"/>
              </w:rPr>
            </w:pPr>
            <w:r>
              <w:rPr>
                <w:sz w:val="36"/>
              </w:rPr>
              <w:t>钢筋截断机</w:t>
            </w:r>
          </w:p>
        </w:tc>
        <w:tc>
          <w:tcPr>
            <w:tcW w:w="2526" w:type="dxa"/>
          </w:tcPr>
          <w:p>
            <w:pPr>
              <w:pStyle w:val="TableParagraph"/>
              <w:spacing w:before="131"/>
              <w:ind w:right="721"/>
              <w:jc w:val="right"/>
              <w:rPr>
                <w:sz w:val="36"/>
              </w:rPr>
            </w:pPr>
            <w:r>
              <w:rPr>
                <w:sz w:val="36"/>
              </w:rPr>
              <w:t>1 台</w:t>
            </w:r>
          </w:p>
        </w:tc>
        <w:tc>
          <w:tcPr>
            <w:tcW w:w="2304" w:type="dxa"/>
          </w:tcPr>
          <w:p>
            <w:pPr>
              <w:pStyle w:val="TableParagraph"/>
              <w:rPr>
                <w:rFonts w:ascii="Times New Roman"/>
                <w:sz w:val="34"/>
              </w:rPr>
            </w:pPr>
          </w:p>
        </w:tc>
      </w:tr>
      <w:tr>
        <w:tblPrEx>
          <w:tblW w:w="0" w:type="auto"/>
          <w:jc w:val="left"/>
          <w:tblInd w:w="746" w:type="dxa"/>
          <w:tblLayout w:type="fixed"/>
          <w:tblCellMar>
            <w:top w:w="0" w:type="dxa"/>
            <w:left w:w="0" w:type="dxa"/>
            <w:bottom w:w="0" w:type="dxa"/>
            <w:right w:w="0" w:type="dxa"/>
          </w:tblCellMar>
          <w:tblLook w:val="01E0"/>
        </w:tblPrEx>
        <w:trPr>
          <w:trHeight w:val="725"/>
          <w:jc w:val="left"/>
        </w:trPr>
        <w:tc>
          <w:tcPr>
            <w:tcW w:w="1267" w:type="dxa"/>
          </w:tcPr>
          <w:p>
            <w:pPr>
              <w:pStyle w:val="TableParagraph"/>
              <w:spacing w:before="131"/>
              <w:ind w:left="50"/>
              <w:rPr>
                <w:sz w:val="36"/>
              </w:rPr>
            </w:pPr>
            <w:r>
              <w:rPr>
                <w:sz w:val="36"/>
              </w:rPr>
              <w:t>5</w:t>
            </w:r>
          </w:p>
        </w:tc>
        <w:tc>
          <w:tcPr>
            <w:tcW w:w="3469" w:type="dxa"/>
          </w:tcPr>
          <w:p>
            <w:pPr>
              <w:pStyle w:val="TableParagraph"/>
              <w:spacing w:before="131"/>
              <w:ind w:left="496"/>
              <w:rPr>
                <w:sz w:val="36"/>
              </w:rPr>
            </w:pPr>
            <w:r>
              <w:rPr>
                <w:sz w:val="36"/>
              </w:rPr>
              <w:t>钢筋弯曲机</w:t>
            </w:r>
          </w:p>
        </w:tc>
        <w:tc>
          <w:tcPr>
            <w:tcW w:w="2526" w:type="dxa"/>
          </w:tcPr>
          <w:p>
            <w:pPr>
              <w:pStyle w:val="TableParagraph"/>
              <w:spacing w:before="131"/>
              <w:ind w:right="721"/>
              <w:jc w:val="right"/>
              <w:rPr>
                <w:sz w:val="36"/>
              </w:rPr>
            </w:pPr>
            <w:r>
              <w:rPr>
                <w:sz w:val="36"/>
              </w:rPr>
              <w:t>1 台</w:t>
            </w:r>
          </w:p>
        </w:tc>
        <w:tc>
          <w:tcPr>
            <w:tcW w:w="2304" w:type="dxa"/>
          </w:tcPr>
          <w:p>
            <w:pPr>
              <w:pStyle w:val="TableParagraph"/>
              <w:rPr>
                <w:rFonts w:ascii="Times New Roman"/>
                <w:sz w:val="34"/>
              </w:rPr>
            </w:pPr>
          </w:p>
        </w:tc>
      </w:tr>
      <w:tr>
        <w:tblPrEx>
          <w:tblW w:w="0" w:type="auto"/>
          <w:jc w:val="left"/>
          <w:tblInd w:w="746" w:type="dxa"/>
          <w:tblLayout w:type="fixed"/>
          <w:tblCellMar>
            <w:top w:w="0" w:type="dxa"/>
            <w:left w:w="0" w:type="dxa"/>
            <w:bottom w:w="0" w:type="dxa"/>
            <w:right w:w="0" w:type="dxa"/>
          </w:tblCellMar>
          <w:tblLook w:val="01E0"/>
        </w:tblPrEx>
        <w:trPr>
          <w:trHeight w:val="725"/>
          <w:jc w:val="left"/>
        </w:trPr>
        <w:tc>
          <w:tcPr>
            <w:tcW w:w="1267" w:type="dxa"/>
          </w:tcPr>
          <w:p>
            <w:pPr>
              <w:pStyle w:val="TableParagraph"/>
              <w:spacing w:before="133"/>
              <w:ind w:left="50"/>
              <w:rPr>
                <w:sz w:val="36"/>
              </w:rPr>
            </w:pPr>
            <w:r>
              <w:rPr>
                <w:sz w:val="36"/>
              </w:rPr>
              <w:t>6</w:t>
            </w:r>
          </w:p>
        </w:tc>
        <w:tc>
          <w:tcPr>
            <w:tcW w:w="3469" w:type="dxa"/>
          </w:tcPr>
          <w:p>
            <w:pPr>
              <w:pStyle w:val="TableParagraph"/>
              <w:spacing w:before="133"/>
              <w:ind w:left="496"/>
              <w:rPr>
                <w:sz w:val="36"/>
              </w:rPr>
            </w:pPr>
            <w:r>
              <w:rPr>
                <w:sz w:val="36"/>
              </w:rPr>
              <w:t>砂轮切割机</w:t>
            </w:r>
          </w:p>
        </w:tc>
        <w:tc>
          <w:tcPr>
            <w:tcW w:w="2526" w:type="dxa"/>
          </w:tcPr>
          <w:p>
            <w:pPr>
              <w:pStyle w:val="TableParagraph"/>
              <w:spacing w:before="133"/>
              <w:ind w:right="721"/>
              <w:jc w:val="right"/>
              <w:rPr>
                <w:sz w:val="36"/>
              </w:rPr>
            </w:pPr>
            <w:r>
              <w:rPr>
                <w:sz w:val="36"/>
              </w:rPr>
              <w:t>1 台</w:t>
            </w:r>
          </w:p>
        </w:tc>
        <w:tc>
          <w:tcPr>
            <w:tcW w:w="2304" w:type="dxa"/>
          </w:tcPr>
          <w:p>
            <w:pPr>
              <w:pStyle w:val="TableParagraph"/>
              <w:rPr>
                <w:rFonts w:ascii="Times New Roman"/>
                <w:sz w:val="34"/>
              </w:rPr>
            </w:pPr>
          </w:p>
        </w:tc>
      </w:tr>
      <w:tr>
        <w:tblPrEx>
          <w:tblW w:w="0" w:type="auto"/>
          <w:jc w:val="left"/>
          <w:tblInd w:w="746" w:type="dxa"/>
          <w:tblLayout w:type="fixed"/>
          <w:tblCellMar>
            <w:top w:w="0" w:type="dxa"/>
            <w:left w:w="0" w:type="dxa"/>
            <w:bottom w:w="0" w:type="dxa"/>
            <w:right w:w="0" w:type="dxa"/>
          </w:tblCellMar>
          <w:tblLook w:val="01E0"/>
        </w:tblPrEx>
        <w:trPr>
          <w:trHeight w:val="723"/>
          <w:jc w:val="left"/>
        </w:trPr>
        <w:tc>
          <w:tcPr>
            <w:tcW w:w="1267" w:type="dxa"/>
          </w:tcPr>
          <w:p>
            <w:pPr>
              <w:pStyle w:val="TableParagraph"/>
              <w:spacing w:before="131"/>
              <w:ind w:left="50"/>
              <w:rPr>
                <w:sz w:val="36"/>
              </w:rPr>
            </w:pPr>
            <w:r>
              <w:rPr>
                <w:sz w:val="36"/>
              </w:rPr>
              <w:t>7</w:t>
            </w:r>
          </w:p>
        </w:tc>
        <w:tc>
          <w:tcPr>
            <w:tcW w:w="3469" w:type="dxa"/>
          </w:tcPr>
          <w:p>
            <w:pPr>
              <w:pStyle w:val="TableParagraph"/>
              <w:spacing w:before="131"/>
              <w:ind w:left="496"/>
              <w:rPr>
                <w:sz w:val="36"/>
              </w:rPr>
            </w:pPr>
            <w:r>
              <w:rPr>
                <w:sz w:val="36"/>
              </w:rPr>
              <w:t>钢筋调直机</w:t>
            </w:r>
          </w:p>
        </w:tc>
        <w:tc>
          <w:tcPr>
            <w:tcW w:w="2526" w:type="dxa"/>
          </w:tcPr>
          <w:p>
            <w:pPr>
              <w:pStyle w:val="TableParagraph"/>
              <w:spacing w:before="131"/>
              <w:ind w:right="721"/>
              <w:jc w:val="right"/>
              <w:rPr>
                <w:sz w:val="36"/>
              </w:rPr>
            </w:pPr>
            <w:r>
              <w:rPr>
                <w:sz w:val="36"/>
              </w:rPr>
              <w:t>1 台</w:t>
            </w:r>
          </w:p>
        </w:tc>
        <w:tc>
          <w:tcPr>
            <w:tcW w:w="2304" w:type="dxa"/>
          </w:tcPr>
          <w:p>
            <w:pPr>
              <w:pStyle w:val="TableParagraph"/>
              <w:rPr>
                <w:rFonts w:ascii="Times New Roman"/>
                <w:sz w:val="34"/>
              </w:rPr>
            </w:pPr>
          </w:p>
        </w:tc>
      </w:tr>
      <w:tr>
        <w:tblPrEx>
          <w:tblW w:w="0" w:type="auto"/>
          <w:jc w:val="left"/>
          <w:tblInd w:w="746" w:type="dxa"/>
          <w:tblLayout w:type="fixed"/>
          <w:tblCellMar>
            <w:top w:w="0" w:type="dxa"/>
            <w:left w:w="0" w:type="dxa"/>
            <w:bottom w:w="0" w:type="dxa"/>
            <w:right w:w="0" w:type="dxa"/>
          </w:tblCellMar>
          <w:tblLook w:val="01E0"/>
        </w:tblPrEx>
        <w:trPr>
          <w:trHeight w:val="723"/>
          <w:jc w:val="left"/>
        </w:trPr>
        <w:tc>
          <w:tcPr>
            <w:tcW w:w="1267" w:type="dxa"/>
          </w:tcPr>
          <w:p>
            <w:pPr>
              <w:pStyle w:val="TableParagraph"/>
              <w:spacing w:before="131"/>
              <w:ind w:left="50"/>
              <w:rPr>
                <w:sz w:val="36"/>
              </w:rPr>
            </w:pPr>
            <w:r>
              <w:rPr>
                <w:sz w:val="36"/>
              </w:rPr>
              <w:t>8</w:t>
            </w:r>
          </w:p>
        </w:tc>
        <w:tc>
          <w:tcPr>
            <w:tcW w:w="3469" w:type="dxa"/>
          </w:tcPr>
          <w:p>
            <w:pPr>
              <w:pStyle w:val="TableParagraph"/>
              <w:spacing w:before="131"/>
              <w:ind w:left="496"/>
              <w:rPr>
                <w:sz w:val="36"/>
              </w:rPr>
            </w:pPr>
            <w:r>
              <w:rPr>
                <w:sz w:val="36"/>
              </w:rPr>
              <w:t>挖机</w:t>
            </w:r>
          </w:p>
        </w:tc>
        <w:tc>
          <w:tcPr>
            <w:tcW w:w="2526" w:type="dxa"/>
          </w:tcPr>
          <w:p>
            <w:pPr>
              <w:pStyle w:val="TableParagraph"/>
              <w:spacing w:before="131"/>
              <w:ind w:right="721"/>
              <w:jc w:val="right"/>
              <w:rPr>
                <w:sz w:val="36"/>
              </w:rPr>
            </w:pPr>
            <w:r>
              <w:rPr>
                <w:sz w:val="36"/>
              </w:rPr>
              <w:t>1 台</w:t>
            </w:r>
          </w:p>
        </w:tc>
        <w:tc>
          <w:tcPr>
            <w:tcW w:w="2304" w:type="dxa"/>
          </w:tcPr>
          <w:p>
            <w:pPr>
              <w:pStyle w:val="TableParagraph"/>
              <w:rPr>
                <w:rFonts w:ascii="Times New Roman"/>
                <w:sz w:val="34"/>
              </w:rPr>
            </w:pPr>
          </w:p>
        </w:tc>
      </w:tr>
      <w:tr>
        <w:tblPrEx>
          <w:tblW w:w="0" w:type="auto"/>
          <w:jc w:val="left"/>
          <w:tblInd w:w="746" w:type="dxa"/>
          <w:tblLayout w:type="fixed"/>
          <w:tblCellMar>
            <w:top w:w="0" w:type="dxa"/>
            <w:left w:w="0" w:type="dxa"/>
            <w:bottom w:w="0" w:type="dxa"/>
            <w:right w:w="0" w:type="dxa"/>
          </w:tblCellMar>
          <w:tblLook w:val="01E0"/>
        </w:tblPrEx>
        <w:trPr>
          <w:trHeight w:val="725"/>
          <w:jc w:val="left"/>
        </w:trPr>
        <w:tc>
          <w:tcPr>
            <w:tcW w:w="1267" w:type="dxa"/>
          </w:tcPr>
          <w:p>
            <w:pPr>
              <w:pStyle w:val="TableParagraph"/>
              <w:spacing w:before="131"/>
              <w:ind w:left="50"/>
              <w:rPr>
                <w:sz w:val="36"/>
              </w:rPr>
            </w:pPr>
            <w:r>
              <w:rPr>
                <w:sz w:val="36"/>
              </w:rPr>
              <w:t>9</w:t>
            </w:r>
          </w:p>
        </w:tc>
        <w:tc>
          <w:tcPr>
            <w:tcW w:w="3469" w:type="dxa"/>
          </w:tcPr>
          <w:p>
            <w:pPr>
              <w:pStyle w:val="TableParagraph"/>
              <w:spacing w:before="131"/>
              <w:ind w:left="496"/>
              <w:rPr>
                <w:sz w:val="36"/>
              </w:rPr>
            </w:pPr>
            <w:r>
              <w:rPr>
                <w:sz w:val="36"/>
              </w:rPr>
              <w:t>吊车</w:t>
            </w:r>
          </w:p>
        </w:tc>
        <w:tc>
          <w:tcPr>
            <w:tcW w:w="2526" w:type="dxa"/>
          </w:tcPr>
          <w:p>
            <w:pPr>
              <w:pStyle w:val="TableParagraph"/>
              <w:spacing w:before="131"/>
              <w:ind w:right="721"/>
              <w:jc w:val="right"/>
              <w:rPr>
                <w:sz w:val="36"/>
              </w:rPr>
            </w:pPr>
            <w:r>
              <w:rPr>
                <w:sz w:val="36"/>
              </w:rPr>
              <w:t>1 台</w:t>
            </w:r>
          </w:p>
        </w:tc>
        <w:tc>
          <w:tcPr>
            <w:tcW w:w="2304" w:type="dxa"/>
          </w:tcPr>
          <w:p>
            <w:pPr>
              <w:pStyle w:val="TableParagraph"/>
              <w:rPr>
                <w:rFonts w:ascii="Times New Roman"/>
                <w:sz w:val="34"/>
              </w:rPr>
            </w:pPr>
          </w:p>
        </w:tc>
      </w:tr>
      <w:tr>
        <w:tblPrEx>
          <w:tblW w:w="0" w:type="auto"/>
          <w:jc w:val="left"/>
          <w:tblInd w:w="746" w:type="dxa"/>
          <w:tblLayout w:type="fixed"/>
          <w:tblCellMar>
            <w:top w:w="0" w:type="dxa"/>
            <w:left w:w="0" w:type="dxa"/>
            <w:bottom w:w="0" w:type="dxa"/>
            <w:right w:w="0" w:type="dxa"/>
          </w:tblCellMar>
          <w:tblLook w:val="01E0"/>
        </w:tblPrEx>
        <w:trPr>
          <w:trHeight w:val="725"/>
          <w:jc w:val="left"/>
        </w:trPr>
        <w:tc>
          <w:tcPr>
            <w:tcW w:w="1267" w:type="dxa"/>
          </w:tcPr>
          <w:p>
            <w:pPr>
              <w:pStyle w:val="TableParagraph"/>
              <w:spacing w:before="133"/>
              <w:ind w:left="50"/>
              <w:rPr>
                <w:sz w:val="36"/>
              </w:rPr>
            </w:pPr>
            <w:r>
              <w:rPr>
                <w:sz w:val="36"/>
              </w:rPr>
              <w:t>10</w:t>
            </w:r>
          </w:p>
        </w:tc>
        <w:tc>
          <w:tcPr>
            <w:tcW w:w="3469" w:type="dxa"/>
          </w:tcPr>
          <w:p>
            <w:pPr>
              <w:pStyle w:val="TableParagraph"/>
              <w:spacing w:before="133"/>
              <w:ind w:left="496"/>
              <w:rPr>
                <w:sz w:val="36"/>
              </w:rPr>
            </w:pPr>
            <w:r>
              <w:rPr>
                <w:sz w:val="36"/>
              </w:rPr>
              <w:t>风焊</w:t>
            </w:r>
          </w:p>
        </w:tc>
        <w:tc>
          <w:tcPr>
            <w:tcW w:w="2526" w:type="dxa"/>
          </w:tcPr>
          <w:p>
            <w:pPr>
              <w:pStyle w:val="TableParagraph"/>
              <w:spacing w:before="133"/>
              <w:ind w:right="721"/>
              <w:jc w:val="right"/>
              <w:rPr>
                <w:sz w:val="36"/>
              </w:rPr>
            </w:pPr>
            <w:r>
              <w:rPr>
                <w:sz w:val="36"/>
              </w:rPr>
              <w:t>1 套</w:t>
            </w:r>
          </w:p>
        </w:tc>
        <w:tc>
          <w:tcPr>
            <w:tcW w:w="2304" w:type="dxa"/>
          </w:tcPr>
          <w:p>
            <w:pPr>
              <w:pStyle w:val="TableParagraph"/>
              <w:spacing w:before="133"/>
              <w:ind w:left="633"/>
              <w:rPr>
                <w:sz w:val="36"/>
              </w:rPr>
            </w:pPr>
            <w:r>
              <w:rPr>
                <w:sz w:val="36"/>
              </w:rPr>
              <w:t>乙炔-氧气</w:t>
            </w:r>
          </w:p>
        </w:tc>
      </w:tr>
      <w:tr>
        <w:tblPrEx>
          <w:tblW w:w="0" w:type="auto"/>
          <w:jc w:val="left"/>
          <w:tblInd w:w="746" w:type="dxa"/>
          <w:tblLayout w:type="fixed"/>
          <w:tblCellMar>
            <w:top w:w="0" w:type="dxa"/>
            <w:left w:w="0" w:type="dxa"/>
            <w:bottom w:w="0" w:type="dxa"/>
            <w:right w:w="0" w:type="dxa"/>
          </w:tblCellMar>
          <w:tblLook w:val="01E0"/>
        </w:tblPrEx>
        <w:trPr>
          <w:trHeight w:val="723"/>
          <w:jc w:val="left"/>
        </w:trPr>
        <w:tc>
          <w:tcPr>
            <w:tcW w:w="1267" w:type="dxa"/>
          </w:tcPr>
          <w:p>
            <w:pPr>
              <w:pStyle w:val="TableParagraph"/>
              <w:spacing w:before="131"/>
              <w:ind w:left="50"/>
              <w:rPr>
                <w:sz w:val="36"/>
              </w:rPr>
            </w:pPr>
            <w:r>
              <w:rPr>
                <w:sz w:val="36"/>
              </w:rPr>
              <w:t>11</w:t>
            </w:r>
          </w:p>
        </w:tc>
        <w:tc>
          <w:tcPr>
            <w:tcW w:w="3469" w:type="dxa"/>
          </w:tcPr>
          <w:p>
            <w:pPr>
              <w:pStyle w:val="TableParagraph"/>
              <w:spacing w:before="131"/>
              <w:ind w:left="496"/>
              <w:rPr>
                <w:sz w:val="36"/>
              </w:rPr>
            </w:pPr>
            <w:r>
              <w:rPr>
                <w:sz w:val="36"/>
              </w:rPr>
              <w:t>泥浆泵</w:t>
            </w:r>
          </w:p>
        </w:tc>
        <w:tc>
          <w:tcPr>
            <w:tcW w:w="2526" w:type="dxa"/>
          </w:tcPr>
          <w:p>
            <w:pPr>
              <w:pStyle w:val="TableParagraph"/>
              <w:spacing w:before="131"/>
              <w:ind w:right="721"/>
              <w:jc w:val="right"/>
              <w:rPr>
                <w:sz w:val="36"/>
              </w:rPr>
            </w:pPr>
            <w:r>
              <w:rPr>
                <w:sz w:val="36"/>
              </w:rPr>
              <w:t>1 套</w:t>
            </w:r>
          </w:p>
        </w:tc>
        <w:tc>
          <w:tcPr>
            <w:tcW w:w="2304" w:type="dxa"/>
          </w:tcPr>
          <w:p>
            <w:pPr>
              <w:pStyle w:val="TableParagraph"/>
              <w:rPr>
                <w:rFonts w:ascii="Times New Roman"/>
                <w:sz w:val="34"/>
              </w:rPr>
            </w:pPr>
          </w:p>
        </w:tc>
      </w:tr>
      <w:tr>
        <w:tblPrEx>
          <w:tblW w:w="0" w:type="auto"/>
          <w:jc w:val="left"/>
          <w:tblInd w:w="746" w:type="dxa"/>
          <w:tblLayout w:type="fixed"/>
          <w:tblCellMar>
            <w:top w:w="0" w:type="dxa"/>
            <w:left w:w="0" w:type="dxa"/>
            <w:bottom w:w="0" w:type="dxa"/>
            <w:right w:w="0" w:type="dxa"/>
          </w:tblCellMar>
          <w:tblLook w:val="01E0"/>
        </w:tblPrEx>
        <w:trPr>
          <w:trHeight w:val="541"/>
          <w:jc w:val="left"/>
        </w:trPr>
        <w:tc>
          <w:tcPr>
            <w:tcW w:w="1267" w:type="dxa"/>
          </w:tcPr>
          <w:p>
            <w:pPr>
              <w:pStyle w:val="TableParagraph"/>
              <w:spacing w:before="131" w:line="391" w:lineRule="exact"/>
              <w:ind w:left="50"/>
              <w:rPr>
                <w:sz w:val="36"/>
              </w:rPr>
            </w:pPr>
            <w:r>
              <w:rPr>
                <w:sz w:val="36"/>
              </w:rPr>
              <w:t>12</w:t>
            </w:r>
          </w:p>
        </w:tc>
        <w:tc>
          <w:tcPr>
            <w:tcW w:w="3469" w:type="dxa"/>
          </w:tcPr>
          <w:p>
            <w:pPr>
              <w:pStyle w:val="TableParagraph"/>
              <w:rPr>
                <w:rFonts w:ascii="Times New Roman"/>
                <w:sz w:val="34"/>
              </w:rPr>
            </w:pPr>
          </w:p>
        </w:tc>
        <w:tc>
          <w:tcPr>
            <w:tcW w:w="2526" w:type="dxa"/>
          </w:tcPr>
          <w:p>
            <w:pPr>
              <w:pStyle w:val="TableParagraph"/>
              <w:rPr>
                <w:rFonts w:ascii="Times New Roman"/>
                <w:sz w:val="34"/>
              </w:rPr>
            </w:pPr>
          </w:p>
        </w:tc>
        <w:tc>
          <w:tcPr>
            <w:tcW w:w="2304" w:type="dxa"/>
          </w:tcPr>
          <w:p>
            <w:pPr>
              <w:pStyle w:val="TableParagraph"/>
              <w:rPr>
                <w:rFonts w:ascii="Times New Roman"/>
                <w:sz w:val="34"/>
              </w:rPr>
            </w:pPr>
          </w:p>
        </w:tc>
      </w:tr>
    </w:tbl>
    <w:p>
      <w:pPr>
        <w:pStyle w:val="BodyText"/>
        <w:rPr>
          <w:sz w:val="20"/>
        </w:rPr>
      </w:pPr>
    </w:p>
    <w:p>
      <w:pPr>
        <w:pStyle w:val="BodyText"/>
        <w:rPr>
          <w:sz w:val="20"/>
        </w:rPr>
      </w:pPr>
    </w:p>
    <w:p>
      <w:pPr>
        <w:pStyle w:val="BodyText"/>
        <w:spacing w:before="11"/>
        <w:rPr>
          <w:sz w:val="26"/>
        </w:rPr>
      </w:pPr>
    </w:p>
    <w:p>
      <w:pPr>
        <w:pStyle w:val="Heading1"/>
        <w:spacing w:before="42"/>
      </w:pPr>
      <w:r>
        <w:t>四、施工工艺</w:t>
      </w:r>
    </w:p>
    <w:p>
      <w:pPr>
        <w:pStyle w:val="BodyText"/>
        <w:rPr>
          <w:b/>
          <w:sz w:val="20"/>
        </w:rPr>
      </w:pPr>
    </w:p>
    <w:p>
      <w:pPr>
        <w:pStyle w:val="BodyText"/>
        <w:rPr>
          <w:b/>
          <w:sz w:val="20"/>
        </w:rPr>
      </w:pPr>
    </w:p>
    <w:p>
      <w:pPr>
        <w:pStyle w:val="BodyText"/>
        <w:rPr>
          <w:b/>
          <w:sz w:val="20"/>
        </w:rPr>
      </w:pPr>
    </w:p>
    <w:p>
      <w:pPr>
        <w:pStyle w:val="BodyText"/>
        <w:spacing w:before="5"/>
        <w:rPr>
          <w:b/>
          <w:sz w:val="26"/>
        </w:rPr>
      </w:pPr>
    </w:p>
    <w:p>
      <w:pPr>
        <w:spacing w:before="96"/>
        <w:ind w:left="4476"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版 整理</w:t>
      </w:r>
    </w:p>
    <w:p>
      <w:pPr>
        <w:spacing w:after="0"/>
        <w:jc w:val="left"/>
        <w:rPr>
          <w:rFonts w:ascii="宋体" w:eastAsia="宋体" w:hint="eastAsia"/>
          <w:sz w:val="27"/>
        </w:rPr>
        <w:sectPr>
          <w:pgSz w:w="17860" w:h="25260"/>
          <w:pgMar w:top="1020" w:right="1820" w:bottom="280" w:left="2560" w:header="708" w:footer="708"/>
          <w:pgNumType w:start="4"/>
          <w:cols w:space="708"/>
        </w:sectPr>
      </w:pPr>
    </w:p>
    <w:p>
      <w:pPr>
        <w:tabs>
          <w:tab w:val="left" w:pos="4202"/>
        </w:tabs>
        <w:spacing w:before="37"/>
        <w:ind w:left="2041" w:right="0" w:firstLine="0"/>
        <w:jc w:val="left"/>
        <w:rPr>
          <w:rFonts w:ascii="宋体" w:eastAsia="宋体" w:hint="eastAsia"/>
          <w:sz w:val="27"/>
        </w:rPr>
      </w:pPr>
      <w:r>
        <w:drawing>
          <wp:anchor distT="0" distB="0" distL="0" distR="0" simplePos="0" relativeHeight="251662336" behindDoc="1" locked="0" layoutInCell="1" allowOverlap="1">
            <wp:simplePos x="0" y="0"/>
            <wp:positionH relativeFrom="page">
              <wp:posOffset>0</wp:posOffset>
            </wp:positionH>
            <wp:positionV relativeFrom="page">
              <wp:posOffset>0</wp:posOffset>
            </wp:positionV>
            <wp:extent cx="11340845" cy="158496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宋体" w:eastAsia="宋体" w:hint="eastAsia"/>
          <w:sz w:val="27"/>
        </w:rPr>
        <w:t>范文</w:t>
      </w:r>
      <w:r>
        <w:rPr>
          <w:rFonts w:ascii="宋体" w:eastAsia="宋体" w:hint="eastAsia"/>
          <w:spacing w:val="1"/>
          <w:sz w:val="27"/>
        </w:rPr>
        <w:t xml:space="preserve"> </w:t>
      </w:r>
      <w:r>
        <w:rPr>
          <w:rFonts w:ascii="宋体" w:eastAsia="宋体" w:hint="eastAsia"/>
          <w:sz w:val="27"/>
        </w:rPr>
        <w:t>范例</w:t>
      </w:r>
      <w:r>
        <w:rPr>
          <w:rFonts w:ascii="宋体" w:eastAsia="宋体" w:hint="eastAsia"/>
          <w:spacing w:val="-1"/>
          <w:sz w:val="27"/>
        </w:rPr>
        <w:t xml:space="preserve"> </w:t>
      </w:r>
      <w:r>
        <w:rPr>
          <w:rFonts w:ascii="宋体" w:eastAsia="宋体" w:hint="eastAsia"/>
          <w:sz w:val="27"/>
        </w:rPr>
        <w:t>指导</w:t>
        <w:tab/>
        <w:t>参考</w:t>
      </w:r>
    </w:p>
    <w:p>
      <w:pPr>
        <w:pStyle w:val="BodyText"/>
        <w:rPr>
          <w:rFonts w:ascii="宋体"/>
          <w:sz w:val="26"/>
        </w:rPr>
      </w:pPr>
    </w:p>
    <w:p>
      <w:pPr>
        <w:pStyle w:val="BodyText"/>
        <w:spacing w:before="216"/>
        <w:ind w:left="418"/>
      </w:pPr>
      <w:r>
        <w:t>1、施工准备</w:t>
      </w:r>
    </w:p>
    <w:p>
      <w:pPr>
        <w:pStyle w:val="ListParagraph"/>
        <w:numPr>
          <w:ilvl w:val="1"/>
          <w:numId w:val="25"/>
        </w:numPr>
        <w:tabs>
          <w:tab w:val="left" w:pos="2039"/>
        </w:tabs>
        <w:spacing w:before="241" w:after="0" w:line="364" w:lineRule="auto"/>
        <w:ind w:left="418" w:right="279" w:firstLine="719"/>
        <w:jc w:val="left"/>
        <w:rPr>
          <w:sz w:val="36"/>
        </w:rPr>
      </w:pPr>
      <w:r>
        <w:rPr>
          <w:spacing w:val="-1"/>
          <w:sz w:val="36"/>
        </w:rPr>
        <w:t>开工前应具备场地工程的地质资料和必要的水文地质资料，桩基工程施</w:t>
      </w:r>
      <w:r>
        <w:rPr>
          <w:sz w:val="36"/>
        </w:rPr>
        <w:t>工图及图纸会审纪要。</w:t>
      </w:r>
    </w:p>
    <w:p>
      <w:pPr>
        <w:pStyle w:val="ListParagraph"/>
        <w:numPr>
          <w:ilvl w:val="1"/>
          <w:numId w:val="25"/>
        </w:numPr>
        <w:tabs>
          <w:tab w:val="left" w:pos="2039"/>
        </w:tabs>
        <w:spacing w:before="2" w:after="0" w:line="364" w:lineRule="auto"/>
        <w:ind w:left="418" w:right="279" w:firstLine="719"/>
        <w:jc w:val="left"/>
        <w:rPr>
          <w:sz w:val="36"/>
        </w:rPr>
      </w:pPr>
      <w:r>
        <w:rPr>
          <w:spacing w:val="-1"/>
          <w:sz w:val="36"/>
        </w:rPr>
        <w:t>由于旋挖钻机回转半径大，钻杆高，自重大，在钻机就位前要设计要求</w:t>
      </w:r>
      <w:r>
        <w:rPr>
          <w:sz w:val="36"/>
        </w:rPr>
        <w:t>合理布置施工场地，先平整场地、清除杂物、换除软土、夯打密实。以保证施工安全。</w:t>
      </w:r>
    </w:p>
    <w:p>
      <w:pPr>
        <w:pStyle w:val="ListParagraph"/>
        <w:numPr>
          <w:ilvl w:val="1"/>
          <w:numId w:val="25"/>
        </w:numPr>
        <w:tabs>
          <w:tab w:val="left" w:pos="2039"/>
        </w:tabs>
        <w:spacing w:before="2" w:after="0" w:line="364" w:lineRule="auto"/>
        <w:ind w:left="418" w:right="279" w:firstLine="719"/>
        <w:jc w:val="left"/>
        <w:rPr>
          <w:sz w:val="36"/>
        </w:rPr>
      </w:pPr>
      <w:r>
        <w:rPr>
          <w:spacing w:val="-1"/>
          <w:sz w:val="36"/>
        </w:rPr>
        <w:t>规划行车路线时，使便道与钻孔位置保持一定的距离，以免影响孔壁稳</w:t>
      </w:r>
      <w:r>
        <w:rPr>
          <w:sz w:val="36"/>
        </w:rPr>
        <w:t>定；钻机的安置应考虑钻孔施工中孔口出土清运的方便。</w:t>
      </w:r>
    </w:p>
    <w:p>
      <w:pPr>
        <w:pStyle w:val="BodyText"/>
        <w:spacing w:before="3"/>
        <w:ind w:left="418"/>
      </w:pPr>
      <w:r>
        <w:t>2、施工方法</w:t>
      </w:r>
    </w:p>
    <w:p>
      <w:pPr>
        <w:pStyle w:val="ListParagraph"/>
        <w:numPr>
          <w:ilvl w:val="0"/>
          <w:numId w:val="21"/>
        </w:numPr>
        <w:tabs>
          <w:tab w:val="left" w:pos="2039"/>
        </w:tabs>
        <w:spacing w:before="241" w:after="0" w:line="240" w:lineRule="auto"/>
        <w:ind w:left="2038" w:right="0" w:hanging="902"/>
        <w:jc w:val="left"/>
        <w:rPr>
          <w:sz w:val="36"/>
        </w:rPr>
      </w:pPr>
      <w:r>
        <w:rPr>
          <w:sz w:val="36"/>
        </w:rPr>
        <w:t>桩位放样</w:t>
      </w:r>
    </w:p>
    <w:p>
      <w:pPr>
        <w:pStyle w:val="BodyText"/>
        <w:spacing w:before="241"/>
        <w:ind w:left="1137"/>
      </w:pPr>
      <w:r>
        <w:t>用全站仪首先确定钻孔灌注桩位置，并十字交叉设置混凝土护桩。</w:t>
      </w:r>
    </w:p>
    <w:p>
      <w:pPr>
        <w:pStyle w:val="ListParagraph"/>
        <w:numPr>
          <w:ilvl w:val="0"/>
          <w:numId w:val="21"/>
        </w:numPr>
        <w:tabs>
          <w:tab w:val="left" w:pos="2039"/>
        </w:tabs>
        <w:spacing w:before="240" w:after="0" w:line="240" w:lineRule="auto"/>
        <w:ind w:left="2038" w:right="0" w:hanging="902"/>
        <w:jc w:val="left"/>
        <w:rPr>
          <w:sz w:val="36"/>
        </w:rPr>
      </w:pPr>
      <w:r>
        <w:rPr>
          <w:sz w:val="36"/>
        </w:rPr>
        <w:t>钢护筒埋设</w:t>
      </w:r>
    </w:p>
    <w:p>
      <w:pPr>
        <w:pStyle w:val="BodyText"/>
        <w:spacing w:before="241" w:line="364" w:lineRule="auto"/>
        <w:ind w:left="418" w:right="228" w:firstLine="719"/>
      </w:pPr>
      <w:r>
        <w:t>护筒长根据地质情况，埋深为2～4m。埋设护筒时用水平尺检查垂直度，护筒顶一般高于原地面 0.3m，以便钻头定位及保护桩孔。</w:t>
      </w:r>
    </w:p>
    <w:p>
      <w:pPr>
        <w:pStyle w:val="BodyText"/>
        <w:spacing w:before="2" w:line="364" w:lineRule="auto"/>
        <w:ind w:left="418" w:right="296"/>
        <w:jc w:val="both"/>
      </w:pPr>
      <w:r>
        <w:rPr>
          <w:spacing w:val="-8"/>
        </w:rPr>
        <w:t xml:space="preserve">钢护筒直径比桩径大 </w:t>
      </w:r>
      <w:r>
        <w:t>20～40cm，</w:t>
      </w:r>
      <w:r>
        <w:rPr>
          <w:spacing w:val="-15"/>
        </w:rPr>
        <w:t xml:space="preserve">采用壁厚 </w:t>
      </w:r>
      <w:r>
        <w:t>3～5mm</w:t>
      </w:r>
      <w:r>
        <w:rPr>
          <w:spacing w:val="-51"/>
        </w:rPr>
        <w:t xml:space="preserve"> 的 </w:t>
      </w:r>
      <w:r>
        <w:t>A3</w:t>
      </w:r>
      <w:r>
        <w:rPr>
          <w:spacing w:val="-10"/>
        </w:rPr>
        <w:t xml:space="preserve"> 钢板卷制。在护筒的顶部</w:t>
      </w:r>
      <w:r>
        <w:rPr>
          <w:spacing w:val="1"/>
        </w:rPr>
        <w:t>开设１</w:t>
      </w:r>
      <w:r>
        <w:rPr>
          <w:spacing w:val="4"/>
        </w:rPr>
        <w:t>～2</w:t>
      </w:r>
      <w:r>
        <w:rPr>
          <w:spacing w:val="-3"/>
        </w:rPr>
        <w:t xml:space="preserve"> 个溢浆口,埋设护筒同时要用十字交叉线控制钢护筒埋设位置 ,使其准</w:t>
      </w:r>
      <w:r>
        <w:rPr>
          <w:spacing w:val="-5"/>
        </w:rPr>
        <w:t xml:space="preserve">确定位,护筒中心与桩位中心的偏差不得大于 </w:t>
      </w:r>
      <w:r>
        <w:t>50mm,护筒与坑壁之间要用无杂质的粘土填实,以保证护筒的稳定。</w:t>
      </w:r>
    </w:p>
    <w:p>
      <w:pPr>
        <w:pStyle w:val="ListParagraph"/>
        <w:numPr>
          <w:ilvl w:val="0"/>
          <w:numId w:val="21"/>
        </w:numPr>
        <w:tabs>
          <w:tab w:val="left" w:pos="2039"/>
        </w:tabs>
        <w:spacing w:before="4" w:after="0" w:line="240" w:lineRule="auto"/>
        <w:ind w:left="2038" w:right="0" w:hanging="902"/>
        <w:jc w:val="left"/>
        <w:rPr>
          <w:sz w:val="36"/>
        </w:rPr>
      </w:pPr>
      <w:r>
        <w:rPr>
          <w:sz w:val="36"/>
        </w:rPr>
        <w:t>钻机就位</w:t>
      </w:r>
    </w:p>
    <w:p>
      <w:pPr>
        <w:pStyle w:val="BodyText"/>
        <w:spacing w:before="241" w:line="364" w:lineRule="auto"/>
        <w:ind w:left="418" w:right="122" w:firstLine="719"/>
      </w:pPr>
      <w:r>
        <w:t>钻机座应置于坚实的地面上，以免产生不均匀沉陷。钻机安装后的底座和顶端应平稳，在钻进中不应产生位移或沉陷。为保持钻机的垂直度，通过控制器使</w:t>
      </w:r>
      <w:r>
        <w:rPr>
          <w:spacing w:val="-5"/>
        </w:rPr>
        <w:t>钻杆保持垂直并严格使钻杆轴心与桩位放样点对中</w:t>
      </w:r>
      <w:r>
        <w:t>（允许偏差≤10m</w:t>
      </w:r>
      <w:r>
        <w:rPr>
          <w:spacing w:val="1"/>
        </w:rPr>
        <w:t>m</w:t>
      </w:r>
      <w:r>
        <w:rPr>
          <w:spacing w:val="-177"/>
        </w:rPr>
        <w:t>）</w:t>
      </w:r>
      <w:r>
        <w:rPr>
          <w:spacing w:val="-21"/>
        </w:rPr>
        <w:t>。就位完毕，</w:t>
      </w:r>
      <w:r>
        <w:t>施工队对钻机就位自检。再由技术人员校正转盘中心与护筒中心偏差，校正转盘是否水平，防止钻孔偏斜。</w:t>
      </w:r>
    </w:p>
    <w:p>
      <w:pPr>
        <w:pStyle w:val="ListParagraph"/>
        <w:numPr>
          <w:ilvl w:val="0"/>
          <w:numId w:val="21"/>
        </w:numPr>
        <w:tabs>
          <w:tab w:val="left" w:pos="2039"/>
        </w:tabs>
        <w:spacing w:before="5" w:after="0" w:line="240" w:lineRule="auto"/>
        <w:ind w:left="2038" w:right="0" w:hanging="902"/>
        <w:jc w:val="left"/>
        <w:rPr>
          <w:sz w:val="36"/>
        </w:rPr>
      </w:pPr>
      <w:r>
        <w:rPr>
          <w:sz w:val="36"/>
        </w:rPr>
        <w:t>泥浆制备与使用</w:t>
      </w:r>
    </w:p>
    <w:p>
      <w:pPr>
        <w:pStyle w:val="BodyText"/>
        <w:spacing w:before="241" w:line="364" w:lineRule="auto"/>
        <w:ind w:left="418" w:right="459" w:firstLine="719"/>
      </w:pPr>
      <w:r>
        <w:t>建立泥浆循环系统，泥浆循环系统由泥浆池、沉淀池、输送管、泥浆沟、排污储备池和泥浆泵等组成。</w:t>
      </w:r>
    </w:p>
    <w:p>
      <w:pPr>
        <w:pStyle w:val="BodyText"/>
        <w:spacing w:before="2" w:line="364" w:lineRule="auto"/>
        <w:ind w:left="418" w:right="280" w:firstLine="719"/>
      </w:pPr>
      <w:r>
        <w:t xml:space="preserve">在钻机开钻之前必须先制备护壁泥浆，建立泥浆循环系统。根据规范要求， </w:t>
      </w:r>
      <w:r>
        <w:rPr>
          <w:spacing w:val="-13"/>
        </w:rPr>
        <w:t xml:space="preserve">泥浆采用粘度 </w:t>
      </w:r>
      <w:r>
        <w:t>Ip≥17</w:t>
      </w:r>
      <w:r>
        <w:rPr>
          <w:spacing w:val="-11"/>
        </w:rPr>
        <w:t xml:space="preserve"> 的粘土配制，土料要先浸水再搅拌。泥浆池设临时防雨棚，</w:t>
      </w:r>
    </w:p>
    <w:p>
      <w:pPr>
        <w:pStyle w:val="BodyText"/>
      </w:pPr>
    </w:p>
    <w:p>
      <w:pPr>
        <w:pStyle w:val="BodyText"/>
        <w:spacing w:before="1"/>
        <w:rPr>
          <w:sz w:val="31"/>
        </w:rPr>
      </w:pPr>
    </w:p>
    <w:p>
      <w:pPr>
        <w:spacing w:before="1"/>
        <w:ind w:left="4476"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版 整理</w:t>
      </w:r>
    </w:p>
    <w:p>
      <w:pPr>
        <w:spacing w:after="0"/>
        <w:jc w:val="left"/>
        <w:rPr>
          <w:rFonts w:ascii="宋体" w:eastAsia="宋体" w:hint="eastAsia"/>
          <w:sz w:val="27"/>
        </w:rPr>
        <w:sectPr>
          <w:pgSz w:w="17860" w:h="25260"/>
          <w:pgMar w:top="1020" w:right="1820" w:bottom="280" w:left="2560" w:header="708" w:footer="708"/>
          <w:pgNumType w:start="5"/>
          <w:cols w:space="708"/>
        </w:sectPr>
      </w:pPr>
    </w:p>
    <w:p>
      <w:pPr>
        <w:tabs>
          <w:tab w:val="left" w:pos="4202"/>
        </w:tabs>
        <w:spacing w:before="37"/>
        <w:ind w:left="2041" w:right="0" w:firstLine="0"/>
        <w:jc w:val="left"/>
        <w:rPr>
          <w:rFonts w:ascii="宋体" w:eastAsia="宋体" w:hint="eastAsia"/>
          <w:sz w:val="27"/>
        </w:rPr>
      </w:pPr>
      <w:r>
        <w:drawing>
          <wp:anchor distT="0" distB="0" distL="0" distR="0" simplePos="0" relativeHeight="251663360" behindDoc="1" locked="0" layoutInCell="1" allowOverlap="1">
            <wp:simplePos x="0" y="0"/>
            <wp:positionH relativeFrom="page">
              <wp:posOffset>0</wp:posOffset>
            </wp:positionH>
            <wp:positionV relativeFrom="page">
              <wp:posOffset>0</wp:posOffset>
            </wp:positionV>
            <wp:extent cx="11340845" cy="1584960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宋体" w:eastAsia="宋体" w:hint="eastAsia"/>
          <w:sz w:val="27"/>
        </w:rPr>
        <w:t>范文</w:t>
      </w:r>
      <w:r>
        <w:rPr>
          <w:rFonts w:ascii="宋体" w:eastAsia="宋体" w:hint="eastAsia"/>
          <w:spacing w:val="1"/>
          <w:sz w:val="27"/>
        </w:rPr>
        <w:t xml:space="preserve"> </w:t>
      </w:r>
      <w:r>
        <w:rPr>
          <w:rFonts w:ascii="宋体" w:eastAsia="宋体" w:hint="eastAsia"/>
          <w:sz w:val="27"/>
        </w:rPr>
        <w:t>范例</w:t>
      </w:r>
      <w:r>
        <w:rPr>
          <w:rFonts w:ascii="宋体" w:eastAsia="宋体" w:hint="eastAsia"/>
          <w:spacing w:val="-1"/>
          <w:sz w:val="27"/>
        </w:rPr>
        <w:t xml:space="preserve"> </w:t>
      </w:r>
      <w:r>
        <w:rPr>
          <w:rFonts w:ascii="宋体" w:eastAsia="宋体" w:hint="eastAsia"/>
          <w:sz w:val="27"/>
        </w:rPr>
        <w:t>指导</w:t>
        <w:tab/>
        <w:t>参考</w:t>
      </w:r>
    </w:p>
    <w:p>
      <w:pPr>
        <w:pStyle w:val="BodyText"/>
        <w:rPr>
          <w:rFonts w:ascii="宋体"/>
          <w:sz w:val="26"/>
        </w:rPr>
      </w:pPr>
    </w:p>
    <w:p>
      <w:pPr>
        <w:pStyle w:val="BodyText"/>
        <w:spacing w:before="216"/>
        <w:ind w:left="418"/>
      </w:pPr>
      <w:r>
        <w:t>避免雨水稀释泥浆，保持现场清洁。</w:t>
      </w:r>
    </w:p>
    <w:p>
      <w:pPr>
        <w:pStyle w:val="BodyText"/>
        <w:spacing w:before="241" w:line="364" w:lineRule="auto"/>
        <w:ind w:left="418" w:right="459" w:firstLine="719"/>
      </w:pPr>
      <w:r>
        <w:t>泥浆制备好后就可进行钻进，在钻进过程中要保持孔内泥浆和泥浆池的泥浆正常循环，泥浆用泥浆泵送至钻孔内，确保泥浆顶高度不低于护筒底高度。</w:t>
      </w:r>
    </w:p>
    <w:p>
      <w:pPr>
        <w:pStyle w:val="BodyText"/>
        <w:spacing w:before="2"/>
        <w:ind w:left="418"/>
      </w:pPr>
      <w:r>
        <w:t>施工期间应经常测定泥浆比重，并定期测定粘度、含沙率、粘度。</w:t>
      </w:r>
    </w:p>
    <w:p>
      <w:pPr>
        <w:pStyle w:val="ListParagraph"/>
        <w:numPr>
          <w:ilvl w:val="0"/>
          <w:numId w:val="26"/>
        </w:numPr>
        <w:tabs>
          <w:tab w:val="left" w:pos="2039"/>
        </w:tabs>
        <w:spacing w:before="241" w:after="0" w:line="240" w:lineRule="auto"/>
        <w:ind w:left="2038" w:right="0" w:hanging="902"/>
        <w:jc w:val="left"/>
        <w:rPr>
          <w:sz w:val="36"/>
        </w:rPr>
      </w:pPr>
      <w:r>
        <w:rPr>
          <w:sz w:val="36"/>
        </w:rPr>
        <w:t>钻孔作业</w:t>
      </w:r>
    </w:p>
    <w:p>
      <w:pPr>
        <w:pStyle w:val="BodyText"/>
        <w:spacing w:before="240" w:line="364" w:lineRule="auto"/>
        <w:ind w:left="418" w:right="99" w:firstLine="719"/>
      </w:pPr>
      <w:r>
        <w:rPr>
          <w:spacing w:val="-1"/>
        </w:rPr>
        <w:t xml:space="preserve">钻孔时钻机钻头中心要对准桩中心，钻机安放平衡、钻杆保持垂直。开钻时， </w:t>
      </w:r>
      <w:r>
        <w:rPr>
          <w:spacing w:val="-6"/>
        </w:rPr>
        <w:t xml:space="preserve">钻机轻压慢转，当钻进至距护筒底约 </w:t>
      </w:r>
      <w:r>
        <w:t>2m</w:t>
      </w:r>
      <w:r>
        <w:rPr>
          <w:spacing w:val="-10"/>
        </w:rPr>
        <w:t xml:space="preserve"> 处停止进尺。用制备好的优质泥浆置换孔</w:t>
      </w:r>
      <w:r>
        <w:rPr>
          <w:spacing w:val="-14"/>
        </w:rPr>
        <w:t xml:space="preserve">内劣质泥浆，泥浆指标达到要求 </w:t>
      </w:r>
      <w:r>
        <w:t>1.02-1.06</w:t>
      </w:r>
      <w:r>
        <w:rPr>
          <w:spacing w:val="-13"/>
        </w:rPr>
        <w:t xml:space="preserve"> 后进行正常钻进。钻进过程中每隔 </w:t>
      </w:r>
      <w:r>
        <w:t>20 分钟测量一次泥浆的比重，在现场试验室内定期测定泥浆的粘度、含砂量、稳定 性和胶体率等指标。</w:t>
      </w:r>
    </w:p>
    <w:p>
      <w:pPr>
        <w:pStyle w:val="BodyText"/>
        <w:spacing w:before="6" w:line="364" w:lineRule="auto"/>
        <w:ind w:left="418" w:right="255" w:firstLine="719"/>
      </w:pPr>
      <w:r>
        <w:t>在钻进过程中每进尺 2～3m 应检查竖直度并做好钻孔记录；记录的内容应包括孔位、孔口高程、开钻时间、钻进速度、累计钻进深度、泥浆比重，加钻杆时间及长度、地质情况的描述等参数。</w:t>
      </w:r>
    </w:p>
    <w:p>
      <w:pPr>
        <w:pStyle w:val="ListParagraph"/>
        <w:numPr>
          <w:ilvl w:val="0"/>
          <w:numId w:val="26"/>
        </w:numPr>
        <w:tabs>
          <w:tab w:val="left" w:pos="2039"/>
        </w:tabs>
        <w:spacing w:before="2" w:after="0" w:line="240" w:lineRule="auto"/>
        <w:ind w:left="2038" w:right="0" w:hanging="902"/>
        <w:jc w:val="left"/>
        <w:rPr>
          <w:sz w:val="36"/>
        </w:rPr>
      </w:pPr>
      <w:r>
        <w:rPr>
          <w:sz w:val="36"/>
        </w:rPr>
        <w:t>清孔、验孔</w:t>
      </w:r>
    </w:p>
    <w:p>
      <w:pPr>
        <w:pStyle w:val="BodyText"/>
        <w:spacing w:before="241" w:line="364" w:lineRule="auto"/>
        <w:ind w:left="418" w:right="287" w:firstLine="719"/>
      </w:pPr>
      <w:r>
        <w:t>当达到设计深度后，经监理工程师查验，桩底处地质符合设计要求，即可开</w:t>
      </w:r>
      <w:r>
        <w:rPr>
          <w:spacing w:val="-14"/>
        </w:rPr>
        <w:t xml:space="preserve">始清孔。其方法为将钻头提离孔底 </w:t>
      </w:r>
      <w:r>
        <w:t>20～50cm,</w:t>
      </w:r>
      <w:r>
        <w:rPr>
          <w:spacing w:val="-5"/>
        </w:rPr>
        <w:t>维持冲洗液正常反循环流动。直至孔</w:t>
      </w:r>
      <w:r>
        <w:rPr>
          <w:spacing w:val="-10"/>
        </w:rPr>
        <w:t xml:space="preserve">底沉碴厚度小于设计要求，泥浆密度达到 </w:t>
      </w:r>
      <w:r>
        <w:t>1.03-1.10</w:t>
      </w:r>
      <w:r>
        <w:rPr>
          <w:spacing w:val="-17"/>
        </w:rPr>
        <w:t xml:space="preserve">，粘度达到 </w:t>
      </w:r>
      <w:r>
        <w:t>17-20Pa.s</w:t>
      </w:r>
      <w:r>
        <w:rPr>
          <w:spacing w:val="-4"/>
        </w:rPr>
        <w:t>，含砂</w:t>
      </w:r>
      <w:r>
        <w:t>率＜2%，胶体率＞98%</w:t>
      </w:r>
      <w:r>
        <w:rPr>
          <w:spacing w:val="-1"/>
        </w:rPr>
        <w:t>为止。在钢筋笼和导管放入孔之后，再一次测量孔深和沉碴</w:t>
      </w:r>
      <w:r>
        <w:t>厚度（沉碴厚度≤30cm</w:t>
      </w:r>
      <w:r>
        <w:rPr>
          <w:spacing w:val="-180"/>
        </w:rPr>
        <w:t>）</w:t>
      </w:r>
      <w:r>
        <w:t>，如不满足设计要求再用导管进行二次清孔。</w:t>
      </w:r>
    </w:p>
    <w:p>
      <w:pPr>
        <w:pStyle w:val="BodyText"/>
        <w:spacing w:before="5" w:line="364" w:lineRule="auto"/>
        <w:ind w:left="418" w:right="99"/>
      </w:pPr>
      <w:r>
        <w:t>钻孔在终孔和清孔后，对孔径、孔形和倾斜度，采用钢筋检孔器吊入钻孔内检测。成桩后孔的中心位置偏差为±5cm；孔径不小于设计值，倾斜率小于1%；孔深不小于设计值。</w:t>
      </w:r>
    </w:p>
    <w:p>
      <w:pPr>
        <w:pStyle w:val="ListParagraph"/>
        <w:numPr>
          <w:ilvl w:val="0"/>
          <w:numId w:val="26"/>
        </w:numPr>
        <w:tabs>
          <w:tab w:val="left" w:pos="2039"/>
        </w:tabs>
        <w:spacing w:before="3" w:after="0" w:line="240" w:lineRule="auto"/>
        <w:ind w:left="2038" w:right="0" w:hanging="902"/>
        <w:jc w:val="left"/>
        <w:rPr>
          <w:sz w:val="36"/>
        </w:rPr>
      </w:pPr>
      <w:r>
        <w:rPr>
          <w:sz w:val="36"/>
        </w:rPr>
        <w:t>钢筋笼的制作与安装</w:t>
      </w:r>
    </w:p>
    <w:p>
      <w:pPr>
        <w:pStyle w:val="BodyText"/>
        <w:spacing w:before="242" w:line="364" w:lineRule="auto"/>
        <w:ind w:left="418" w:right="459" w:firstLine="719"/>
      </w:pPr>
      <w:r>
        <w:t>钢筋笼制作成整体，一次吊装就位。对于受吊装高度等诸多因素影响而无法一次吊装的桩，分成若干加工制作。</w:t>
      </w:r>
    </w:p>
    <w:p>
      <w:pPr>
        <w:pStyle w:val="BodyText"/>
        <w:spacing w:before="1" w:line="364" w:lineRule="auto"/>
        <w:ind w:left="418" w:right="459" w:firstLine="719"/>
        <w:jc w:val="both"/>
      </w:pPr>
      <w:r>
        <w:t>钢筋笼制作完成后，采用汽车吊进行安装，为了保证骨架起吊时不变形，对于长骨架，起吊前在加强骨架内焊接三角支撑，以加强其刚度。所有骨架安装完毕后，在孔口牢固定位，以免在灌注混凝土过程中发生浮笼现象。严格控制好钢筋笼分节焊接的焊缝质量，入孔前认真测量钢筋笼长度，钢筋笼定位时严格控制</w:t>
      </w:r>
    </w:p>
    <w:p>
      <w:pPr>
        <w:pStyle w:val="BodyText"/>
      </w:pPr>
    </w:p>
    <w:p>
      <w:pPr>
        <w:pStyle w:val="BodyText"/>
        <w:spacing w:before="4"/>
        <w:rPr>
          <w:sz w:val="31"/>
        </w:rPr>
      </w:pPr>
    </w:p>
    <w:p>
      <w:pPr>
        <w:spacing w:before="0"/>
        <w:ind w:left="4476"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版 整理</w:t>
      </w:r>
    </w:p>
    <w:p>
      <w:pPr>
        <w:spacing w:after="0"/>
        <w:jc w:val="left"/>
        <w:rPr>
          <w:rFonts w:ascii="宋体" w:eastAsia="宋体" w:hint="eastAsia"/>
          <w:sz w:val="27"/>
        </w:rPr>
        <w:sectPr>
          <w:pgSz w:w="17860" w:h="25260"/>
          <w:pgMar w:top="1020" w:right="1820" w:bottom="280" w:left="2560" w:header="708" w:footer="708"/>
          <w:pgNumType w:start="6"/>
          <w:cols w:space="708"/>
        </w:sectPr>
      </w:pPr>
    </w:p>
    <w:p>
      <w:pPr>
        <w:tabs>
          <w:tab w:val="left" w:pos="4202"/>
        </w:tabs>
        <w:spacing w:before="37"/>
        <w:ind w:left="2041" w:right="0" w:firstLine="0"/>
        <w:jc w:val="left"/>
        <w:rPr>
          <w:rFonts w:ascii="宋体" w:eastAsia="宋体" w:hint="eastAsia"/>
          <w:sz w:val="27"/>
        </w:rPr>
      </w:pPr>
      <w:r>
        <w:drawing>
          <wp:anchor distT="0" distB="0" distL="0" distR="0" simplePos="0" relativeHeight="251664384" behindDoc="1" locked="0" layoutInCell="1" allowOverlap="1">
            <wp:simplePos x="0" y="0"/>
            <wp:positionH relativeFrom="page">
              <wp:posOffset>0</wp:posOffset>
            </wp:positionH>
            <wp:positionV relativeFrom="page">
              <wp:posOffset>0</wp:posOffset>
            </wp:positionV>
            <wp:extent cx="11340845" cy="158496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宋体" w:eastAsia="宋体" w:hint="eastAsia"/>
          <w:sz w:val="27"/>
        </w:rPr>
        <w:t>范文</w:t>
      </w:r>
      <w:r>
        <w:rPr>
          <w:rFonts w:ascii="宋体" w:eastAsia="宋体" w:hint="eastAsia"/>
          <w:spacing w:val="1"/>
          <w:sz w:val="27"/>
        </w:rPr>
        <w:t xml:space="preserve"> </w:t>
      </w:r>
      <w:r>
        <w:rPr>
          <w:rFonts w:ascii="宋体" w:eastAsia="宋体" w:hint="eastAsia"/>
          <w:sz w:val="27"/>
        </w:rPr>
        <w:t>范例</w:t>
      </w:r>
      <w:r>
        <w:rPr>
          <w:rFonts w:ascii="宋体" w:eastAsia="宋体" w:hint="eastAsia"/>
          <w:spacing w:val="-1"/>
          <w:sz w:val="27"/>
        </w:rPr>
        <w:t xml:space="preserve"> </w:t>
      </w:r>
      <w:r>
        <w:rPr>
          <w:rFonts w:ascii="宋体" w:eastAsia="宋体" w:hint="eastAsia"/>
          <w:sz w:val="27"/>
        </w:rPr>
        <w:t>指导</w:t>
        <w:tab/>
        <w:t>参考</w:t>
      </w:r>
    </w:p>
    <w:p>
      <w:pPr>
        <w:pStyle w:val="BodyText"/>
        <w:rPr>
          <w:rFonts w:ascii="宋体"/>
          <w:sz w:val="26"/>
        </w:rPr>
      </w:pPr>
    </w:p>
    <w:p>
      <w:pPr>
        <w:pStyle w:val="BodyText"/>
        <w:spacing w:before="216"/>
        <w:ind w:left="418"/>
      </w:pPr>
      <w:r>
        <w:t>好顶标高及笼底标高。</w:t>
      </w:r>
    </w:p>
    <w:p>
      <w:pPr>
        <w:pStyle w:val="ListParagraph"/>
        <w:numPr>
          <w:ilvl w:val="0"/>
          <w:numId w:val="27"/>
        </w:numPr>
        <w:tabs>
          <w:tab w:val="left" w:pos="2039"/>
        </w:tabs>
        <w:spacing w:before="241" w:after="0" w:line="240" w:lineRule="auto"/>
        <w:ind w:left="2038" w:right="0" w:hanging="902"/>
        <w:jc w:val="left"/>
        <w:rPr>
          <w:sz w:val="36"/>
        </w:rPr>
      </w:pPr>
      <w:r>
        <w:rPr>
          <w:sz w:val="36"/>
        </w:rPr>
        <w:t>灌注水下混凝土</w:t>
      </w:r>
    </w:p>
    <w:p>
      <w:pPr>
        <w:pStyle w:val="ListParagraph"/>
        <w:numPr>
          <w:ilvl w:val="0"/>
          <w:numId w:val="20"/>
        </w:numPr>
        <w:tabs>
          <w:tab w:val="left" w:pos="959"/>
        </w:tabs>
        <w:spacing w:before="241" w:after="0" w:line="240" w:lineRule="auto"/>
        <w:ind w:left="958" w:right="0" w:hanging="541"/>
        <w:jc w:val="left"/>
        <w:rPr>
          <w:sz w:val="36"/>
        </w:rPr>
      </w:pPr>
      <w:r>
        <w:rPr>
          <w:sz w:val="36"/>
        </w:rPr>
        <w:t>安装导管</w:t>
      </w:r>
    </w:p>
    <w:p>
      <w:pPr>
        <w:pStyle w:val="BodyText"/>
        <w:spacing w:before="240" w:line="364" w:lineRule="auto"/>
        <w:ind w:left="418" w:right="296" w:firstLine="719"/>
        <w:jc w:val="both"/>
      </w:pPr>
      <w:r>
        <w:t>导管采用φ30</w:t>
      </w:r>
      <w:r>
        <w:rPr>
          <w:spacing w:val="-20"/>
        </w:rPr>
        <w:t xml:space="preserve"> 钢管，每节 </w:t>
      </w:r>
      <w:r>
        <w:t>2～3m,</w:t>
      </w:r>
      <w:r>
        <w:rPr>
          <w:spacing w:val="-33"/>
        </w:rPr>
        <w:t xml:space="preserve">配 </w:t>
      </w:r>
      <w:r>
        <w:t>1～2</w:t>
      </w:r>
      <w:r>
        <w:rPr>
          <w:spacing w:val="-44"/>
        </w:rPr>
        <w:t xml:space="preserve"> 节 </w:t>
      </w:r>
      <w:r>
        <w:t>1～1.5m</w:t>
      </w:r>
      <w:r>
        <w:rPr>
          <w:spacing w:val="-9"/>
        </w:rPr>
        <w:t xml:space="preserve"> 的短管。拼装前应做水</w:t>
      </w:r>
      <w:r>
        <w:rPr>
          <w:spacing w:val="-14"/>
        </w:rPr>
        <w:t xml:space="preserve">密试验。导管安装好，入孔后，其底部距孔底有 </w:t>
      </w:r>
      <w:r>
        <w:t>30～40cm</w:t>
      </w:r>
      <w:r>
        <w:rPr>
          <w:spacing w:val="-12"/>
        </w:rPr>
        <w:t xml:space="preserve"> 的空间。吊装混凝土灌</w:t>
      </w:r>
      <w:r>
        <w:rPr>
          <w:spacing w:val="-4"/>
        </w:rPr>
        <w:t xml:space="preserve">注架，安装储料斗，储料斗容积，应保证首批混凝土下去后能保证导管有 </w:t>
      </w:r>
      <w:r>
        <w:t>1.0m</w:t>
      </w:r>
      <w:r>
        <w:rPr>
          <w:spacing w:val="-51"/>
        </w:rPr>
        <w:t xml:space="preserve"> 埋</w:t>
      </w:r>
      <w:r>
        <w:t>深。</w:t>
      </w:r>
    </w:p>
    <w:p>
      <w:pPr>
        <w:pStyle w:val="ListParagraph"/>
        <w:numPr>
          <w:ilvl w:val="0"/>
          <w:numId w:val="20"/>
        </w:numPr>
        <w:tabs>
          <w:tab w:val="left" w:pos="959"/>
        </w:tabs>
        <w:spacing w:before="4" w:after="0" w:line="240" w:lineRule="auto"/>
        <w:ind w:left="958" w:right="0" w:hanging="541"/>
        <w:jc w:val="left"/>
        <w:rPr>
          <w:sz w:val="36"/>
        </w:rPr>
      </w:pPr>
      <w:r>
        <w:rPr>
          <w:sz w:val="36"/>
        </w:rPr>
        <w:t>二次清孔</w:t>
      </w:r>
    </w:p>
    <w:p>
      <w:pPr>
        <w:pStyle w:val="BodyText"/>
        <w:spacing w:before="242" w:line="364" w:lineRule="auto"/>
        <w:ind w:left="418" w:right="122" w:firstLine="719"/>
      </w:pPr>
      <w:r>
        <w:rPr>
          <w:spacing w:val="-11"/>
        </w:rPr>
        <w:t xml:space="preserve">浇筑水下混凝土前应检查沉渣厚度，沉渣厚度应满足设计要求,不大于 </w:t>
      </w:r>
      <w:r>
        <w:t>100mm</w:t>
      </w:r>
      <w:r>
        <w:rPr>
          <w:spacing w:val="-16"/>
        </w:rPr>
        <w:t>。</w:t>
      </w:r>
      <w:r>
        <w:t>如沉渣厚度超出要求，则利用导管进行二次清孔。若达到设计要求后应立即安放隔水塞，进行水下砼灌注。</w:t>
      </w:r>
    </w:p>
    <w:p>
      <w:pPr>
        <w:pStyle w:val="ListParagraph"/>
        <w:numPr>
          <w:ilvl w:val="0"/>
          <w:numId w:val="20"/>
        </w:numPr>
        <w:tabs>
          <w:tab w:val="left" w:pos="959"/>
        </w:tabs>
        <w:spacing w:before="2" w:after="0" w:line="240" w:lineRule="auto"/>
        <w:ind w:left="958" w:right="0" w:hanging="541"/>
        <w:jc w:val="left"/>
        <w:rPr>
          <w:sz w:val="36"/>
        </w:rPr>
      </w:pPr>
      <w:r>
        <w:rPr>
          <w:sz w:val="36"/>
        </w:rPr>
        <w:t>拨栓或开阀</w:t>
      </w:r>
    </w:p>
    <w:p>
      <w:pPr>
        <w:pStyle w:val="BodyText"/>
        <w:spacing w:before="241" w:line="364" w:lineRule="auto"/>
        <w:ind w:left="418" w:right="459" w:firstLine="719"/>
      </w:pPr>
      <w:r>
        <w:t>打开漏斗阀门，放下封底砼，首批砼灌入孔底后，立即探测孔内砼面高度， 计算出导管埋置深度，如符合要求，即可正常灌注。</w:t>
      </w:r>
    </w:p>
    <w:p>
      <w:pPr>
        <w:pStyle w:val="ListParagraph"/>
        <w:numPr>
          <w:ilvl w:val="0"/>
          <w:numId w:val="20"/>
        </w:numPr>
        <w:tabs>
          <w:tab w:val="left" w:pos="959"/>
        </w:tabs>
        <w:spacing w:before="2" w:after="0" w:line="240" w:lineRule="auto"/>
        <w:ind w:left="958" w:right="0" w:hanging="541"/>
        <w:jc w:val="left"/>
        <w:rPr>
          <w:sz w:val="36"/>
        </w:rPr>
      </w:pPr>
      <w:r>
        <w:rPr>
          <w:sz w:val="36"/>
        </w:rPr>
        <w:t>灌注水下混凝土</w:t>
      </w:r>
    </w:p>
    <w:p>
      <w:pPr>
        <w:pStyle w:val="BodyText"/>
        <w:tabs>
          <w:tab w:val="left" w:pos="4248"/>
          <w:tab w:val="left" w:pos="12811"/>
        </w:tabs>
        <w:spacing w:before="241" w:line="364" w:lineRule="auto"/>
        <w:ind w:left="418" w:right="289" w:firstLine="719"/>
      </w:pPr>
      <w:r>
        <w:t>桩基混凝土采用砼搅拌运输，汽车吊起提升料斗灌注水下砼，运输配合导管灌注。在灌注过程中，应注意观察管内混凝土下降和孔内水位升降情况，及时测量孔内混凝土面高度和计算导管埋深，正确指挥导管的提升和拆除；导管的埋置深度应控制在</w:t>
      </w:r>
      <w:r>
        <w:rPr>
          <w:spacing w:val="-91"/>
        </w:rPr>
        <w:t xml:space="preserve"> </w:t>
      </w:r>
      <w:r>
        <w:t>2～6m。</w:t>
        <w:tab/>
        <w:t>导管提升时应保持轴线竖直和位置居中，逐步提升。</w:t>
        <w:tab/>
        <w:t>为确保桩顶质量，在桩顶设计标高以上应加灌</w:t>
      </w:r>
      <w:r>
        <w:rPr>
          <w:spacing w:val="-100"/>
        </w:rPr>
        <w:t xml:space="preserve"> </w:t>
      </w:r>
      <w:r>
        <w:t>50cm</w:t>
      </w:r>
      <w:r>
        <w:rPr>
          <w:spacing w:val="-90"/>
        </w:rPr>
        <w:t xml:space="preserve"> </w:t>
      </w:r>
      <w:r>
        <w:t>以上，以便灌注结束后将此段</w:t>
      </w:r>
      <w:r>
        <w:rPr>
          <w:spacing w:val="-18"/>
        </w:rPr>
        <w:t>混</w:t>
      </w:r>
      <w:r>
        <w:t>凝土凿除。在灌注混凝土时，每根桩应至少留取一组试件。</w:t>
      </w:r>
    </w:p>
    <w:p>
      <w:pPr>
        <w:pStyle w:val="BodyText"/>
        <w:spacing w:before="6" w:line="364" w:lineRule="auto"/>
        <w:ind w:left="418" w:right="304" w:firstLine="719"/>
      </w:pPr>
      <w:r>
        <w:rPr>
          <w:spacing w:val="-3"/>
        </w:rPr>
        <w:t xml:space="preserve">水下混凝土塌落度控制在 </w:t>
      </w:r>
      <w:r>
        <w:t>18～22cm</w:t>
      </w:r>
      <w:r>
        <w:rPr>
          <w:spacing w:val="-1"/>
        </w:rPr>
        <w:t>。指定专人进行记录各灌注时间、混凝土</w:t>
      </w:r>
      <w:r>
        <w:t>面的高度、导管埋深、导管拆除长度、节数以及发生的异常现象等。        5）灌注砼测深方法</w:t>
      </w:r>
    </w:p>
    <w:p>
      <w:pPr>
        <w:pStyle w:val="BodyText"/>
        <w:spacing w:before="3" w:line="364" w:lineRule="auto"/>
        <w:ind w:left="418" w:right="122" w:firstLine="719"/>
      </w:pPr>
      <w:r>
        <w:t>灌注水下砼时，应经常用测绳探测孔内混凝土面至孔口的深度，以控制导管</w:t>
      </w:r>
      <w:r>
        <w:rPr>
          <w:spacing w:val="-5"/>
        </w:rPr>
        <w:t xml:space="preserve">埋深。采用重锤法，重锤的形状是锥形，底面直径不小于 </w:t>
      </w:r>
      <w:r>
        <w:t>10cm，</w:t>
      </w:r>
      <w:r>
        <w:rPr>
          <w:spacing w:val="-17"/>
        </w:rPr>
        <w:t xml:space="preserve">重量不小于 </w:t>
      </w:r>
      <w:r>
        <w:t>5kg</w:t>
      </w:r>
      <w:r>
        <w:rPr>
          <w:spacing w:val="-17"/>
        </w:rPr>
        <w:t>。</w:t>
      </w:r>
      <w:r>
        <w:rPr>
          <w:spacing w:val="-8"/>
        </w:rPr>
        <w:t>用测绳系锤吊入孔内，使之通过泥浆沉淀层而停留在砼表面</w:t>
      </w:r>
      <w:r>
        <w:t>（</w:t>
      </w:r>
      <w:r>
        <w:rPr>
          <w:spacing w:val="-17"/>
        </w:rPr>
        <w:t xml:space="preserve">或表面下 </w:t>
      </w:r>
      <w:r>
        <w:rPr>
          <w:spacing w:val="-3"/>
        </w:rPr>
        <w:t xml:space="preserve">10～20cm） </w:t>
      </w:r>
      <w:r>
        <w:t>根据测绳所示锤的沉入深度作为砼灌注深度。</w:t>
      </w:r>
    </w:p>
    <w:p>
      <w:pPr>
        <w:pStyle w:val="ListParagraph"/>
        <w:numPr>
          <w:ilvl w:val="0"/>
          <w:numId w:val="19"/>
        </w:numPr>
        <w:tabs>
          <w:tab w:val="left" w:pos="959"/>
        </w:tabs>
        <w:spacing w:before="4" w:after="0" w:line="240" w:lineRule="auto"/>
        <w:ind w:left="958" w:right="0" w:hanging="541"/>
        <w:jc w:val="left"/>
        <w:rPr>
          <w:sz w:val="36"/>
        </w:rPr>
      </w:pPr>
      <w:r>
        <w:rPr>
          <w:sz w:val="36"/>
        </w:rPr>
        <w:t>泥浆清理</w:t>
      </w:r>
    </w:p>
    <w:p>
      <w:pPr>
        <w:pStyle w:val="BodyText"/>
      </w:pPr>
    </w:p>
    <w:p>
      <w:pPr>
        <w:pStyle w:val="BodyText"/>
        <w:spacing w:before="10"/>
        <w:rPr>
          <w:sz w:val="49"/>
        </w:rPr>
      </w:pPr>
    </w:p>
    <w:p>
      <w:pPr>
        <w:spacing w:before="0"/>
        <w:ind w:left="4476"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版 整理</w:t>
      </w:r>
    </w:p>
    <w:p>
      <w:pPr>
        <w:spacing w:after="0"/>
        <w:jc w:val="left"/>
        <w:rPr>
          <w:rFonts w:ascii="宋体" w:eastAsia="宋体" w:hint="eastAsia"/>
          <w:sz w:val="27"/>
        </w:rPr>
        <w:sectPr>
          <w:pgSz w:w="17860" w:h="25260"/>
          <w:pgMar w:top="1020" w:right="1820" w:bottom="280" w:left="2560" w:header="708" w:footer="708"/>
          <w:pgNumType w:start="7"/>
          <w:cols w:space="708"/>
        </w:sectPr>
      </w:pPr>
    </w:p>
    <w:p>
      <w:pPr>
        <w:tabs>
          <w:tab w:val="left" w:pos="4202"/>
        </w:tabs>
        <w:spacing w:before="37"/>
        <w:ind w:left="2041" w:right="0" w:firstLine="0"/>
        <w:jc w:val="left"/>
        <w:rPr>
          <w:rFonts w:ascii="宋体" w:eastAsia="宋体" w:hint="eastAsia"/>
          <w:sz w:val="27"/>
        </w:rPr>
      </w:pPr>
      <w:r>
        <w:pict>
          <v:group id="_x0000_s1031" style="width:893pt;height:1248pt;margin-top:0;margin-left:0;mso-position-horizontal-relative:page;mso-position-vertical-relative:page;position:absolute;z-index:-251651072" coordorigin="0,0" coordsize="17860,24960">
            <v:shape id="_x0000_s1032" type="#_x0000_t75" style="width:17860;height:24960;position:absolute" stroked="f">
              <v:imagedata r:id="rId4" o:title=""/>
            </v:shape>
            <v:shape id="_x0000_s1033" type="#_x0000_t75" style="width:12880;height:5100;left:2920;position:absolute;top:12300" stroked="f">
              <v:imagedata r:id="rId7" o:title=""/>
            </v:shape>
          </v:group>
        </w:pict>
      </w:r>
      <w:r>
        <w:rPr>
          <w:rFonts w:ascii="宋体" w:eastAsia="宋体" w:hint="eastAsia"/>
          <w:sz w:val="27"/>
        </w:rPr>
        <w:t>范文</w:t>
      </w:r>
      <w:r>
        <w:rPr>
          <w:rFonts w:ascii="宋体" w:eastAsia="宋体" w:hint="eastAsia"/>
          <w:spacing w:val="1"/>
          <w:sz w:val="27"/>
        </w:rPr>
        <w:t xml:space="preserve"> </w:t>
      </w:r>
      <w:r>
        <w:rPr>
          <w:rFonts w:ascii="宋体" w:eastAsia="宋体" w:hint="eastAsia"/>
          <w:sz w:val="27"/>
        </w:rPr>
        <w:t>范例</w:t>
      </w:r>
      <w:r>
        <w:rPr>
          <w:rFonts w:ascii="宋体" w:eastAsia="宋体" w:hint="eastAsia"/>
          <w:spacing w:val="-1"/>
          <w:sz w:val="27"/>
        </w:rPr>
        <w:t xml:space="preserve"> </w:t>
      </w:r>
      <w:r>
        <w:rPr>
          <w:rFonts w:ascii="宋体" w:eastAsia="宋体" w:hint="eastAsia"/>
          <w:sz w:val="27"/>
        </w:rPr>
        <w:t>指导</w:t>
        <w:tab/>
        <w:t>参考</w:t>
      </w:r>
    </w:p>
    <w:p>
      <w:pPr>
        <w:pStyle w:val="BodyText"/>
        <w:rPr>
          <w:rFonts w:ascii="宋体"/>
          <w:sz w:val="26"/>
        </w:rPr>
      </w:pPr>
    </w:p>
    <w:p>
      <w:pPr>
        <w:pStyle w:val="BodyText"/>
        <w:spacing w:before="216" w:line="364" w:lineRule="auto"/>
        <w:ind w:left="418" w:right="459" w:firstLine="719"/>
      </w:pPr>
      <w:r>
        <w:t>钻孔灌注桩施工中，产生大量废弃的泥浆，为了保护当地的环境，这些废弃的泥浆，经泥浆沉淀后，运往指定的废弃泥浆的堆放场地，并做妥善处理。</w:t>
      </w:r>
    </w:p>
    <w:p>
      <w:pPr>
        <w:pStyle w:val="BodyText"/>
        <w:spacing w:before="2"/>
        <w:ind w:left="1137"/>
      </w:pPr>
      <w:r>
        <w:t>3、工艺流程(详见附图）</w:t>
      </w:r>
    </w:p>
    <w:p>
      <w:pPr>
        <w:pStyle w:val="Heading1"/>
      </w:pPr>
      <w:r>
        <w:t>五、施工安全保证措施</w:t>
      </w:r>
    </w:p>
    <w:p>
      <w:pPr>
        <w:pStyle w:val="BodyText"/>
        <w:spacing w:before="1"/>
        <w:rPr>
          <w:b/>
          <w:sz w:val="40"/>
        </w:rPr>
      </w:pPr>
    </w:p>
    <w:p>
      <w:pPr>
        <w:pStyle w:val="BodyText"/>
        <w:spacing w:line="405" w:lineRule="auto"/>
        <w:ind w:left="418" w:right="325" w:firstLine="849"/>
      </w:pPr>
      <w:r>
        <w:rPr>
          <w:spacing w:val="-1"/>
        </w:rPr>
        <w:t>由于近几年安全责任重大事故时有发生，国家安全工作委员会相应出台了一</w:t>
      </w:r>
      <w:r>
        <w:rPr>
          <w:spacing w:val="-9"/>
        </w:rPr>
        <w:t>系列安全法律和规章制度，把安全工作摆在生产的重要位置。“安全重如泰山”，</w:t>
      </w:r>
      <w:r>
        <w:t>为使本合同段施工的人身安全、设备安全和交通安全有保证，必须制定严密的安全组织保障体系、严格的安全规章制度和监督检查机制。</w:t>
      </w:r>
    </w:p>
    <w:p>
      <w:pPr>
        <w:pStyle w:val="BodyText"/>
        <w:spacing w:before="4"/>
        <w:ind w:left="1267"/>
      </w:pPr>
      <w:r>
        <w:t>（一） 组织保障</w:t>
      </w:r>
    </w:p>
    <w:p>
      <w:pPr>
        <w:pStyle w:val="BodyText"/>
        <w:spacing w:before="172" w:line="364" w:lineRule="auto"/>
        <w:ind w:left="418" w:right="252" w:firstLine="849"/>
      </w:pPr>
      <w:r>
        <w:t>针对本合同段施工安全隐患的主要来源和控制要求，项目经理为安全生产第一责任人，并设立专门的安全部门，负责制定安全管理措施和监督检查安全工作执行情况，建立健全的安全管理规章制度及安全生产管理档案；施工现场按 5000</w:t>
      </w:r>
    </w:p>
    <w:p>
      <w:pPr>
        <w:pStyle w:val="BodyText"/>
        <w:spacing w:before="3" w:line="364" w:lineRule="auto"/>
        <w:ind w:left="418" w:right="299"/>
      </w:pPr>
      <w:r>
        <w:rPr>
          <w:spacing w:val="-4"/>
        </w:rPr>
        <w:t xml:space="preserve">万／人设立专职安全检查员 </w:t>
      </w:r>
      <w:r>
        <w:t>8</w:t>
      </w:r>
      <w:r>
        <w:rPr>
          <w:spacing w:val="-12"/>
        </w:rPr>
        <w:t xml:space="preserve"> 人，下属各施工队配备 </w:t>
      </w:r>
      <w:r>
        <w:t>2</w:t>
      </w:r>
      <w:r>
        <w:rPr>
          <w:spacing w:val="-9"/>
        </w:rPr>
        <w:t xml:space="preserve"> 名专职或兼职安技员，负</w:t>
      </w:r>
      <w:r>
        <w:t>责各施工区域的安全工作提醒、检查、监督。</w:t>
      </w:r>
    </w:p>
    <w:p>
      <w:pPr>
        <w:pStyle w:val="BodyText"/>
        <w:spacing w:before="2" w:line="364" w:lineRule="auto"/>
        <w:ind w:left="418" w:right="367" w:firstLine="719"/>
        <w:jc w:val="both"/>
      </w:pPr>
      <w:r>
        <w:rPr>
          <w:spacing w:val="-3"/>
        </w:rPr>
        <w:t xml:space="preserve">按云南瑞陇高速公路建设指挥部安全措施费用提取比例的规定，提取 </w:t>
      </w:r>
      <w:r>
        <w:t>1.5%</w:t>
      </w:r>
      <w:r>
        <w:rPr>
          <w:spacing w:val="-17"/>
        </w:rPr>
        <w:t>安</w:t>
      </w:r>
      <w:r>
        <w:t>全技术措施经费。此项费用仅用于完善、改造和维护安全防护设备、设施支出； 配备必要的应急救援器材、设备和现场作业人员安全防护物品支出；安全生产检查与评价支出，重大危险源、重大事故隐患的评估、整改、监控支出；安全技能培训及进行应急救援演练支出及其他与安全生产直接相关的支出。</w:t>
      </w:r>
    </w:p>
    <w:p>
      <w:pPr>
        <w:pStyle w:val="BodyText"/>
        <w:spacing w:before="185" w:line="364" w:lineRule="auto"/>
        <w:ind w:left="418" w:right="459" w:firstLine="719"/>
      </w:pPr>
      <w:r>
        <w:t>每季度召开一次安全生产分析会议，认真全面地分析安全生产形势，针对存在问题，采取有力措施，确保安全生产工作的顺利进行。</w:t>
      </w:r>
    </w:p>
    <w:p>
      <w:pPr>
        <w:pStyle w:val="BodyText"/>
        <w:spacing w:before="5"/>
        <w:rPr>
          <w:sz w:val="25"/>
        </w:rPr>
      </w:pPr>
    </w:p>
    <w:p>
      <w:pPr>
        <w:pStyle w:val="BodyText"/>
        <w:spacing w:before="1"/>
        <w:ind w:left="1137"/>
      </w:pPr>
      <w:r>
        <w:t>（二）技术措施</w:t>
      </w:r>
    </w:p>
    <w:p>
      <w:pPr>
        <w:pStyle w:val="BodyText"/>
        <w:spacing w:before="321"/>
        <w:ind w:left="1137"/>
      </w:pPr>
      <w:r>
        <w:t>1、钢筋工程的安全措施</w:t>
      </w:r>
    </w:p>
    <w:p>
      <w:pPr>
        <w:pStyle w:val="BodyText"/>
        <w:spacing w:before="319"/>
        <w:ind w:left="1249"/>
      </w:pPr>
      <w:r>
        <w:t>①钢筋焊接的安全措施</w:t>
      </w:r>
    </w:p>
    <w:p>
      <w:pPr>
        <w:pStyle w:val="BodyText"/>
        <w:spacing w:before="317" w:line="405" w:lineRule="auto"/>
        <w:ind w:left="418" w:right="348" w:firstLine="831"/>
      </w:pPr>
      <w:r>
        <w:t>严格执行焊工作业的安全技术操作规程。用于焊接钢筋的焊机必须有接地保护，以保护操作人员安全，对于焊接导线的焊钳、接导线处，都应可靠绝缘。</w:t>
      </w:r>
    </w:p>
    <w:p>
      <w:pPr>
        <w:pStyle w:val="BodyText"/>
        <w:spacing w:before="3"/>
        <w:ind w:left="1249"/>
      </w:pPr>
      <w:r>
        <w:t>大量焊接时，焊接变压器不得超负荷，变压器升温不得超过 60℃。</w:t>
      </w:r>
    </w:p>
    <w:p>
      <w:pPr>
        <w:pStyle w:val="BodyText"/>
      </w:pPr>
    </w:p>
    <w:p>
      <w:pPr>
        <w:pStyle w:val="BodyText"/>
        <w:spacing w:before="10"/>
        <w:rPr>
          <w:sz w:val="40"/>
        </w:rPr>
      </w:pPr>
    </w:p>
    <w:p>
      <w:pPr>
        <w:spacing w:before="0"/>
        <w:ind w:left="4476"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版 整理</w:t>
      </w:r>
    </w:p>
    <w:p>
      <w:pPr>
        <w:spacing w:after="0"/>
        <w:jc w:val="left"/>
        <w:rPr>
          <w:rFonts w:ascii="宋体" w:eastAsia="宋体" w:hint="eastAsia"/>
          <w:sz w:val="27"/>
        </w:rPr>
        <w:sectPr>
          <w:pgSz w:w="17860" w:h="25260"/>
          <w:pgMar w:top="1020" w:right="1820" w:bottom="280" w:left="2560" w:header="708" w:footer="708"/>
          <w:pgNumType w:start="8"/>
          <w:cols w:space="708"/>
        </w:sectPr>
      </w:pPr>
    </w:p>
    <w:p>
      <w:pPr>
        <w:tabs>
          <w:tab w:val="left" w:pos="4202"/>
        </w:tabs>
        <w:spacing w:before="37"/>
        <w:ind w:left="2041" w:right="0" w:firstLine="0"/>
        <w:jc w:val="left"/>
        <w:rPr>
          <w:rFonts w:ascii="宋体" w:eastAsia="宋体" w:hint="eastAsia"/>
          <w:sz w:val="27"/>
        </w:rPr>
      </w:pPr>
      <w:r>
        <w:drawing>
          <wp:anchor distT="0" distB="0" distL="0" distR="0" simplePos="0" relativeHeight="251666432" behindDoc="1" locked="0" layoutInCell="1" allowOverlap="1">
            <wp:simplePos x="0" y="0"/>
            <wp:positionH relativeFrom="page">
              <wp:posOffset>0</wp:posOffset>
            </wp:positionH>
            <wp:positionV relativeFrom="page">
              <wp:posOffset>0</wp:posOffset>
            </wp:positionV>
            <wp:extent cx="11340845" cy="158496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宋体" w:eastAsia="宋体" w:hint="eastAsia"/>
          <w:sz w:val="27"/>
        </w:rPr>
        <w:t>范文</w:t>
      </w:r>
      <w:r>
        <w:rPr>
          <w:rFonts w:ascii="宋体" w:eastAsia="宋体" w:hint="eastAsia"/>
          <w:spacing w:val="1"/>
          <w:sz w:val="27"/>
        </w:rPr>
        <w:t xml:space="preserve"> </w:t>
      </w:r>
      <w:r>
        <w:rPr>
          <w:rFonts w:ascii="宋体" w:eastAsia="宋体" w:hint="eastAsia"/>
          <w:sz w:val="27"/>
        </w:rPr>
        <w:t>范例</w:t>
      </w:r>
      <w:r>
        <w:rPr>
          <w:rFonts w:ascii="宋体" w:eastAsia="宋体" w:hint="eastAsia"/>
          <w:spacing w:val="-1"/>
          <w:sz w:val="27"/>
        </w:rPr>
        <w:t xml:space="preserve"> </w:t>
      </w:r>
      <w:r>
        <w:rPr>
          <w:rFonts w:ascii="宋体" w:eastAsia="宋体" w:hint="eastAsia"/>
          <w:sz w:val="27"/>
        </w:rPr>
        <w:t>指导</w:t>
        <w:tab/>
        <w:t>参考</w:t>
      </w:r>
    </w:p>
    <w:p>
      <w:pPr>
        <w:pStyle w:val="BodyText"/>
        <w:rPr>
          <w:rFonts w:ascii="宋体"/>
          <w:sz w:val="26"/>
        </w:rPr>
      </w:pPr>
    </w:p>
    <w:p>
      <w:pPr>
        <w:pStyle w:val="BodyText"/>
        <w:spacing w:before="1"/>
        <w:rPr>
          <w:rFonts w:ascii="宋体"/>
          <w:sz w:val="28"/>
        </w:rPr>
      </w:pPr>
    </w:p>
    <w:p>
      <w:pPr>
        <w:pStyle w:val="BodyText"/>
        <w:spacing w:line="405" w:lineRule="auto"/>
        <w:ind w:left="418" w:right="256" w:firstLine="831"/>
      </w:pPr>
      <w:r>
        <w:rPr>
          <w:spacing w:val="-5"/>
        </w:rPr>
        <w:t xml:space="preserve">对焊机，必须开放冷却水，焊机出水温度不超过 </w:t>
      </w:r>
      <w:r>
        <w:t>40℃；</w:t>
      </w:r>
      <w:r>
        <w:rPr>
          <w:spacing w:val="-2"/>
        </w:rPr>
        <w:t xml:space="preserve">排水量应符合要求， </w:t>
      </w:r>
      <w:r>
        <w:t>天冷时应放尽焊机内存水，以免冻塞。</w:t>
      </w:r>
    </w:p>
    <w:p>
      <w:pPr>
        <w:pStyle w:val="BodyText"/>
        <w:spacing w:line="405" w:lineRule="auto"/>
        <w:ind w:left="418" w:right="124" w:firstLine="831"/>
      </w:pPr>
      <w:r>
        <w:rPr>
          <w:spacing w:val="-13"/>
        </w:rPr>
        <w:t>对焊机闪光区域内，须设铁皮隔挡，焊接时禁止其它人员停留在闪光区域内。</w:t>
      </w:r>
      <w:r>
        <w:t>焊机工作范围内，严禁堆放易燃物品，以免引起火灾。</w:t>
      </w:r>
    </w:p>
    <w:p>
      <w:pPr>
        <w:pStyle w:val="BodyText"/>
        <w:spacing w:before="4" w:line="405" w:lineRule="auto"/>
        <w:ind w:left="418" w:right="348" w:firstLine="831"/>
      </w:pPr>
      <w:r>
        <w:t>焊接过程中，如焊机发生不正常响声，冷却系统堵塞或漏水，电压器绝缘电阻过小，导线破裂、漏电等应立即停止作业并进行检修。</w:t>
      </w:r>
    </w:p>
    <w:p>
      <w:pPr>
        <w:pStyle w:val="BodyText"/>
        <w:spacing w:line="461" w:lineRule="exact"/>
        <w:ind w:left="1249"/>
      </w:pPr>
      <w:r>
        <w:t>②钢筋切断、弯曲、成型的安全措施</w:t>
      </w:r>
    </w:p>
    <w:p>
      <w:pPr>
        <w:pStyle w:val="BodyText"/>
        <w:tabs>
          <w:tab w:val="left" w:pos="6938"/>
        </w:tabs>
        <w:spacing w:before="320" w:line="405" w:lineRule="auto"/>
        <w:ind w:left="418" w:right="304" w:firstLine="831"/>
      </w:pPr>
      <w:r>
        <w:t>切断机切钢筋时材料最短不得小于</w:t>
        <w:tab/>
      </w:r>
      <w:r>
        <w:rPr>
          <w:spacing w:val="2"/>
        </w:rPr>
        <w:t>1m，</w:t>
      </w:r>
      <w:r>
        <w:t>一次切断的根数必须符合机械的性能，严禁超量进行切割。切断φ12</w:t>
      </w:r>
      <w:r>
        <w:rPr>
          <w:spacing w:val="-26"/>
        </w:rPr>
        <w:t xml:space="preserve"> </w:t>
      </w:r>
      <w:r>
        <w:t>以上钢筋时，须两人配合操作，人与钢筋要</w:t>
      </w:r>
      <w:r>
        <w:rPr>
          <w:spacing w:val="-17"/>
        </w:rPr>
        <w:t>保</w:t>
      </w:r>
      <w:r>
        <w:t>持一定的距离并把稳钢筋，断料时料要握紧，并在活动刀片向后退时将钢筋送进刀片，以防钢筋末端摆动或钢筋蹦出伤人。不要在活动刀片已开始向前推进时， 向刀口送料，这样常因措手不及，既不能断准尺寸，又往往会发生机械或人身安全事故。</w:t>
      </w:r>
    </w:p>
    <w:p>
      <w:pPr>
        <w:pStyle w:val="BodyText"/>
        <w:spacing w:before="3" w:line="405" w:lineRule="auto"/>
        <w:ind w:left="418" w:right="306" w:firstLine="831"/>
        <w:jc w:val="both"/>
      </w:pPr>
      <w:r>
        <w:t>钢筋的弯曲：在机械正式操作前应检查机械各部件，并进行正常空载运转， 正常后再正式操作。操作时注意力要集中，要熟悉倒顺开关、控制工作盘、旋转的方向及钢筋放置用挡架，工作盘旋方向配合，不要放反，操作时钢筋必须放在插头的中下部，严禁弯曲超载尺寸的钢筋，回转方向必须准确，手与插头的距离</w:t>
      </w:r>
      <w:r>
        <w:rPr>
          <w:spacing w:val="-6"/>
        </w:rPr>
        <w:t xml:space="preserve">不得小于 </w:t>
      </w:r>
      <w:r>
        <w:t>20cm，</w:t>
      </w:r>
      <w:r>
        <w:rPr>
          <w:spacing w:val="-1"/>
        </w:rPr>
        <w:t>机械运行过程中，严禁更换芯轴、销子和变换角度等。在加油和</w:t>
      </w:r>
      <w:r>
        <w:t>清扫转盘换向时，必须待停机后再进行。</w:t>
      </w:r>
    </w:p>
    <w:p>
      <w:pPr>
        <w:pStyle w:val="BodyText"/>
        <w:spacing w:before="4"/>
        <w:ind w:left="1249"/>
      </w:pPr>
      <w:r>
        <w:t>③钢筋绑扎与安装的安全措施</w:t>
      </w:r>
    </w:p>
    <w:p>
      <w:pPr>
        <w:pStyle w:val="BodyText"/>
        <w:spacing w:before="316" w:line="408" w:lineRule="auto"/>
        <w:ind w:left="418" w:right="126" w:firstLine="831"/>
      </w:pPr>
      <w:r>
        <w:rPr>
          <w:spacing w:val="-11"/>
        </w:rPr>
        <w:t xml:space="preserve">绑扎钢筋和安装钢筋时须注意，不要将钢筋堆放在模板或脚手架的某一部位， </w:t>
      </w:r>
      <w:r>
        <w:t>以保证安全。</w:t>
      </w:r>
    </w:p>
    <w:p>
      <w:pPr>
        <w:pStyle w:val="BodyText"/>
        <w:spacing w:line="405" w:lineRule="auto"/>
        <w:ind w:left="418" w:right="348" w:firstLine="831"/>
      </w:pPr>
      <w:r>
        <w:t>在脚手架上不要随便放置工具，箍筋或短钢筋，避免放置不稳，工具、钢筋滑下伤人。</w:t>
      </w:r>
    </w:p>
    <w:p>
      <w:pPr>
        <w:pStyle w:val="BodyText"/>
        <w:spacing w:line="405" w:lineRule="auto"/>
        <w:ind w:left="1249" w:right="2508"/>
      </w:pPr>
      <w:r>
        <w:t xml:space="preserve">高处绑扎钢筋时不许站在模板或墙上操作，应搭设脚手架。 </w:t>
      </w:r>
      <w:r>
        <w:rPr>
          <w:spacing w:val="-1"/>
        </w:rPr>
        <w:t>安装绑扎钢筋时，不许碰电线，夜间施工需要有足够的照明。</w:t>
      </w:r>
    </w:p>
    <w:p>
      <w:pPr>
        <w:pStyle w:val="BodyText"/>
      </w:pPr>
    </w:p>
    <w:p>
      <w:pPr>
        <w:pStyle w:val="BodyText"/>
        <w:spacing w:before="7"/>
        <w:rPr>
          <w:sz w:val="25"/>
        </w:rPr>
      </w:pPr>
    </w:p>
    <w:p>
      <w:pPr>
        <w:spacing w:before="0"/>
        <w:ind w:left="4476"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版 整理</w:t>
      </w:r>
    </w:p>
    <w:p>
      <w:pPr>
        <w:spacing w:after="0"/>
        <w:jc w:val="left"/>
        <w:rPr>
          <w:rFonts w:ascii="宋体" w:eastAsia="宋体" w:hint="eastAsia"/>
          <w:sz w:val="27"/>
        </w:rPr>
      </w:pPr>
      <w:r>
        <w:rPr>
          <w:rFonts w:ascii="宋体" w:eastAsia="宋体" w:hint="eastAsia"/>
          <w:sz w:val="27"/>
        </w:rPr>
        <w:br/>
      </w:r>
      <w:r>
        <w:rPr>
          <w:rFonts w:ascii="宋体" w:eastAsia="宋体" w:hint="eastAsia"/>
          <w:sz w:val="27"/>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 w:history="1">
        <w:r>
          <w:rPr>
            <w:rFonts w:ascii="SimSun" w:eastAsia="SimSun" w:hAnsi="SimSun" w:cs="SimSun"/>
            <w:b/>
            <w:bCs/>
            <w:color w:val="0000EE"/>
            <w:sz w:val="30"/>
            <w:szCs w:val="30"/>
            <w:u w:val="single" w:color="0000EE"/>
          </w:rPr>
          <w:t>https://d.book118.com/335224302223011040</w:t>
        </w:r>
      </w:hyperlink>
    </w:p>
    <w:p>
      <w:pPr>
        <w:spacing w:after="0"/>
        <w:jc w:val="left"/>
        <w:rPr>
          <w:rFonts w:ascii="宋体" w:eastAsia="宋体" w:hint="eastAsia"/>
          <w:sz w:val="27"/>
        </w:rPr>
      </w:pPr>
    </w:p>
    <w:sectPr>
      <w:pgSz w:w="17860" w:h="25260"/>
      <w:pgMar w:top="1020" w:right="1820" w:bottom="280" w:left="2560" w:header="708" w:footer="708"/>
      <w:pgNumType w:start="9"/>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楷体">
    <w:altName w:val="楷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BD481"/>
    <w:multiLevelType w:val="hybridMultilevel"/>
    <w:tmpl w:val="00000000"/>
    <w:lvl w:ilvl="0">
      <w:start w:val="1"/>
      <w:numFmt w:val="decimal"/>
      <w:lvlText w:val="（%1）"/>
      <w:lvlJc w:val="left"/>
      <w:pPr>
        <w:ind w:left="2038" w:hanging="901"/>
        <w:jc w:val="left"/>
      </w:pPr>
      <w:rPr>
        <w:rFonts w:ascii="楷体" w:eastAsia="楷体" w:hAnsi="楷体" w:cs="楷体" w:hint="default"/>
        <w:w w:val="100"/>
        <w:sz w:val="34"/>
        <w:szCs w:val="34"/>
      </w:rPr>
    </w:lvl>
    <w:lvl w:ilvl="1">
      <w:start w:val="0"/>
      <w:numFmt w:val="bullet"/>
      <w:lvlText w:val="•"/>
      <w:lvlJc w:val="left"/>
      <w:pPr>
        <w:ind w:left="3183" w:hanging="901"/>
      </w:pPr>
      <w:rPr>
        <w:rFonts w:hint="default"/>
      </w:rPr>
    </w:lvl>
    <w:lvl w:ilvl="2">
      <w:start w:val="0"/>
      <w:numFmt w:val="bullet"/>
      <w:lvlText w:val="•"/>
      <w:lvlJc w:val="left"/>
      <w:pPr>
        <w:ind w:left="4327" w:hanging="901"/>
      </w:pPr>
      <w:rPr>
        <w:rFonts w:hint="default"/>
      </w:rPr>
    </w:lvl>
    <w:lvl w:ilvl="3">
      <w:start w:val="0"/>
      <w:numFmt w:val="bullet"/>
      <w:lvlText w:val="•"/>
      <w:lvlJc w:val="left"/>
      <w:pPr>
        <w:ind w:left="5471" w:hanging="901"/>
      </w:pPr>
      <w:rPr>
        <w:rFonts w:hint="default"/>
      </w:rPr>
    </w:lvl>
    <w:lvl w:ilvl="4">
      <w:start w:val="0"/>
      <w:numFmt w:val="bullet"/>
      <w:lvlText w:val="•"/>
      <w:lvlJc w:val="left"/>
      <w:pPr>
        <w:ind w:left="6615" w:hanging="901"/>
      </w:pPr>
      <w:rPr>
        <w:rFonts w:hint="default"/>
      </w:rPr>
    </w:lvl>
    <w:lvl w:ilvl="5">
      <w:start w:val="0"/>
      <w:numFmt w:val="bullet"/>
      <w:lvlText w:val="•"/>
      <w:lvlJc w:val="left"/>
      <w:pPr>
        <w:ind w:left="7759" w:hanging="901"/>
      </w:pPr>
      <w:rPr>
        <w:rFonts w:hint="default"/>
      </w:rPr>
    </w:lvl>
    <w:lvl w:ilvl="6">
      <w:start w:val="0"/>
      <w:numFmt w:val="bullet"/>
      <w:lvlText w:val="•"/>
      <w:lvlJc w:val="left"/>
      <w:pPr>
        <w:ind w:left="8903" w:hanging="901"/>
      </w:pPr>
      <w:rPr>
        <w:rFonts w:hint="default"/>
      </w:rPr>
    </w:lvl>
    <w:lvl w:ilvl="7">
      <w:start w:val="0"/>
      <w:numFmt w:val="bullet"/>
      <w:lvlText w:val="•"/>
      <w:lvlJc w:val="left"/>
      <w:pPr>
        <w:ind w:left="10047" w:hanging="901"/>
      </w:pPr>
      <w:rPr>
        <w:rFonts w:hint="default"/>
      </w:rPr>
    </w:lvl>
    <w:lvl w:ilvl="8">
      <w:start w:val="0"/>
      <w:numFmt w:val="bullet"/>
      <w:lvlText w:val="•"/>
      <w:lvlJc w:val="left"/>
      <w:pPr>
        <w:ind w:left="11191" w:hanging="901"/>
      </w:pPr>
      <w:rPr>
        <w:rFonts w:hint="default"/>
      </w:rPr>
    </w:lvl>
  </w:abstractNum>
  <w:abstractNum w:abstractNumId="1">
    <w:nsid w:val="00FAAD64"/>
    <w:multiLevelType w:val="hybridMultilevel"/>
    <w:tmpl w:val="00000000"/>
    <w:lvl w:ilvl="0">
      <w:start w:val="1"/>
      <w:numFmt w:val="decimal"/>
      <w:lvlText w:val="(%1)"/>
      <w:lvlJc w:val="left"/>
      <w:pPr>
        <w:ind w:left="418" w:hanging="541"/>
        <w:jc w:val="left"/>
      </w:pPr>
      <w:rPr>
        <w:rFonts w:ascii="楷体" w:eastAsia="楷体" w:hAnsi="楷体" w:cs="楷体" w:hint="default"/>
        <w:spacing w:val="-1"/>
        <w:w w:val="100"/>
        <w:sz w:val="34"/>
        <w:szCs w:val="34"/>
      </w:rPr>
    </w:lvl>
    <w:lvl w:ilvl="1">
      <w:start w:val="0"/>
      <w:numFmt w:val="bullet"/>
      <w:lvlText w:val="•"/>
      <w:lvlJc w:val="left"/>
      <w:pPr>
        <w:ind w:left="1725" w:hanging="541"/>
      </w:pPr>
      <w:rPr>
        <w:rFonts w:hint="default"/>
      </w:rPr>
    </w:lvl>
    <w:lvl w:ilvl="2">
      <w:start w:val="0"/>
      <w:numFmt w:val="bullet"/>
      <w:lvlText w:val="•"/>
      <w:lvlJc w:val="left"/>
      <w:pPr>
        <w:ind w:left="3031" w:hanging="541"/>
      </w:pPr>
      <w:rPr>
        <w:rFonts w:hint="default"/>
      </w:rPr>
    </w:lvl>
    <w:lvl w:ilvl="3">
      <w:start w:val="0"/>
      <w:numFmt w:val="bullet"/>
      <w:lvlText w:val="•"/>
      <w:lvlJc w:val="left"/>
      <w:pPr>
        <w:ind w:left="4337" w:hanging="541"/>
      </w:pPr>
      <w:rPr>
        <w:rFonts w:hint="default"/>
      </w:rPr>
    </w:lvl>
    <w:lvl w:ilvl="4">
      <w:start w:val="0"/>
      <w:numFmt w:val="bullet"/>
      <w:lvlText w:val="•"/>
      <w:lvlJc w:val="left"/>
      <w:pPr>
        <w:ind w:left="5643" w:hanging="541"/>
      </w:pPr>
      <w:rPr>
        <w:rFonts w:hint="default"/>
      </w:rPr>
    </w:lvl>
    <w:lvl w:ilvl="5">
      <w:start w:val="0"/>
      <w:numFmt w:val="bullet"/>
      <w:lvlText w:val="•"/>
      <w:lvlJc w:val="left"/>
      <w:pPr>
        <w:ind w:left="6949" w:hanging="541"/>
      </w:pPr>
      <w:rPr>
        <w:rFonts w:hint="default"/>
      </w:rPr>
    </w:lvl>
    <w:lvl w:ilvl="6">
      <w:start w:val="0"/>
      <w:numFmt w:val="bullet"/>
      <w:lvlText w:val="•"/>
      <w:lvlJc w:val="left"/>
      <w:pPr>
        <w:ind w:left="8255" w:hanging="541"/>
      </w:pPr>
      <w:rPr>
        <w:rFonts w:hint="default"/>
      </w:rPr>
    </w:lvl>
    <w:lvl w:ilvl="7">
      <w:start w:val="0"/>
      <w:numFmt w:val="bullet"/>
      <w:lvlText w:val="•"/>
      <w:lvlJc w:val="left"/>
      <w:pPr>
        <w:ind w:left="9561" w:hanging="541"/>
      </w:pPr>
      <w:rPr>
        <w:rFonts w:hint="default"/>
      </w:rPr>
    </w:lvl>
    <w:lvl w:ilvl="8">
      <w:start w:val="0"/>
      <w:numFmt w:val="bullet"/>
      <w:lvlText w:val="•"/>
      <w:lvlJc w:val="left"/>
      <w:pPr>
        <w:ind w:left="10867" w:hanging="541"/>
      </w:pPr>
      <w:rPr>
        <w:rFonts w:hint="default"/>
      </w:rPr>
    </w:lvl>
  </w:abstractNum>
  <w:abstractNum w:abstractNumId="2">
    <w:nsid w:val="029423D5"/>
    <w:multiLevelType w:val="hybridMultilevel"/>
    <w:tmpl w:val="00000000"/>
    <w:lvl w:ilvl="0">
      <w:start w:val="1"/>
      <w:numFmt w:val="decimal"/>
      <w:lvlText w:val="%1."/>
      <w:lvlJc w:val="left"/>
      <w:pPr>
        <w:ind w:left="418" w:hanging="361"/>
        <w:jc w:val="right"/>
      </w:pPr>
      <w:rPr>
        <w:rFonts w:ascii="楷体" w:eastAsia="楷体" w:hAnsi="楷体" w:cs="楷体" w:hint="default"/>
        <w:spacing w:val="-1"/>
        <w:w w:val="100"/>
        <w:sz w:val="34"/>
        <w:szCs w:val="34"/>
      </w:rPr>
    </w:lvl>
    <w:lvl w:ilvl="1">
      <w:start w:val="0"/>
      <w:numFmt w:val="bullet"/>
      <w:lvlText w:val="•"/>
      <w:lvlJc w:val="left"/>
      <w:pPr>
        <w:ind w:left="1725" w:hanging="361"/>
      </w:pPr>
      <w:rPr>
        <w:rFonts w:hint="default"/>
      </w:rPr>
    </w:lvl>
    <w:lvl w:ilvl="2">
      <w:start w:val="0"/>
      <w:numFmt w:val="bullet"/>
      <w:lvlText w:val="•"/>
      <w:lvlJc w:val="left"/>
      <w:pPr>
        <w:ind w:left="3031" w:hanging="361"/>
      </w:pPr>
      <w:rPr>
        <w:rFonts w:hint="default"/>
      </w:rPr>
    </w:lvl>
    <w:lvl w:ilvl="3">
      <w:start w:val="0"/>
      <w:numFmt w:val="bullet"/>
      <w:lvlText w:val="•"/>
      <w:lvlJc w:val="left"/>
      <w:pPr>
        <w:ind w:left="4337" w:hanging="361"/>
      </w:pPr>
      <w:rPr>
        <w:rFonts w:hint="default"/>
      </w:rPr>
    </w:lvl>
    <w:lvl w:ilvl="4">
      <w:start w:val="0"/>
      <w:numFmt w:val="bullet"/>
      <w:lvlText w:val="•"/>
      <w:lvlJc w:val="left"/>
      <w:pPr>
        <w:ind w:left="5643" w:hanging="361"/>
      </w:pPr>
      <w:rPr>
        <w:rFonts w:hint="default"/>
      </w:rPr>
    </w:lvl>
    <w:lvl w:ilvl="5">
      <w:start w:val="0"/>
      <w:numFmt w:val="bullet"/>
      <w:lvlText w:val="•"/>
      <w:lvlJc w:val="left"/>
      <w:pPr>
        <w:ind w:left="6949" w:hanging="361"/>
      </w:pPr>
      <w:rPr>
        <w:rFonts w:hint="default"/>
      </w:rPr>
    </w:lvl>
    <w:lvl w:ilvl="6">
      <w:start w:val="0"/>
      <w:numFmt w:val="bullet"/>
      <w:lvlText w:val="•"/>
      <w:lvlJc w:val="left"/>
      <w:pPr>
        <w:ind w:left="8255" w:hanging="361"/>
      </w:pPr>
      <w:rPr>
        <w:rFonts w:hint="default"/>
      </w:rPr>
    </w:lvl>
    <w:lvl w:ilvl="7">
      <w:start w:val="0"/>
      <w:numFmt w:val="bullet"/>
      <w:lvlText w:val="•"/>
      <w:lvlJc w:val="left"/>
      <w:pPr>
        <w:ind w:left="9561" w:hanging="361"/>
      </w:pPr>
      <w:rPr>
        <w:rFonts w:hint="default"/>
      </w:rPr>
    </w:lvl>
    <w:lvl w:ilvl="8">
      <w:start w:val="0"/>
      <w:numFmt w:val="bullet"/>
      <w:lvlText w:val="•"/>
      <w:lvlJc w:val="left"/>
      <w:pPr>
        <w:ind w:left="10867" w:hanging="361"/>
      </w:pPr>
      <w:rPr>
        <w:rFonts w:hint="default"/>
      </w:rPr>
    </w:lvl>
  </w:abstractNum>
  <w:abstractNum w:abstractNumId="3">
    <w:nsid w:val="062D2DB3"/>
    <w:multiLevelType w:val="hybridMultilevel"/>
    <w:tmpl w:val="00000000"/>
    <w:lvl w:ilvl="0">
      <w:start w:val="1"/>
      <w:numFmt w:val="decimal"/>
      <w:lvlText w:val="(%1)"/>
      <w:lvlJc w:val="left"/>
      <w:pPr>
        <w:ind w:left="418" w:hanging="541"/>
        <w:jc w:val="left"/>
      </w:pPr>
      <w:rPr>
        <w:rFonts w:ascii="楷体" w:eastAsia="楷体" w:hAnsi="楷体" w:cs="楷体" w:hint="default"/>
        <w:spacing w:val="-1"/>
        <w:w w:val="100"/>
        <w:sz w:val="34"/>
        <w:szCs w:val="34"/>
      </w:rPr>
    </w:lvl>
    <w:lvl w:ilvl="1">
      <w:start w:val="0"/>
      <w:numFmt w:val="bullet"/>
      <w:lvlText w:val="•"/>
      <w:lvlJc w:val="left"/>
      <w:pPr>
        <w:ind w:left="1725" w:hanging="541"/>
      </w:pPr>
      <w:rPr>
        <w:rFonts w:hint="default"/>
      </w:rPr>
    </w:lvl>
    <w:lvl w:ilvl="2">
      <w:start w:val="0"/>
      <w:numFmt w:val="bullet"/>
      <w:lvlText w:val="•"/>
      <w:lvlJc w:val="left"/>
      <w:pPr>
        <w:ind w:left="3031" w:hanging="541"/>
      </w:pPr>
      <w:rPr>
        <w:rFonts w:hint="default"/>
      </w:rPr>
    </w:lvl>
    <w:lvl w:ilvl="3">
      <w:start w:val="0"/>
      <w:numFmt w:val="bullet"/>
      <w:lvlText w:val="•"/>
      <w:lvlJc w:val="left"/>
      <w:pPr>
        <w:ind w:left="4337" w:hanging="541"/>
      </w:pPr>
      <w:rPr>
        <w:rFonts w:hint="default"/>
      </w:rPr>
    </w:lvl>
    <w:lvl w:ilvl="4">
      <w:start w:val="0"/>
      <w:numFmt w:val="bullet"/>
      <w:lvlText w:val="•"/>
      <w:lvlJc w:val="left"/>
      <w:pPr>
        <w:ind w:left="5643" w:hanging="541"/>
      </w:pPr>
      <w:rPr>
        <w:rFonts w:hint="default"/>
      </w:rPr>
    </w:lvl>
    <w:lvl w:ilvl="5">
      <w:start w:val="0"/>
      <w:numFmt w:val="bullet"/>
      <w:lvlText w:val="•"/>
      <w:lvlJc w:val="left"/>
      <w:pPr>
        <w:ind w:left="6949" w:hanging="541"/>
      </w:pPr>
      <w:rPr>
        <w:rFonts w:hint="default"/>
      </w:rPr>
    </w:lvl>
    <w:lvl w:ilvl="6">
      <w:start w:val="0"/>
      <w:numFmt w:val="bullet"/>
      <w:lvlText w:val="•"/>
      <w:lvlJc w:val="left"/>
      <w:pPr>
        <w:ind w:left="8255" w:hanging="541"/>
      </w:pPr>
      <w:rPr>
        <w:rFonts w:hint="default"/>
      </w:rPr>
    </w:lvl>
    <w:lvl w:ilvl="7">
      <w:start w:val="0"/>
      <w:numFmt w:val="bullet"/>
      <w:lvlText w:val="•"/>
      <w:lvlJc w:val="left"/>
      <w:pPr>
        <w:ind w:left="9561" w:hanging="541"/>
      </w:pPr>
      <w:rPr>
        <w:rFonts w:hint="default"/>
      </w:rPr>
    </w:lvl>
    <w:lvl w:ilvl="8">
      <w:start w:val="0"/>
      <w:numFmt w:val="bullet"/>
      <w:lvlText w:val="•"/>
      <w:lvlJc w:val="left"/>
      <w:pPr>
        <w:ind w:left="10867" w:hanging="541"/>
      </w:pPr>
      <w:rPr>
        <w:rFonts w:hint="default"/>
      </w:rPr>
    </w:lvl>
  </w:abstractNum>
  <w:abstractNum w:abstractNumId="4">
    <w:nsid w:val="07CE45DE"/>
    <w:multiLevelType w:val="hybridMultilevel"/>
    <w:tmpl w:val="00000000"/>
    <w:lvl w:ilvl="0">
      <w:start w:val="1"/>
      <w:numFmt w:val="decimal"/>
      <w:lvlText w:val="(%1)"/>
      <w:lvlJc w:val="left"/>
      <w:pPr>
        <w:ind w:left="418" w:hanging="541"/>
        <w:jc w:val="left"/>
      </w:pPr>
      <w:rPr>
        <w:rFonts w:ascii="楷体" w:eastAsia="楷体" w:hAnsi="楷体" w:cs="楷体" w:hint="default"/>
        <w:w w:val="100"/>
        <w:sz w:val="34"/>
        <w:szCs w:val="34"/>
      </w:rPr>
    </w:lvl>
    <w:lvl w:ilvl="1">
      <w:start w:val="0"/>
      <w:numFmt w:val="bullet"/>
      <w:lvlText w:val="•"/>
      <w:lvlJc w:val="left"/>
      <w:pPr>
        <w:ind w:left="1725" w:hanging="541"/>
      </w:pPr>
      <w:rPr>
        <w:rFonts w:hint="default"/>
      </w:rPr>
    </w:lvl>
    <w:lvl w:ilvl="2">
      <w:start w:val="0"/>
      <w:numFmt w:val="bullet"/>
      <w:lvlText w:val="•"/>
      <w:lvlJc w:val="left"/>
      <w:pPr>
        <w:ind w:left="3031" w:hanging="541"/>
      </w:pPr>
      <w:rPr>
        <w:rFonts w:hint="default"/>
      </w:rPr>
    </w:lvl>
    <w:lvl w:ilvl="3">
      <w:start w:val="0"/>
      <w:numFmt w:val="bullet"/>
      <w:lvlText w:val="•"/>
      <w:lvlJc w:val="left"/>
      <w:pPr>
        <w:ind w:left="4337" w:hanging="541"/>
      </w:pPr>
      <w:rPr>
        <w:rFonts w:hint="default"/>
      </w:rPr>
    </w:lvl>
    <w:lvl w:ilvl="4">
      <w:start w:val="0"/>
      <w:numFmt w:val="bullet"/>
      <w:lvlText w:val="•"/>
      <w:lvlJc w:val="left"/>
      <w:pPr>
        <w:ind w:left="5643" w:hanging="541"/>
      </w:pPr>
      <w:rPr>
        <w:rFonts w:hint="default"/>
      </w:rPr>
    </w:lvl>
    <w:lvl w:ilvl="5">
      <w:start w:val="0"/>
      <w:numFmt w:val="bullet"/>
      <w:lvlText w:val="•"/>
      <w:lvlJc w:val="left"/>
      <w:pPr>
        <w:ind w:left="6949" w:hanging="541"/>
      </w:pPr>
      <w:rPr>
        <w:rFonts w:hint="default"/>
      </w:rPr>
    </w:lvl>
    <w:lvl w:ilvl="6">
      <w:start w:val="0"/>
      <w:numFmt w:val="bullet"/>
      <w:lvlText w:val="•"/>
      <w:lvlJc w:val="left"/>
      <w:pPr>
        <w:ind w:left="8255" w:hanging="541"/>
      </w:pPr>
      <w:rPr>
        <w:rFonts w:hint="default"/>
      </w:rPr>
    </w:lvl>
    <w:lvl w:ilvl="7">
      <w:start w:val="0"/>
      <w:numFmt w:val="bullet"/>
      <w:lvlText w:val="•"/>
      <w:lvlJc w:val="left"/>
      <w:pPr>
        <w:ind w:left="9561" w:hanging="541"/>
      </w:pPr>
      <w:rPr>
        <w:rFonts w:hint="default"/>
      </w:rPr>
    </w:lvl>
    <w:lvl w:ilvl="8">
      <w:start w:val="0"/>
      <w:numFmt w:val="bullet"/>
      <w:lvlText w:val="•"/>
      <w:lvlJc w:val="left"/>
      <w:pPr>
        <w:ind w:left="10867" w:hanging="541"/>
      </w:pPr>
      <w:rPr>
        <w:rFonts w:hint="default"/>
      </w:rPr>
    </w:lvl>
  </w:abstractNum>
  <w:abstractNum w:abstractNumId="5">
    <w:nsid w:val="0BB5AAE9"/>
    <w:multiLevelType w:val="hybridMultilevel"/>
    <w:tmpl w:val="00000000"/>
    <w:lvl w:ilvl="0">
      <w:start w:val="1"/>
      <w:numFmt w:val="decimal"/>
      <w:lvlText w:val="(%1)"/>
      <w:lvlJc w:val="left"/>
      <w:pPr>
        <w:ind w:left="418" w:hanging="541"/>
        <w:jc w:val="left"/>
      </w:pPr>
      <w:rPr>
        <w:rFonts w:ascii="楷体" w:eastAsia="楷体" w:hAnsi="楷体" w:cs="楷体" w:hint="default"/>
        <w:w w:val="100"/>
        <w:sz w:val="34"/>
        <w:szCs w:val="34"/>
      </w:rPr>
    </w:lvl>
    <w:lvl w:ilvl="1">
      <w:start w:val="0"/>
      <w:numFmt w:val="bullet"/>
      <w:lvlText w:val="•"/>
      <w:lvlJc w:val="left"/>
      <w:pPr>
        <w:ind w:left="1725" w:hanging="541"/>
      </w:pPr>
      <w:rPr>
        <w:rFonts w:hint="default"/>
      </w:rPr>
    </w:lvl>
    <w:lvl w:ilvl="2">
      <w:start w:val="0"/>
      <w:numFmt w:val="bullet"/>
      <w:lvlText w:val="•"/>
      <w:lvlJc w:val="left"/>
      <w:pPr>
        <w:ind w:left="3031" w:hanging="541"/>
      </w:pPr>
      <w:rPr>
        <w:rFonts w:hint="default"/>
      </w:rPr>
    </w:lvl>
    <w:lvl w:ilvl="3">
      <w:start w:val="0"/>
      <w:numFmt w:val="bullet"/>
      <w:lvlText w:val="•"/>
      <w:lvlJc w:val="left"/>
      <w:pPr>
        <w:ind w:left="4337" w:hanging="541"/>
      </w:pPr>
      <w:rPr>
        <w:rFonts w:hint="default"/>
      </w:rPr>
    </w:lvl>
    <w:lvl w:ilvl="4">
      <w:start w:val="0"/>
      <w:numFmt w:val="bullet"/>
      <w:lvlText w:val="•"/>
      <w:lvlJc w:val="left"/>
      <w:pPr>
        <w:ind w:left="5643" w:hanging="541"/>
      </w:pPr>
      <w:rPr>
        <w:rFonts w:hint="default"/>
      </w:rPr>
    </w:lvl>
    <w:lvl w:ilvl="5">
      <w:start w:val="0"/>
      <w:numFmt w:val="bullet"/>
      <w:lvlText w:val="•"/>
      <w:lvlJc w:val="left"/>
      <w:pPr>
        <w:ind w:left="6949" w:hanging="541"/>
      </w:pPr>
      <w:rPr>
        <w:rFonts w:hint="default"/>
      </w:rPr>
    </w:lvl>
    <w:lvl w:ilvl="6">
      <w:start w:val="0"/>
      <w:numFmt w:val="bullet"/>
      <w:lvlText w:val="•"/>
      <w:lvlJc w:val="left"/>
      <w:pPr>
        <w:ind w:left="8255" w:hanging="541"/>
      </w:pPr>
      <w:rPr>
        <w:rFonts w:hint="default"/>
      </w:rPr>
    </w:lvl>
    <w:lvl w:ilvl="7">
      <w:start w:val="0"/>
      <w:numFmt w:val="bullet"/>
      <w:lvlText w:val="•"/>
      <w:lvlJc w:val="left"/>
      <w:pPr>
        <w:ind w:left="9561" w:hanging="541"/>
      </w:pPr>
      <w:rPr>
        <w:rFonts w:hint="default"/>
      </w:rPr>
    </w:lvl>
    <w:lvl w:ilvl="8">
      <w:start w:val="0"/>
      <w:numFmt w:val="bullet"/>
      <w:lvlText w:val="•"/>
      <w:lvlJc w:val="left"/>
      <w:pPr>
        <w:ind w:left="10867" w:hanging="541"/>
      </w:pPr>
      <w:rPr>
        <w:rFonts w:hint="default"/>
      </w:rPr>
    </w:lvl>
  </w:abstractNum>
  <w:abstractNum w:abstractNumId="6">
    <w:nsid w:val="102D6203"/>
    <w:multiLevelType w:val="hybridMultilevel"/>
    <w:tmpl w:val="00000000"/>
    <w:lvl w:ilvl="0">
      <w:start w:val="1"/>
      <w:numFmt w:val="decimal"/>
      <w:lvlText w:val="(%1)"/>
      <w:lvlJc w:val="left"/>
      <w:pPr>
        <w:ind w:left="1678" w:hanging="541"/>
        <w:jc w:val="left"/>
      </w:pPr>
      <w:rPr>
        <w:rFonts w:ascii="楷体" w:eastAsia="楷体" w:hAnsi="楷体" w:cs="楷体" w:hint="default"/>
        <w:w w:val="100"/>
        <w:sz w:val="34"/>
        <w:szCs w:val="34"/>
      </w:rPr>
    </w:lvl>
    <w:lvl w:ilvl="1">
      <w:start w:val="0"/>
      <w:numFmt w:val="bullet"/>
      <w:lvlText w:val="•"/>
      <w:lvlJc w:val="left"/>
      <w:pPr>
        <w:ind w:left="2859" w:hanging="541"/>
      </w:pPr>
      <w:rPr>
        <w:rFonts w:hint="default"/>
      </w:rPr>
    </w:lvl>
    <w:lvl w:ilvl="2">
      <w:start w:val="0"/>
      <w:numFmt w:val="bullet"/>
      <w:lvlText w:val="•"/>
      <w:lvlJc w:val="left"/>
      <w:pPr>
        <w:ind w:left="4039" w:hanging="541"/>
      </w:pPr>
      <w:rPr>
        <w:rFonts w:hint="default"/>
      </w:rPr>
    </w:lvl>
    <w:lvl w:ilvl="3">
      <w:start w:val="0"/>
      <w:numFmt w:val="bullet"/>
      <w:lvlText w:val="•"/>
      <w:lvlJc w:val="left"/>
      <w:pPr>
        <w:ind w:left="5219" w:hanging="541"/>
      </w:pPr>
      <w:rPr>
        <w:rFonts w:hint="default"/>
      </w:rPr>
    </w:lvl>
    <w:lvl w:ilvl="4">
      <w:start w:val="0"/>
      <w:numFmt w:val="bullet"/>
      <w:lvlText w:val="•"/>
      <w:lvlJc w:val="left"/>
      <w:pPr>
        <w:ind w:left="6399" w:hanging="541"/>
      </w:pPr>
      <w:rPr>
        <w:rFonts w:hint="default"/>
      </w:rPr>
    </w:lvl>
    <w:lvl w:ilvl="5">
      <w:start w:val="0"/>
      <w:numFmt w:val="bullet"/>
      <w:lvlText w:val="•"/>
      <w:lvlJc w:val="left"/>
      <w:pPr>
        <w:ind w:left="7579" w:hanging="541"/>
      </w:pPr>
      <w:rPr>
        <w:rFonts w:hint="default"/>
      </w:rPr>
    </w:lvl>
    <w:lvl w:ilvl="6">
      <w:start w:val="0"/>
      <w:numFmt w:val="bullet"/>
      <w:lvlText w:val="•"/>
      <w:lvlJc w:val="left"/>
      <w:pPr>
        <w:ind w:left="8759" w:hanging="541"/>
      </w:pPr>
      <w:rPr>
        <w:rFonts w:hint="default"/>
      </w:rPr>
    </w:lvl>
    <w:lvl w:ilvl="7">
      <w:start w:val="0"/>
      <w:numFmt w:val="bullet"/>
      <w:lvlText w:val="•"/>
      <w:lvlJc w:val="left"/>
      <w:pPr>
        <w:ind w:left="9939" w:hanging="541"/>
      </w:pPr>
      <w:rPr>
        <w:rFonts w:hint="default"/>
      </w:rPr>
    </w:lvl>
    <w:lvl w:ilvl="8">
      <w:start w:val="0"/>
      <w:numFmt w:val="bullet"/>
      <w:lvlText w:val="•"/>
      <w:lvlJc w:val="left"/>
      <w:pPr>
        <w:ind w:left="11119" w:hanging="541"/>
      </w:pPr>
      <w:rPr>
        <w:rFonts w:hint="default"/>
      </w:rPr>
    </w:lvl>
  </w:abstractNum>
  <w:abstractNum w:abstractNumId="7">
    <w:nsid w:val="11A8F2F7"/>
    <w:multiLevelType w:val="hybridMultilevel"/>
    <w:tmpl w:val="00000000"/>
    <w:lvl w:ilvl="0">
      <w:start w:val="5"/>
      <w:numFmt w:val="decimal"/>
      <w:lvlText w:val="(%1)"/>
      <w:lvlJc w:val="left"/>
      <w:pPr>
        <w:ind w:left="1678" w:hanging="541"/>
        <w:jc w:val="left"/>
      </w:pPr>
      <w:rPr>
        <w:rFonts w:ascii="楷体" w:eastAsia="楷体" w:hAnsi="楷体" w:cs="楷体" w:hint="default"/>
        <w:w w:val="100"/>
        <w:sz w:val="34"/>
        <w:szCs w:val="34"/>
      </w:rPr>
    </w:lvl>
    <w:lvl w:ilvl="1">
      <w:start w:val="0"/>
      <w:numFmt w:val="bullet"/>
      <w:lvlText w:val="•"/>
      <w:lvlJc w:val="left"/>
      <w:pPr>
        <w:ind w:left="2859" w:hanging="541"/>
      </w:pPr>
      <w:rPr>
        <w:rFonts w:hint="default"/>
      </w:rPr>
    </w:lvl>
    <w:lvl w:ilvl="2">
      <w:start w:val="0"/>
      <w:numFmt w:val="bullet"/>
      <w:lvlText w:val="•"/>
      <w:lvlJc w:val="left"/>
      <w:pPr>
        <w:ind w:left="4039" w:hanging="541"/>
      </w:pPr>
      <w:rPr>
        <w:rFonts w:hint="default"/>
      </w:rPr>
    </w:lvl>
    <w:lvl w:ilvl="3">
      <w:start w:val="0"/>
      <w:numFmt w:val="bullet"/>
      <w:lvlText w:val="•"/>
      <w:lvlJc w:val="left"/>
      <w:pPr>
        <w:ind w:left="5219" w:hanging="541"/>
      </w:pPr>
      <w:rPr>
        <w:rFonts w:hint="default"/>
      </w:rPr>
    </w:lvl>
    <w:lvl w:ilvl="4">
      <w:start w:val="0"/>
      <w:numFmt w:val="bullet"/>
      <w:lvlText w:val="•"/>
      <w:lvlJc w:val="left"/>
      <w:pPr>
        <w:ind w:left="6399" w:hanging="541"/>
      </w:pPr>
      <w:rPr>
        <w:rFonts w:hint="default"/>
      </w:rPr>
    </w:lvl>
    <w:lvl w:ilvl="5">
      <w:start w:val="0"/>
      <w:numFmt w:val="bullet"/>
      <w:lvlText w:val="•"/>
      <w:lvlJc w:val="left"/>
      <w:pPr>
        <w:ind w:left="7579" w:hanging="541"/>
      </w:pPr>
      <w:rPr>
        <w:rFonts w:hint="default"/>
      </w:rPr>
    </w:lvl>
    <w:lvl w:ilvl="6">
      <w:start w:val="0"/>
      <w:numFmt w:val="bullet"/>
      <w:lvlText w:val="•"/>
      <w:lvlJc w:val="left"/>
      <w:pPr>
        <w:ind w:left="8759" w:hanging="541"/>
      </w:pPr>
      <w:rPr>
        <w:rFonts w:hint="default"/>
      </w:rPr>
    </w:lvl>
    <w:lvl w:ilvl="7">
      <w:start w:val="0"/>
      <w:numFmt w:val="bullet"/>
      <w:lvlText w:val="•"/>
      <w:lvlJc w:val="left"/>
      <w:pPr>
        <w:ind w:left="9939" w:hanging="541"/>
      </w:pPr>
      <w:rPr>
        <w:rFonts w:hint="default"/>
      </w:rPr>
    </w:lvl>
    <w:lvl w:ilvl="8">
      <w:start w:val="0"/>
      <w:numFmt w:val="bullet"/>
      <w:lvlText w:val="•"/>
      <w:lvlJc w:val="left"/>
      <w:pPr>
        <w:ind w:left="11119" w:hanging="541"/>
      </w:pPr>
      <w:rPr>
        <w:rFonts w:hint="default"/>
      </w:rPr>
    </w:lvl>
  </w:abstractNum>
  <w:abstractNum w:abstractNumId="8">
    <w:nsid w:val="16E973E5"/>
    <w:multiLevelType w:val="hybridMultilevel"/>
    <w:tmpl w:val="00000000"/>
    <w:lvl w:ilvl="0">
      <w:start w:val="1"/>
      <w:numFmt w:val="lowerLetter"/>
      <w:lvlText w:val="%1."/>
      <w:lvlJc w:val="left"/>
      <w:pPr>
        <w:ind w:left="1660" w:hanging="361"/>
        <w:jc w:val="left"/>
      </w:pPr>
      <w:rPr>
        <w:rFonts w:ascii="楷体" w:eastAsia="楷体" w:hAnsi="楷体" w:cs="楷体" w:hint="default"/>
        <w:w w:val="100"/>
        <w:sz w:val="34"/>
        <w:szCs w:val="34"/>
      </w:rPr>
    </w:lvl>
    <w:lvl w:ilvl="1">
      <w:start w:val="1"/>
      <w:numFmt w:val="decimal"/>
      <w:lvlText w:val="%2."/>
      <w:lvlJc w:val="left"/>
      <w:pPr>
        <w:ind w:left="1660" w:hanging="361"/>
        <w:jc w:val="left"/>
      </w:pPr>
      <w:rPr>
        <w:rFonts w:ascii="楷体" w:eastAsia="楷体" w:hAnsi="楷体" w:cs="楷体" w:hint="default"/>
        <w:w w:val="100"/>
        <w:sz w:val="34"/>
        <w:szCs w:val="34"/>
      </w:rPr>
    </w:lvl>
    <w:lvl w:ilvl="2">
      <w:start w:val="0"/>
      <w:numFmt w:val="bullet"/>
      <w:lvlText w:val="•"/>
      <w:lvlJc w:val="left"/>
      <w:pPr>
        <w:ind w:left="2973" w:hanging="361"/>
      </w:pPr>
      <w:rPr>
        <w:rFonts w:hint="default"/>
      </w:rPr>
    </w:lvl>
    <w:lvl w:ilvl="3">
      <w:start w:val="0"/>
      <w:numFmt w:val="bullet"/>
      <w:lvlText w:val="•"/>
      <w:lvlJc w:val="left"/>
      <w:pPr>
        <w:ind w:left="4286" w:hanging="361"/>
      </w:pPr>
      <w:rPr>
        <w:rFonts w:hint="default"/>
      </w:rPr>
    </w:lvl>
    <w:lvl w:ilvl="4">
      <w:start w:val="0"/>
      <w:numFmt w:val="bullet"/>
      <w:lvlText w:val="•"/>
      <w:lvlJc w:val="left"/>
      <w:pPr>
        <w:ind w:left="5599" w:hanging="361"/>
      </w:pPr>
      <w:rPr>
        <w:rFonts w:hint="default"/>
      </w:rPr>
    </w:lvl>
    <w:lvl w:ilvl="5">
      <w:start w:val="0"/>
      <w:numFmt w:val="bullet"/>
      <w:lvlText w:val="•"/>
      <w:lvlJc w:val="left"/>
      <w:pPr>
        <w:ind w:left="6913" w:hanging="361"/>
      </w:pPr>
      <w:rPr>
        <w:rFonts w:hint="default"/>
      </w:rPr>
    </w:lvl>
    <w:lvl w:ilvl="6">
      <w:start w:val="0"/>
      <w:numFmt w:val="bullet"/>
      <w:lvlText w:val="•"/>
      <w:lvlJc w:val="left"/>
      <w:pPr>
        <w:ind w:left="8226" w:hanging="361"/>
      </w:pPr>
      <w:rPr>
        <w:rFonts w:hint="default"/>
      </w:rPr>
    </w:lvl>
    <w:lvl w:ilvl="7">
      <w:start w:val="0"/>
      <w:numFmt w:val="bullet"/>
      <w:lvlText w:val="•"/>
      <w:lvlJc w:val="left"/>
      <w:pPr>
        <w:ind w:left="9539" w:hanging="361"/>
      </w:pPr>
      <w:rPr>
        <w:rFonts w:hint="default"/>
      </w:rPr>
    </w:lvl>
    <w:lvl w:ilvl="8">
      <w:start w:val="0"/>
      <w:numFmt w:val="bullet"/>
      <w:lvlText w:val="•"/>
      <w:lvlJc w:val="left"/>
      <w:pPr>
        <w:ind w:left="10853" w:hanging="361"/>
      </w:pPr>
      <w:rPr>
        <w:rFonts w:hint="default"/>
      </w:rPr>
    </w:lvl>
  </w:abstractNum>
  <w:abstractNum w:abstractNumId="9">
    <w:nsid w:val="19DD67AD"/>
    <w:multiLevelType w:val="hybridMultilevel"/>
    <w:tmpl w:val="00000000"/>
    <w:lvl w:ilvl="0">
      <w:start w:val="1"/>
      <w:numFmt w:val="decimal"/>
      <w:lvlText w:val="%1."/>
      <w:lvlJc w:val="left"/>
      <w:pPr>
        <w:ind w:left="418" w:hanging="361"/>
        <w:jc w:val="left"/>
      </w:pPr>
      <w:rPr>
        <w:rFonts w:ascii="楷体" w:eastAsia="楷体" w:hAnsi="楷体" w:cs="楷体" w:hint="default"/>
        <w:spacing w:val="-1"/>
        <w:w w:val="100"/>
        <w:sz w:val="34"/>
        <w:szCs w:val="34"/>
      </w:rPr>
    </w:lvl>
    <w:lvl w:ilvl="1">
      <w:start w:val="0"/>
      <w:numFmt w:val="bullet"/>
      <w:lvlText w:val="•"/>
      <w:lvlJc w:val="left"/>
      <w:pPr>
        <w:ind w:left="1725" w:hanging="361"/>
      </w:pPr>
      <w:rPr>
        <w:rFonts w:hint="default"/>
      </w:rPr>
    </w:lvl>
    <w:lvl w:ilvl="2">
      <w:start w:val="0"/>
      <w:numFmt w:val="bullet"/>
      <w:lvlText w:val="•"/>
      <w:lvlJc w:val="left"/>
      <w:pPr>
        <w:ind w:left="3031" w:hanging="361"/>
      </w:pPr>
      <w:rPr>
        <w:rFonts w:hint="default"/>
      </w:rPr>
    </w:lvl>
    <w:lvl w:ilvl="3">
      <w:start w:val="0"/>
      <w:numFmt w:val="bullet"/>
      <w:lvlText w:val="•"/>
      <w:lvlJc w:val="left"/>
      <w:pPr>
        <w:ind w:left="4337" w:hanging="361"/>
      </w:pPr>
      <w:rPr>
        <w:rFonts w:hint="default"/>
      </w:rPr>
    </w:lvl>
    <w:lvl w:ilvl="4">
      <w:start w:val="0"/>
      <w:numFmt w:val="bullet"/>
      <w:lvlText w:val="•"/>
      <w:lvlJc w:val="left"/>
      <w:pPr>
        <w:ind w:left="5643" w:hanging="361"/>
      </w:pPr>
      <w:rPr>
        <w:rFonts w:hint="default"/>
      </w:rPr>
    </w:lvl>
    <w:lvl w:ilvl="5">
      <w:start w:val="0"/>
      <w:numFmt w:val="bullet"/>
      <w:lvlText w:val="•"/>
      <w:lvlJc w:val="left"/>
      <w:pPr>
        <w:ind w:left="6949" w:hanging="361"/>
      </w:pPr>
      <w:rPr>
        <w:rFonts w:hint="default"/>
      </w:rPr>
    </w:lvl>
    <w:lvl w:ilvl="6">
      <w:start w:val="0"/>
      <w:numFmt w:val="bullet"/>
      <w:lvlText w:val="•"/>
      <w:lvlJc w:val="left"/>
      <w:pPr>
        <w:ind w:left="8255" w:hanging="361"/>
      </w:pPr>
      <w:rPr>
        <w:rFonts w:hint="default"/>
      </w:rPr>
    </w:lvl>
    <w:lvl w:ilvl="7">
      <w:start w:val="0"/>
      <w:numFmt w:val="bullet"/>
      <w:lvlText w:val="•"/>
      <w:lvlJc w:val="left"/>
      <w:pPr>
        <w:ind w:left="9561" w:hanging="361"/>
      </w:pPr>
      <w:rPr>
        <w:rFonts w:hint="default"/>
      </w:rPr>
    </w:lvl>
    <w:lvl w:ilvl="8">
      <w:start w:val="0"/>
      <w:numFmt w:val="bullet"/>
      <w:lvlText w:val="•"/>
      <w:lvlJc w:val="left"/>
      <w:pPr>
        <w:ind w:left="10867" w:hanging="361"/>
      </w:pPr>
      <w:rPr>
        <w:rFonts w:hint="default"/>
      </w:rPr>
    </w:lvl>
  </w:abstractNum>
  <w:abstractNum w:abstractNumId="10">
    <w:nsid w:val="1A1B8AD9"/>
    <w:multiLevelType w:val="hybridMultilevel"/>
    <w:tmpl w:val="00000000"/>
    <w:lvl w:ilvl="0">
      <w:start w:val="1"/>
      <w:numFmt w:val="decimal"/>
      <w:lvlText w:val="(%1)"/>
      <w:lvlJc w:val="left"/>
      <w:pPr>
        <w:ind w:left="418" w:hanging="541"/>
        <w:jc w:val="left"/>
      </w:pPr>
      <w:rPr>
        <w:rFonts w:ascii="楷体" w:eastAsia="楷体" w:hAnsi="楷体" w:cs="楷体" w:hint="default"/>
        <w:spacing w:val="-1"/>
        <w:w w:val="100"/>
        <w:sz w:val="34"/>
        <w:szCs w:val="34"/>
      </w:rPr>
    </w:lvl>
    <w:lvl w:ilvl="1">
      <w:start w:val="1"/>
      <w:numFmt w:val="decimal"/>
      <w:lvlText w:val="(%2)"/>
      <w:lvlJc w:val="left"/>
      <w:pPr>
        <w:ind w:left="1840" w:hanging="541"/>
        <w:jc w:val="left"/>
      </w:pPr>
      <w:rPr>
        <w:rFonts w:ascii="楷体" w:eastAsia="楷体" w:hAnsi="楷体" w:cs="楷体" w:hint="default"/>
        <w:w w:val="100"/>
        <w:sz w:val="34"/>
        <w:szCs w:val="34"/>
      </w:rPr>
    </w:lvl>
    <w:lvl w:ilvl="2">
      <w:start w:val="0"/>
      <w:numFmt w:val="bullet"/>
      <w:lvlText w:val="•"/>
      <w:lvlJc w:val="left"/>
      <w:pPr>
        <w:ind w:left="3133" w:hanging="541"/>
      </w:pPr>
      <w:rPr>
        <w:rFonts w:hint="default"/>
      </w:rPr>
    </w:lvl>
    <w:lvl w:ilvl="3">
      <w:start w:val="0"/>
      <w:numFmt w:val="bullet"/>
      <w:lvlText w:val="•"/>
      <w:lvlJc w:val="left"/>
      <w:pPr>
        <w:ind w:left="4426" w:hanging="541"/>
      </w:pPr>
      <w:rPr>
        <w:rFonts w:hint="default"/>
      </w:rPr>
    </w:lvl>
    <w:lvl w:ilvl="4">
      <w:start w:val="0"/>
      <w:numFmt w:val="bullet"/>
      <w:lvlText w:val="•"/>
      <w:lvlJc w:val="left"/>
      <w:pPr>
        <w:ind w:left="5719" w:hanging="541"/>
      </w:pPr>
      <w:rPr>
        <w:rFonts w:hint="default"/>
      </w:rPr>
    </w:lvl>
    <w:lvl w:ilvl="5">
      <w:start w:val="0"/>
      <w:numFmt w:val="bullet"/>
      <w:lvlText w:val="•"/>
      <w:lvlJc w:val="left"/>
      <w:pPr>
        <w:ind w:left="7013" w:hanging="541"/>
      </w:pPr>
      <w:rPr>
        <w:rFonts w:hint="default"/>
      </w:rPr>
    </w:lvl>
    <w:lvl w:ilvl="6">
      <w:start w:val="0"/>
      <w:numFmt w:val="bullet"/>
      <w:lvlText w:val="•"/>
      <w:lvlJc w:val="left"/>
      <w:pPr>
        <w:ind w:left="8306" w:hanging="541"/>
      </w:pPr>
      <w:rPr>
        <w:rFonts w:hint="default"/>
      </w:rPr>
    </w:lvl>
    <w:lvl w:ilvl="7">
      <w:start w:val="0"/>
      <w:numFmt w:val="bullet"/>
      <w:lvlText w:val="•"/>
      <w:lvlJc w:val="left"/>
      <w:pPr>
        <w:ind w:left="9599" w:hanging="541"/>
      </w:pPr>
      <w:rPr>
        <w:rFonts w:hint="default"/>
      </w:rPr>
    </w:lvl>
    <w:lvl w:ilvl="8">
      <w:start w:val="0"/>
      <w:numFmt w:val="bullet"/>
      <w:lvlText w:val="•"/>
      <w:lvlJc w:val="left"/>
      <w:pPr>
        <w:ind w:left="10893" w:hanging="541"/>
      </w:pPr>
      <w:rPr>
        <w:rFonts w:hint="default"/>
      </w:rPr>
    </w:lvl>
  </w:abstractNum>
  <w:abstractNum w:abstractNumId="11">
    <w:nsid w:val="21A52367"/>
    <w:multiLevelType w:val="hybridMultilevel"/>
    <w:tmpl w:val="00000000"/>
    <w:lvl w:ilvl="0">
      <w:start w:val="3"/>
      <w:numFmt w:val="decimal"/>
      <w:lvlText w:val="(%1)"/>
      <w:lvlJc w:val="left"/>
      <w:pPr>
        <w:ind w:left="418" w:hanging="541"/>
        <w:jc w:val="right"/>
      </w:pPr>
      <w:rPr>
        <w:rFonts w:ascii="楷体" w:eastAsia="楷体" w:hAnsi="楷体" w:cs="楷体" w:hint="default"/>
        <w:spacing w:val="-1"/>
        <w:w w:val="100"/>
        <w:sz w:val="34"/>
        <w:szCs w:val="34"/>
      </w:rPr>
    </w:lvl>
    <w:lvl w:ilvl="1">
      <w:start w:val="1"/>
      <w:numFmt w:val="decimal"/>
      <w:lvlText w:val="（%2）"/>
      <w:lvlJc w:val="left"/>
      <w:pPr>
        <w:ind w:left="418" w:hanging="901"/>
        <w:jc w:val="left"/>
      </w:pPr>
      <w:rPr>
        <w:rFonts w:ascii="楷体" w:eastAsia="楷体" w:hAnsi="楷体" w:cs="楷体" w:hint="default"/>
        <w:w w:val="100"/>
        <w:sz w:val="34"/>
        <w:szCs w:val="34"/>
      </w:rPr>
    </w:lvl>
    <w:lvl w:ilvl="2">
      <w:start w:val="0"/>
      <w:numFmt w:val="bullet"/>
      <w:lvlText w:val="•"/>
      <w:lvlJc w:val="left"/>
      <w:pPr>
        <w:ind w:left="3031" w:hanging="901"/>
      </w:pPr>
      <w:rPr>
        <w:rFonts w:hint="default"/>
      </w:rPr>
    </w:lvl>
    <w:lvl w:ilvl="3">
      <w:start w:val="0"/>
      <w:numFmt w:val="bullet"/>
      <w:lvlText w:val="•"/>
      <w:lvlJc w:val="left"/>
      <w:pPr>
        <w:ind w:left="4337" w:hanging="901"/>
      </w:pPr>
      <w:rPr>
        <w:rFonts w:hint="default"/>
      </w:rPr>
    </w:lvl>
    <w:lvl w:ilvl="4">
      <w:start w:val="0"/>
      <w:numFmt w:val="bullet"/>
      <w:lvlText w:val="•"/>
      <w:lvlJc w:val="left"/>
      <w:pPr>
        <w:ind w:left="5643" w:hanging="901"/>
      </w:pPr>
      <w:rPr>
        <w:rFonts w:hint="default"/>
      </w:rPr>
    </w:lvl>
    <w:lvl w:ilvl="5">
      <w:start w:val="0"/>
      <w:numFmt w:val="bullet"/>
      <w:lvlText w:val="•"/>
      <w:lvlJc w:val="left"/>
      <w:pPr>
        <w:ind w:left="6949" w:hanging="901"/>
      </w:pPr>
      <w:rPr>
        <w:rFonts w:hint="default"/>
      </w:rPr>
    </w:lvl>
    <w:lvl w:ilvl="6">
      <w:start w:val="0"/>
      <w:numFmt w:val="bullet"/>
      <w:lvlText w:val="•"/>
      <w:lvlJc w:val="left"/>
      <w:pPr>
        <w:ind w:left="8255" w:hanging="901"/>
      </w:pPr>
      <w:rPr>
        <w:rFonts w:hint="default"/>
      </w:rPr>
    </w:lvl>
    <w:lvl w:ilvl="7">
      <w:start w:val="0"/>
      <w:numFmt w:val="bullet"/>
      <w:lvlText w:val="•"/>
      <w:lvlJc w:val="left"/>
      <w:pPr>
        <w:ind w:left="9561" w:hanging="901"/>
      </w:pPr>
      <w:rPr>
        <w:rFonts w:hint="default"/>
      </w:rPr>
    </w:lvl>
    <w:lvl w:ilvl="8">
      <w:start w:val="0"/>
      <w:numFmt w:val="bullet"/>
      <w:lvlText w:val="•"/>
      <w:lvlJc w:val="left"/>
      <w:pPr>
        <w:ind w:left="10867" w:hanging="901"/>
      </w:pPr>
      <w:rPr>
        <w:rFonts w:hint="default"/>
      </w:rPr>
    </w:lvl>
  </w:abstractNum>
  <w:abstractNum w:abstractNumId="12">
    <w:nsid w:val="2EA4C0BA"/>
    <w:multiLevelType w:val="hybridMultilevel"/>
    <w:tmpl w:val="00000000"/>
    <w:lvl w:ilvl="0">
      <w:start w:val="1"/>
      <w:numFmt w:val="decimal"/>
      <w:lvlText w:val="(%1)"/>
      <w:lvlJc w:val="left"/>
      <w:pPr>
        <w:ind w:left="1679" w:hanging="541"/>
        <w:jc w:val="left"/>
      </w:pPr>
      <w:rPr>
        <w:rFonts w:ascii="楷体" w:eastAsia="楷体" w:hAnsi="楷体" w:cs="楷体" w:hint="default"/>
        <w:spacing w:val="-1"/>
        <w:w w:val="100"/>
        <w:sz w:val="34"/>
        <w:szCs w:val="34"/>
      </w:rPr>
    </w:lvl>
    <w:lvl w:ilvl="1">
      <w:start w:val="0"/>
      <w:numFmt w:val="bullet"/>
      <w:lvlText w:val="•"/>
      <w:lvlJc w:val="left"/>
      <w:pPr>
        <w:ind w:left="2859" w:hanging="541"/>
      </w:pPr>
      <w:rPr>
        <w:rFonts w:hint="default"/>
      </w:rPr>
    </w:lvl>
    <w:lvl w:ilvl="2">
      <w:start w:val="0"/>
      <w:numFmt w:val="bullet"/>
      <w:lvlText w:val="•"/>
      <w:lvlJc w:val="left"/>
      <w:pPr>
        <w:ind w:left="4039" w:hanging="541"/>
      </w:pPr>
      <w:rPr>
        <w:rFonts w:hint="default"/>
      </w:rPr>
    </w:lvl>
    <w:lvl w:ilvl="3">
      <w:start w:val="0"/>
      <w:numFmt w:val="bullet"/>
      <w:lvlText w:val="•"/>
      <w:lvlJc w:val="left"/>
      <w:pPr>
        <w:ind w:left="5219" w:hanging="541"/>
      </w:pPr>
      <w:rPr>
        <w:rFonts w:hint="default"/>
      </w:rPr>
    </w:lvl>
    <w:lvl w:ilvl="4">
      <w:start w:val="0"/>
      <w:numFmt w:val="bullet"/>
      <w:lvlText w:val="•"/>
      <w:lvlJc w:val="left"/>
      <w:pPr>
        <w:ind w:left="6399" w:hanging="541"/>
      </w:pPr>
      <w:rPr>
        <w:rFonts w:hint="default"/>
      </w:rPr>
    </w:lvl>
    <w:lvl w:ilvl="5">
      <w:start w:val="0"/>
      <w:numFmt w:val="bullet"/>
      <w:lvlText w:val="•"/>
      <w:lvlJc w:val="left"/>
      <w:pPr>
        <w:ind w:left="7579" w:hanging="541"/>
      </w:pPr>
      <w:rPr>
        <w:rFonts w:hint="default"/>
      </w:rPr>
    </w:lvl>
    <w:lvl w:ilvl="6">
      <w:start w:val="0"/>
      <w:numFmt w:val="bullet"/>
      <w:lvlText w:val="•"/>
      <w:lvlJc w:val="left"/>
      <w:pPr>
        <w:ind w:left="8759" w:hanging="541"/>
      </w:pPr>
      <w:rPr>
        <w:rFonts w:hint="default"/>
      </w:rPr>
    </w:lvl>
    <w:lvl w:ilvl="7">
      <w:start w:val="0"/>
      <w:numFmt w:val="bullet"/>
      <w:lvlText w:val="•"/>
      <w:lvlJc w:val="left"/>
      <w:pPr>
        <w:ind w:left="9939" w:hanging="541"/>
      </w:pPr>
      <w:rPr>
        <w:rFonts w:hint="default"/>
      </w:rPr>
    </w:lvl>
    <w:lvl w:ilvl="8">
      <w:start w:val="0"/>
      <w:numFmt w:val="bullet"/>
      <w:lvlText w:val="•"/>
      <w:lvlJc w:val="left"/>
      <w:pPr>
        <w:ind w:left="11119" w:hanging="541"/>
      </w:pPr>
      <w:rPr>
        <w:rFonts w:hint="default"/>
      </w:rPr>
    </w:lvl>
  </w:abstractNum>
  <w:abstractNum w:abstractNumId="13">
    <w:nsid w:val="32C25AA3"/>
    <w:multiLevelType w:val="hybridMultilevel"/>
    <w:tmpl w:val="00000000"/>
    <w:lvl w:ilvl="0">
      <w:start w:val="1"/>
      <w:numFmt w:val="decimal"/>
      <w:lvlText w:val="(%1)"/>
      <w:lvlJc w:val="left"/>
      <w:pPr>
        <w:ind w:left="1839" w:hanging="541"/>
        <w:jc w:val="right"/>
      </w:pPr>
      <w:rPr>
        <w:rFonts w:ascii="楷体" w:eastAsia="楷体" w:hAnsi="楷体" w:cs="楷体" w:hint="default"/>
        <w:w w:val="100"/>
        <w:sz w:val="34"/>
        <w:szCs w:val="34"/>
      </w:rPr>
    </w:lvl>
    <w:lvl w:ilvl="1">
      <w:start w:val="0"/>
      <w:numFmt w:val="bullet"/>
      <w:lvlText w:val="•"/>
      <w:lvlJc w:val="left"/>
      <w:pPr>
        <w:ind w:left="3003" w:hanging="541"/>
      </w:pPr>
      <w:rPr>
        <w:rFonts w:hint="default"/>
      </w:rPr>
    </w:lvl>
    <w:lvl w:ilvl="2">
      <w:start w:val="0"/>
      <w:numFmt w:val="bullet"/>
      <w:lvlText w:val="•"/>
      <w:lvlJc w:val="left"/>
      <w:pPr>
        <w:ind w:left="4167" w:hanging="541"/>
      </w:pPr>
      <w:rPr>
        <w:rFonts w:hint="default"/>
      </w:rPr>
    </w:lvl>
    <w:lvl w:ilvl="3">
      <w:start w:val="0"/>
      <w:numFmt w:val="bullet"/>
      <w:lvlText w:val="•"/>
      <w:lvlJc w:val="left"/>
      <w:pPr>
        <w:ind w:left="5331" w:hanging="541"/>
      </w:pPr>
      <w:rPr>
        <w:rFonts w:hint="default"/>
      </w:rPr>
    </w:lvl>
    <w:lvl w:ilvl="4">
      <w:start w:val="0"/>
      <w:numFmt w:val="bullet"/>
      <w:lvlText w:val="•"/>
      <w:lvlJc w:val="left"/>
      <w:pPr>
        <w:ind w:left="6495" w:hanging="541"/>
      </w:pPr>
      <w:rPr>
        <w:rFonts w:hint="default"/>
      </w:rPr>
    </w:lvl>
    <w:lvl w:ilvl="5">
      <w:start w:val="0"/>
      <w:numFmt w:val="bullet"/>
      <w:lvlText w:val="•"/>
      <w:lvlJc w:val="left"/>
      <w:pPr>
        <w:ind w:left="7659" w:hanging="541"/>
      </w:pPr>
      <w:rPr>
        <w:rFonts w:hint="default"/>
      </w:rPr>
    </w:lvl>
    <w:lvl w:ilvl="6">
      <w:start w:val="0"/>
      <w:numFmt w:val="bullet"/>
      <w:lvlText w:val="•"/>
      <w:lvlJc w:val="left"/>
      <w:pPr>
        <w:ind w:left="8823" w:hanging="541"/>
      </w:pPr>
      <w:rPr>
        <w:rFonts w:hint="default"/>
      </w:rPr>
    </w:lvl>
    <w:lvl w:ilvl="7">
      <w:start w:val="0"/>
      <w:numFmt w:val="bullet"/>
      <w:lvlText w:val="•"/>
      <w:lvlJc w:val="left"/>
      <w:pPr>
        <w:ind w:left="9987" w:hanging="541"/>
      </w:pPr>
      <w:rPr>
        <w:rFonts w:hint="default"/>
      </w:rPr>
    </w:lvl>
    <w:lvl w:ilvl="8">
      <w:start w:val="0"/>
      <w:numFmt w:val="bullet"/>
      <w:lvlText w:val="•"/>
      <w:lvlJc w:val="left"/>
      <w:pPr>
        <w:ind w:left="11151" w:hanging="541"/>
      </w:pPr>
      <w:rPr>
        <w:rFonts w:hint="default"/>
      </w:rPr>
    </w:lvl>
  </w:abstractNum>
  <w:abstractNum w:abstractNumId="14">
    <w:nsid w:val="454AE34D"/>
    <w:multiLevelType w:val="hybridMultilevel"/>
    <w:tmpl w:val="00000000"/>
    <w:lvl w:ilvl="0">
      <w:start w:val="1"/>
      <w:numFmt w:val="decimal"/>
      <w:lvlText w:val="%1."/>
      <w:lvlJc w:val="left"/>
      <w:pPr>
        <w:ind w:left="418" w:hanging="361"/>
        <w:jc w:val="left"/>
      </w:pPr>
      <w:rPr>
        <w:rFonts w:ascii="楷体" w:eastAsia="楷体" w:hAnsi="楷体" w:cs="楷体" w:hint="default"/>
        <w:spacing w:val="-1"/>
        <w:w w:val="100"/>
        <w:sz w:val="34"/>
        <w:szCs w:val="34"/>
      </w:rPr>
    </w:lvl>
    <w:lvl w:ilvl="1">
      <w:start w:val="0"/>
      <w:numFmt w:val="bullet"/>
      <w:lvlText w:val="•"/>
      <w:lvlJc w:val="left"/>
      <w:pPr>
        <w:ind w:left="1725" w:hanging="361"/>
      </w:pPr>
      <w:rPr>
        <w:rFonts w:hint="default"/>
      </w:rPr>
    </w:lvl>
    <w:lvl w:ilvl="2">
      <w:start w:val="0"/>
      <w:numFmt w:val="bullet"/>
      <w:lvlText w:val="•"/>
      <w:lvlJc w:val="left"/>
      <w:pPr>
        <w:ind w:left="3031" w:hanging="361"/>
      </w:pPr>
      <w:rPr>
        <w:rFonts w:hint="default"/>
      </w:rPr>
    </w:lvl>
    <w:lvl w:ilvl="3">
      <w:start w:val="0"/>
      <w:numFmt w:val="bullet"/>
      <w:lvlText w:val="•"/>
      <w:lvlJc w:val="left"/>
      <w:pPr>
        <w:ind w:left="4337" w:hanging="361"/>
      </w:pPr>
      <w:rPr>
        <w:rFonts w:hint="default"/>
      </w:rPr>
    </w:lvl>
    <w:lvl w:ilvl="4">
      <w:start w:val="0"/>
      <w:numFmt w:val="bullet"/>
      <w:lvlText w:val="•"/>
      <w:lvlJc w:val="left"/>
      <w:pPr>
        <w:ind w:left="5643" w:hanging="361"/>
      </w:pPr>
      <w:rPr>
        <w:rFonts w:hint="default"/>
      </w:rPr>
    </w:lvl>
    <w:lvl w:ilvl="5">
      <w:start w:val="0"/>
      <w:numFmt w:val="bullet"/>
      <w:lvlText w:val="•"/>
      <w:lvlJc w:val="left"/>
      <w:pPr>
        <w:ind w:left="6949" w:hanging="361"/>
      </w:pPr>
      <w:rPr>
        <w:rFonts w:hint="default"/>
      </w:rPr>
    </w:lvl>
    <w:lvl w:ilvl="6">
      <w:start w:val="0"/>
      <w:numFmt w:val="bullet"/>
      <w:lvlText w:val="•"/>
      <w:lvlJc w:val="left"/>
      <w:pPr>
        <w:ind w:left="8255" w:hanging="361"/>
      </w:pPr>
      <w:rPr>
        <w:rFonts w:hint="default"/>
      </w:rPr>
    </w:lvl>
    <w:lvl w:ilvl="7">
      <w:start w:val="0"/>
      <w:numFmt w:val="bullet"/>
      <w:lvlText w:val="•"/>
      <w:lvlJc w:val="left"/>
      <w:pPr>
        <w:ind w:left="9561" w:hanging="361"/>
      </w:pPr>
      <w:rPr>
        <w:rFonts w:hint="default"/>
      </w:rPr>
    </w:lvl>
    <w:lvl w:ilvl="8">
      <w:start w:val="0"/>
      <w:numFmt w:val="bullet"/>
      <w:lvlText w:val="•"/>
      <w:lvlJc w:val="left"/>
      <w:pPr>
        <w:ind w:left="10867" w:hanging="361"/>
      </w:pPr>
      <w:rPr>
        <w:rFonts w:hint="default"/>
      </w:rPr>
    </w:lvl>
  </w:abstractNum>
  <w:abstractNum w:abstractNumId="15">
    <w:nsid w:val="4F7F262A"/>
    <w:multiLevelType w:val="hybridMultilevel"/>
    <w:tmpl w:val="00000000"/>
    <w:lvl w:ilvl="0">
      <w:start w:val="3"/>
      <w:numFmt w:val="decimal"/>
      <w:lvlText w:val="(%1)"/>
      <w:lvlJc w:val="left"/>
      <w:pPr>
        <w:ind w:left="418" w:hanging="541"/>
        <w:jc w:val="right"/>
      </w:pPr>
      <w:rPr>
        <w:rFonts w:ascii="楷体" w:eastAsia="楷体" w:hAnsi="楷体" w:cs="楷体" w:hint="default"/>
        <w:spacing w:val="-1"/>
        <w:w w:val="100"/>
        <w:sz w:val="34"/>
        <w:szCs w:val="34"/>
      </w:rPr>
    </w:lvl>
    <w:lvl w:ilvl="1">
      <w:start w:val="1"/>
      <w:numFmt w:val="decimal"/>
      <w:lvlText w:val="（%2）"/>
      <w:lvlJc w:val="left"/>
      <w:pPr>
        <w:ind w:left="418" w:hanging="901"/>
        <w:jc w:val="left"/>
      </w:pPr>
      <w:rPr>
        <w:rFonts w:ascii="楷体" w:eastAsia="楷体" w:hAnsi="楷体" w:cs="楷体" w:hint="default"/>
        <w:w w:val="100"/>
        <w:sz w:val="34"/>
        <w:szCs w:val="34"/>
      </w:rPr>
    </w:lvl>
    <w:lvl w:ilvl="2">
      <w:start w:val="0"/>
      <w:numFmt w:val="bullet"/>
      <w:lvlText w:val="•"/>
      <w:lvlJc w:val="left"/>
      <w:pPr>
        <w:ind w:left="3031" w:hanging="901"/>
      </w:pPr>
      <w:rPr>
        <w:rFonts w:hint="default"/>
      </w:rPr>
    </w:lvl>
    <w:lvl w:ilvl="3">
      <w:start w:val="0"/>
      <w:numFmt w:val="bullet"/>
      <w:lvlText w:val="•"/>
      <w:lvlJc w:val="left"/>
      <w:pPr>
        <w:ind w:left="4337" w:hanging="901"/>
      </w:pPr>
      <w:rPr>
        <w:rFonts w:hint="default"/>
      </w:rPr>
    </w:lvl>
    <w:lvl w:ilvl="4">
      <w:start w:val="0"/>
      <w:numFmt w:val="bullet"/>
      <w:lvlText w:val="•"/>
      <w:lvlJc w:val="left"/>
      <w:pPr>
        <w:ind w:left="5643" w:hanging="901"/>
      </w:pPr>
      <w:rPr>
        <w:rFonts w:hint="default"/>
      </w:rPr>
    </w:lvl>
    <w:lvl w:ilvl="5">
      <w:start w:val="0"/>
      <w:numFmt w:val="bullet"/>
      <w:lvlText w:val="•"/>
      <w:lvlJc w:val="left"/>
      <w:pPr>
        <w:ind w:left="6949" w:hanging="901"/>
      </w:pPr>
      <w:rPr>
        <w:rFonts w:hint="default"/>
      </w:rPr>
    </w:lvl>
    <w:lvl w:ilvl="6">
      <w:start w:val="0"/>
      <w:numFmt w:val="bullet"/>
      <w:lvlText w:val="•"/>
      <w:lvlJc w:val="left"/>
      <w:pPr>
        <w:ind w:left="8255" w:hanging="901"/>
      </w:pPr>
      <w:rPr>
        <w:rFonts w:hint="default"/>
      </w:rPr>
    </w:lvl>
    <w:lvl w:ilvl="7">
      <w:start w:val="0"/>
      <w:numFmt w:val="bullet"/>
      <w:lvlText w:val="•"/>
      <w:lvlJc w:val="left"/>
      <w:pPr>
        <w:ind w:left="9561" w:hanging="901"/>
      </w:pPr>
      <w:rPr>
        <w:rFonts w:hint="default"/>
      </w:rPr>
    </w:lvl>
    <w:lvl w:ilvl="8">
      <w:start w:val="0"/>
      <w:numFmt w:val="bullet"/>
      <w:lvlText w:val="•"/>
      <w:lvlJc w:val="left"/>
      <w:pPr>
        <w:ind w:left="10867" w:hanging="901"/>
      </w:pPr>
      <w:rPr>
        <w:rFonts w:hint="default"/>
      </w:rPr>
    </w:lvl>
  </w:abstractNum>
  <w:abstractNum w:abstractNumId="16">
    <w:nsid w:val="5269076A"/>
    <w:multiLevelType w:val="hybridMultilevel"/>
    <w:tmpl w:val="00000000"/>
    <w:lvl w:ilvl="0">
      <w:start w:val="1"/>
      <w:numFmt w:val="decimal"/>
      <w:lvlText w:val="(%1)"/>
      <w:lvlJc w:val="left"/>
      <w:pPr>
        <w:ind w:left="1840" w:hanging="541"/>
        <w:jc w:val="left"/>
      </w:pPr>
      <w:rPr>
        <w:rFonts w:ascii="楷体" w:eastAsia="楷体" w:hAnsi="楷体" w:cs="楷体" w:hint="default"/>
        <w:w w:val="100"/>
        <w:sz w:val="34"/>
        <w:szCs w:val="34"/>
      </w:rPr>
    </w:lvl>
    <w:lvl w:ilvl="1">
      <w:start w:val="0"/>
      <w:numFmt w:val="bullet"/>
      <w:lvlText w:val="•"/>
      <w:lvlJc w:val="left"/>
      <w:pPr>
        <w:ind w:left="3003" w:hanging="541"/>
      </w:pPr>
      <w:rPr>
        <w:rFonts w:hint="default"/>
      </w:rPr>
    </w:lvl>
    <w:lvl w:ilvl="2">
      <w:start w:val="0"/>
      <w:numFmt w:val="bullet"/>
      <w:lvlText w:val="•"/>
      <w:lvlJc w:val="left"/>
      <w:pPr>
        <w:ind w:left="4167" w:hanging="541"/>
      </w:pPr>
      <w:rPr>
        <w:rFonts w:hint="default"/>
      </w:rPr>
    </w:lvl>
    <w:lvl w:ilvl="3">
      <w:start w:val="0"/>
      <w:numFmt w:val="bullet"/>
      <w:lvlText w:val="•"/>
      <w:lvlJc w:val="left"/>
      <w:pPr>
        <w:ind w:left="5331" w:hanging="541"/>
      </w:pPr>
      <w:rPr>
        <w:rFonts w:hint="default"/>
      </w:rPr>
    </w:lvl>
    <w:lvl w:ilvl="4">
      <w:start w:val="0"/>
      <w:numFmt w:val="bullet"/>
      <w:lvlText w:val="•"/>
      <w:lvlJc w:val="left"/>
      <w:pPr>
        <w:ind w:left="6495" w:hanging="541"/>
      </w:pPr>
      <w:rPr>
        <w:rFonts w:hint="default"/>
      </w:rPr>
    </w:lvl>
    <w:lvl w:ilvl="5">
      <w:start w:val="0"/>
      <w:numFmt w:val="bullet"/>
      <w:lvlText w:val="•"/>
      <w:lvlJc w:val="left"/>
      <w:pPr>
        <w:ind w:left="7659" w:hanging="541"/>
      </w:pPr>
      <w:rPr>
        <w:rFonts w:hint="default"/>
      </w:rPr>
    </w:lvl>
    <w:lvl w:ilvl="6">
      <w:start w:val="0"/>
      <w:numFmt w:val="bullet"/>
      <w:lvlText w:val="•"/>
      <w:lvlJc w:val="left"/>
      <w:pPr>
        <w:ind w:left="8823" w:hanging="541"/>
      </w:pPr>
      <w:rPr>
        <w:rFonts w:hint="default"/>
      </w:rPr>
    </w:lvl>
    <w:lvl w:ilvl="7">
      <w:start w:val="0"/>
      <w:numFmt w:val="bullet"/>
      <w:lvlText w:val="•"/>
      <w:lvlJc w:val="left"/>
      <w:pPr>
        <w:ind w:left="9987" w:hanging="541"/>
      </w:pPr>
      <w:rPr>
        <w:rFonts w:hint="default"/>
      </w:rPr>
    </w:lvl>
    <w:lvl w:ilvl="8">
      <w:start w:val="0"/>
      <w:numFmt w:val="bullet"/>
      <w:lvlText w:val="•"/>
      <w:lvlJc w:val="left"/>
      <w:pPr>
        <w:ind w:left="11151" w:hanging="541"/>
      </w:pPr>
      <w:rPr>
        <w:rFonts w:hint="default"/>
      </w:rPr>
    </w:lvl>
  </w:abstractNum>
  <w:abstractNum w:abstractNumId="17">
    <w:nsid w:val="53BAF7FB"/>
    <w:multiLevelType w:val="hybridMultilevel"/>
    <w:tmpl w:val="00000000"/>
    <w:lvl w:ilvl="0">
      <w:start w:val="1"/>
      <w:numFmt w:val="decimal"/>
      <w:lvlText w:val="%1."/>
      <w:lvlJc w:val="left"/>
      <w:pPr>
        <w:ind w:left="1660" w:hanging="361"/>
        <w:jc w:val="right"/>
      </w:pPr>
      <w:rPr>
        <w:rFonts w:ascii="楷体" w:eastAsia="楷体" w:hAnsi="楷体" w:cs="楷体" w:hint="default"/>
        <w:w w:val="100"/>
        <w:sz w:val="34"/>
        <w:szCs w:val="34"/>
      </w:rPr>
    </w:lvl>
    <w:lvl w:ilvl="1">
      <w:start w:val="0"/>
      <w:numFmt w:val="bullet"/>
      <w:lvlText w:val="•"/>
      <w:lvlJc w:val="left"/>
      <w:pPr>
        <w:ind w:left="2841" w:hanging="361"/>
      </w:pPr>
      <w:rPr>
        <w:rFonts w:hint="default"/>
      </w:rPr>
    </w:lvl>
    <w:lvl w:ilvl="2">
      <w:start w:val="0"/>
      <w:numFmt w:val="bullet"/>
      <w:lvlText w:val="•"/>
      <w:lvlJc w:val="left"/>
      <w:pPr>
        <w:ind w:left="4023" w:hanging="361"/>
      </w:pPr>
      <w:rPr>
        <w:rFonts w:hint="default"/>
      </w:rPr>
    </w:lvl>
    <w:lvl w:ilvl="3">
      <w:start w:val="0"/>
      <w:numFmt w:val="bullet"/>
      <w:lvlText w:val="•"/>
      <w:lvlJc w:val="left"/>
      <w:pPr>
        <w:ind w:left="5205" w:hanging="361"/>
      </w:pPr>
      <w:rPr>
        <w:rFonts w:hint="default"/>
      </w:rPr>
    </w:lvl>
    <w:lvl w:ilvl="4">
      <w:start w:val="0"/>
      <w:numFmt w:val="bullet"/>
      <w:lvlText w:val="•"/>
      <w:lvlJc w:val="left"/>
      <w:pPr>
        <w:ind w:left="6387" w:hanging="361"/>
      </w:pPr>
      <w:rPr>
        <w:rFonts w:hint="default"/>
      </w:rPr>
    </w:lvl>
    <w:lvl w:ilvl="5">
      <w:start w:val="0"/>
      <w:numFmt w:val="bullet"/>
      <w:lvlText w:val="•"/>
      <w:lvlJc w:val="left"/>
      <w:pPr>
        <w:ind w:left="7569" w:hanging="361"/>
      </w:pPr>
      <w:rPr>
        <w:rFonts w:hint="default"/>
      </w:rPr>
    </w:lvl>
    <w:lvl w:ilvl="6">
      <w:start w:val="0"/>
      <w:numFmt w:val="bullet"/>
      <w:lvlText w:val="•"/>
      <w:lvlJc w:val="left"/>
      <w:pPr>
        <w:ind w:left="8751" w:hanging="361"/>
      </w:pPr>
      <w:rPr>
        <w:rFonts w:hint="default"/>
      </w:rPr>
    </w:lvl>
    <w:lvl w:ilvl="7">
      <w:start w:val="0"/>
      <w:numFmt w:val="bullet"/>
      <w:lvlText w:val="•"/>
      <w:lvlJc w:val="left"/>
      <w:pPr>
        <w:ind w:left="9933" w:hanging="361"/>
      </w:pPr>
      <w:rPr>
        <w:rFonts w:hint="default"/>
      </w:rPr>
    </w:lvl>
    <w:lvl w:ilvl="8">
      <w:start w:val="0"/>
      <w:numFmt w:val="bullet"/>
      <w:lvlText w:val="•"/>
      <w:lvlJc w:val="left"/>
      <w:pPr>
        <w:ind w:left="11115" w:hanging="361"/>
      </w:pPr>
      <w:rPr>
        <w:rFonts w:hint="default"/>
      </w:rPr>
    </w:lvl>
  </w:abstractNum>
  <w:abstractNum w:abstractNumId="18">
    <w:nsid w:val="61D874EB"/>
    <w:multiLevelType w:val="hybridMultilevel"/>
    <w:tmpl w:val="00000000"/>
    <w:lvl w:ilvl="0">
      <w:start w:val="5"/>
      <w:numFmt w:val="decimal"/>
      <w:lvlText w:val="(%1)"/>
      <w:lvlJc w:val="left"/>
      <w:pPr>
        <w:ind w:left="1678" w:hanging="541"/>
        <w:jc w:val="left"/>
      </w:pPr>
      <w:rPr>
        <w:rFonts w:ascii="楷体" w:eastAsia="楷体" w:hAnsi="楷体" w:cs="楷体" w:hint="default"/>
        <w:w w:val="100"/>
        <w:sz w:val="34"/>
        <w:szCs w:val="34"/>
      </w:rPr>
    </w:lvl>
    <w:lvl w:ilvl="1">
      <w:start w:val="0"/>
      <w:numFmt w:val="bullet"/>
      <w:lvlText w:val="•"/>
      <w:lvlJc w:val="left"/>
      <w:pPr>
        <w:ind w:left="2859" w:hanging="541"/>
      </w:pPr>
      <w:rPr>
        <w:rFonts w:hint="default"/>
      </w:rPr>
    </w:lvl>
    <w:lvl w:ilvl="2">
      <w:start w:val="0"/>
      <w:numFmt w:val="bullet"/>
      <w:lvlText w:val="•"/>
      <w:lvlJc w:val="left"/>
      <w:pPr>
        <w:ind w:left="4039" w:hanging="541"/>
      </w:pPr>
      <w:rPr>
        <w:rFonts w:hint="default"/>
      </w:rPr>
    </w:lvl>
    <w:lvl w:ilvl="3">
      <w:start w:val="0"/>
      <w:numFmt w:val="bullet"/>
      <w:lvlText w:val="•"/>
      <w:lvlJc w:val="left"/>
      <w:pPr>
        <w:ind w:left="5219" w:hanging="541"/>
      </w:pPr>
      <w:rPr>
        <w:rFonts w:hint="default"/>
      </w:rPr>
    </w:lvl>
    <w:lvl w:ilvl="4">
      <w:start w:val="0"/>
      <w:numFmt w:val="bullet"/>
      <w:lvlText w:val="•"/>
      <w:lvlJc w:val="left"/>
      <w:pPr>
        <w:ind w:left="6399" w:hanging="541"/>
      </w:pPr>
      <w:rPr>
        <w:rFonts w:hint="default"/>
      </w:rPr>
    </w:lvl>
    <w:lvl w:ilvl="5">
      <w:start w:val="0"/>
      <w:numFmt w:val="bullet"/>
      <w:lvlText w:val="•"/>
      <w:lvlJc w:val="left"/>
      <w:pPr>
        <w:ind w:left="7579" w:hanging="541"/>
      </w:pPr>
      <w:rPr>
        <w:rFonts w:hint="default"/>
      </w:rPr>
    </w:lvl>
    <w:lvl w:ilvl="6">
      <w:start w:val="0"/>
      <w:numFmt w:val="bullet"/>
      <w:lvlText w:val="•"/>
      <w:lvlJc w:val="left"/>
      <w:pPr>
        <w:ind w:left="8759" w:hanging="541"/>
      </w:pPr>
      <w:rPr>
        <w:rFonts w:hint="default"/>
      </w:rPr>
    </w:lvl>
    <w:lvl w:ilvl="7">
      <w:start w:val="0"/>
      <w:numFmt w:val="bullet"/>
      <w:lvlText w:val="•"/>
      <w:lvlJc w:val="left"/>
      <w:pPr>
        <w:ind w:left="9939" w:hanging="541"/>
      </w:pPr>
      <w:rPr>
        <w:rFonts w:hint="default"/>
      </w:rPr>
    </w:lvl>
    <w:lvl w:ilvl="8">
      <w:start w:val="0"/>
      <w:numFmt w:val="bullet"/>
      <w:lvlText w:val="•"/>
      <w:lvlJc w:val="left"/>
      <w:pPr>
        <w:ind w:left="11119" w:hanging="541"/>
      </w:pPr>
      <w:rPr>
        <w:rFonts w:hint="default"/>
      </w:rPr>
    </w:lvl>
  </w:abstractNum>
  <w:abstractNum w:abstractNumId="19">
    <w:nsid w:val="6C3A5D72"/>
    <w:multiLevelType w:val="hybridMultilevel"/>
    <w:tmpl w:val="00000000"/>
    <w:lvl w:ilvl="0">
      <w:start w:val="1"/>
      <w:numFmt w:val="decimal"/>
      <w:lvlText w:val="(%1)"/>
      <w:lvlJc w:val="left"/>
      <w:pPr>
        <w:ind w:left="418" w:hanging="541"/>
        <w:jc w:val="left"/>
      </w:pPr>
      <w:rPr>
        <w:rFonts w:ascii="楷体" w:eastAsia="楷体" w:hAnsi="楷体" w:cs="楷体" w:hint="default"/>
        <w:w w:val="100"/>
        <w:sz w:val="34"/>
        <w:szCs w:val="34"/>
      </w:rPr>
    </w:lvl>
    <w:lvl w:ilvl="1">
      <w:start w:val="0"/>
      <w:numFmt w:val="bullet"/>
      <w:lvlText w:val="•"/>
      <w:lvlJc w:val="left"/>
      <w:pPr>
        <w:ind w:left="1725" w:hanging="541"/>
      </w:pPr>
      <w:rPr>
        <w:rFonts w:hint="default"/>
      </w:rPr>
    </w:lvl>
    <w:lvl w:ilvl="2">
      <w:start w:val="0"/>
      <w:numFmt w:val="bullet"/>
      <w:lvlText w:val="•"/>
      <w:lvlJc w:val="left"/>
      <w:pPr>
        <w:ind w:left="3031" w:hanging="541"/>
      </w:pPr>
      <w:rPr>
        <w:rFonts w:hint="default"/>
      </w:rPr>
    </w:lvl>
    <w:lvl w:ilvl="3">
      <w:start w:val="0"/>
      <w:numFmt w:val="bullet"/>
      <w:lvlText w:val="•"/>
      <w:lvlJc w:val="left"/>
      <w:pPr>
        <w:ind w:left="4337" w:hanging="541"/>
      </w:pPr>
      <w:rPr>
        <w:rFonts w:hint="default"/>
      </w:rPr>
    </w:lvl>
    <w:lvl w:ilvl="4">
      <w:start w:val="0"/>
      <w:numFmt w:val="bullet"/>
      <w:lvlText w:val="•"/>
      <w:lvlJc w:val="left"/>
      <w:pPr>
        <w:ind w:left="5643" w:hanging="541"/>
      </w:pPr>
      <w:rPr>
        <w:rFonts w:hint="default"/>
      </w:rPr>
    </w:lvl>
    <w:lvl w:ilvl="5">
      <w:start w:val="0"/>
      <w:numFmt w:val="bullet"/>
      <w:lvlText w:val="•"/>
      <w:lvlJc w:val="left"/>
      <w:pPr>
        <w:ind w:left="6949" w:hanging="541"/>
      </w:pPr>
      <w:rPr>
        <w:rFonts w:hint="default"/>
      </w:rPr>
    </w:lvl>
    <w:lvl w:ilvl="6">
      <w:start w:val="0"/>
      <w:numFmt w:val="bullet"/>
      <w:lvlText w:val="•"/>
      <w:lvlJc w:val="left"/>
      <w:pPr>
        <w:ind w:left="8255" w:hanging="541"/>
      </w:pPr>
      <w:rPr>
        <w:rFonts w:hint="default"/>
      </w:rPr>
    </w:lvl>
    <w:lvl w:ilvl="7">
      <w:start w:val="0"/>
      <w:numFmt w:val="bullet"/>
      <w:lvlText w:val="•"/>
      <w:lvlJc w:val="left"/>
      <w:pPr>
        <w:ind w:left="9561" w:hanging="541"/>
      </w:pPr>
      <w:rPr>
        <w:rFonts w:hint="default"/>
      </w:rPr>
    </w:lvl>
    <w:lvl w:ilvl="8">
      <w:start w:val="0"/>
      <w:numFmt w:val="bullet"/>
      <w:lvlText w:val="•"/>
      <w:lvlJc w:val="left"/>
      <w:pPr>
        <w:ind w:left="10867" w:hanging="541"/>
      </w:pPr>
      <w:rPr>
        <w:rFonts w:hint="default"/>
      </w:rPr>
    </w:lvl>
  </w:abstractNum>
  <w:abstractNum w:abstractNumId="20">
    <w:nsid w:val="6C53C994"/>
    <w:multiLevelType w:val="hybridMultilevel"/>
    <w:tmpl w:val="00000000"/>
    <w:lvl w:ilvl="0">
      <w:start w:val="1"/>
      <w:numFmt w:val="decimal"/>
      <w:lvlText w:val="%1）"/>
      <w:lvlJc w:val="left"/>
      <w:pPr>
        <w:ind w:left="958" w:hanging="541"/>
        <w:jc w:val="left"/>
      </w:pPr>
      <w:rPr>
        <w:rFonts w:ascii="楷体" w:eastAsia="楷体" w:hAnsi="楷体" w:cs="楷体" w:hint="default"/>
        <w:spacing w:val="-1"/>
        <w:w w:val="100"/>
        <w:sz w:val="34"/>
        <w:szCs w:val="34"/>
      </w:rPr>
    </w:lvl>
    <w:lvl w:ilvl="1">
      <w:start w:val="0"/>
      <w:numFmt w:val="bullet"/>
      <w:lvlText w:val="•"/>
      <w:lvlJc w:val="left"/>
      <w:pPr>
        <w:ind w:left="2211" w:hanging="541"/>
      </w:pPr>
      <w:rPr>
        <w:rFonts w:hint="default"/>
      </w:rPr>
    </w:lvl>
    <w:lvl w:ilvl="2">
      <w:start w:val="0"/>
      <w:numFmt w:val="bullet"/>
      <w:lvlText w:val="•"/>
      <w:lvlJc w:val="left"/>
      <w:pPr>
        <w:ind w:left="3463" w:hanging="541"/>
      </w:pPr>
      <w:rPr>
        <w:rFonts w:hint="default"/>
      </w:rPr>
    </w:lvl>
    <w:lvl w:ilvl="3">
      <w:start w:val="0"/>
      <w:numFmt w:val="bullet"/>
      <w:lvlText w:val="•"/>
      <w:lvlJc w:val="left"/>
      <w:pPr>
        <w:ind w:left="4715" w:hanging="541"/>
      </w:pPr>
      <w:rPr>
        <w:rFonts w:hint="default"/>
      </w:rPr>
    </w:lvl>
    <w:lvl w:ilvl="4">
      <w:start w:val="0"/>
      <w:numFmt w:val="bullet"/>
      <w:lvlText w:val="•"/>
      <w:lvlJc w:val="left"/>
      <w:pPr>
        <w:ind w:left="5967" w:hanging="541"/>
      </w:pPr>
      <w:rPr>
        <w:rFonts w:hint="default"/>
      </w:rPr>
    </w:lvl>
    <w:lvl w:ilvl="5">
      <w:start w:val="0"/>
      <w:numFmt w:val="bullet"/>
      <w:lvlText w:val="•"/>
      <w:lvlJc w:val="left"/>
      <w:pPr>
        <w:ind w:left="7219" w:hanging="541"/>
      </w:pPr>
      <w:rPr>
        <w:rFonts w:hint="default"/>
      </w:rPr>
    </w:lvl>
    <w:lvl w:ilvl="6">
      <w:start w:val="0"/>
      <w:numFmt w:val="bullet"/>
      <w:lvlText w:val="•"/>
      <w:lvlJc w:val="left"/>
      <w:pPr>
        <w:ind w:left="8471" w:hanging="541"/>
      </w:pPr>
      <w:rPr>
        <w:rFonts w:hint="default"/>
      </w:rPr>
    </w:lvl>
    <w:lvl w:ilvl="7">
      <w:start w:val="0"/>
      <w:numFmt w:val="bullet"/>
      <w:lvlText w:val="•"/>
      <w:lvlJc w:val="left"/>
      <w:pPr>
        <w:ind w:left="9723" w:hanging="541"/>
      </w:pPr>
      <w:rPr>
        <w:rFonts w:hint="default"/>
      </w:rPr>
    </w:lvl>
    <w:lvl w:ilvl="8">
      <w:start w:val="0"/>
      <w:numFmt w:val="bullet"/>
      <w:lvlText w:val="•"/>
      <w:lvlJc w:val="left"/>
      <w:pPr>
        <w:ind w:left="10975" w:hanging="541"/>
      </w:pPr>
      <w:rPr>
        <w:rFonts w:hint="default"/>
      </w:rPr>
    </w:lvl>
  </w:abstractNum>
  <w:abstractNum w:abstractNumId="21">
    <w:nsid w:val="6D2B4C2D"/>
    <w:multiLevelType w:val="hybridMultilevel"/>
    <w:tmpl w:val="00000000"/>
    <w:lvl w:ilvl="0">
      <w:start w:val="1"/>
      <w:numFmt w:val="decimal"/>
      <w:lvlText w:val="（%1）"/>
      <w:lvlJc w:val="left"/>
      <w:pPr>
        <w:ind w:left="2038" w:hanging="901"/>
        <w:jc w:val="left"/>
      </w:pPr>
      <w:rPr>
        <w:rFonts w:ascii="楷体" w:eastAsia="楷体" w:hAnsi="楷体" w:cs="楷体" w:hint="default"/>
        <w:w w:val="100"/>
        <w:sz w:val="34"/>
        <w:szCs w:val="34"/>
      </w:rPr>
    </w:lvl>
    <w:lvl w:ilvl="1">
      <w:start w:val="0"/>
      <w:numFmt w:val="bullet"/>
      <w:lvlText w:val="•"/>
      <w:lvlJc w:val="left"/>
      <w:pPr>
        <w:ind w:left="3183" w:hanging="901"/>
      </w:pPr>
      <w:rPr>
        <w:rFonts w:hint="default"/>
      </w:rPr>
    </w:lvl>
    <w:lvl w:ilvl="2">
      <w:start w:val="0"/>
      <w:numFmt w:val="bullet"/>
      <w:lvlText w:val="•"/>
      <w:lvlJc w:val="left"/>
      <w:pPr>
        <w:ind w:left="4327" w:hanging="901"/>
      </w:pPr>
      <w:rPr>
        <w:rFonts w:hint="default"/>
      </w:rPr>
    </w:lvl>
    <w:lvl w:ilvl="3">
      <w:start w:val="0"/>
      <w:numFmt w:val="bullet"/>
      <w:lvlText w:val="•"/>
      <w:lvlJc w:val="left"/>
      <w:pPr>
        <w:ind w:left="5471" w:hanging="901"/>
      </w:pPr>
      <w:rPr>
        <w:rFonts w:hint="default"/>
      </w:rPr>
    </w:lvl>
    <w:lvl w:ilvl="4">
      <w:start w:val="0"/>
      <w:numFmt w:val="bullet"/>
      <w:lvlText w:val="•"/>
      <w:lvlJc w:val="left"/>
      <w:pPr>
        <w:ind w:left="6615" w:hanging="901"/>
      </w:pPr>
      <w:rPr>
        <w:rFonts w:hint="default"/>
      </w:rPr>
    </w:lvl>
    <w:lvl w:ilvl="5">
      <w:start w:val="0"/>
      <w:numFmt w:val="bullet"/>
      <w:lvlText w:val="•"/>
      <w:lvlJc w:val="left"/>
      <w:pPr>
        <w:ind w:left="7759" w:hanging="901"/>
      </w:pPr>
      <w:rPr>
        <w:rFonts w:hint="default"/>
      </w:rPr>
    </w:lvl>
    <w:lvl w:ilvl="6">
      <w:start w:val="0"/>
      <w:numFmt w:val="bullet"/>
      <w:lvlText w:val="•"/>
      <w:lvlJc w:val="left"/>
      <w:pPr>
        <w:ind w:left="8903" w:hanging="901"/>
      </w:pPr>
      <w:rPr>
        <w:rFonts w:hint="default"/>
      </w:rPr>
    </w:lvl>
    <w:lvl w:ilvl="7">
      <w:start w:val="0"/>
      <w:numFmt w:val="bullet"/>
      <w:lvlText w:val="•"/>
      <w:lvlJc w:val="left"/>
      <w:pPr>
        <w:ind w:left="10047" w:hanging="901"/>
      </w:pPr>
      <w:rPr>
        <w:rFonts w:hint="default"/>
      </w:rPr>
    </w:lvl>
    <w:lvl w:ilvl="8">
      <w:start w:val="0"/>
      <w:numFmt w:val="bullet"/>
      <w:lvlText w:val="•"/>
      <w:lvlJc w:val="left"/>
      <w:pPr>
        <w:ind w:left="11191" w:hanging="901"/>
      </w:pPr>
      <w:rPr>
        <w:rFonts w:hint="default"/>
      </w:rPr>
    </w:lvl>
  </w:abstractNum>
  <w:abstractNum w:abstractNumId="22">
    <w:nsid w:val="7104DC69"/>
    <w:multiLevelType w:val="hybridMultilevel"/>
    <w:tmpl w:val="00000000"/>
    <w:lvl w:ilvl="0">
      <w:start w:val="5"/>
      <w:numFmt w:val="decimal"/>
      <w:lvlText w:val="(%1)"/>
      <w:lvlJc w:val="left"/>
      <w:pPr>
        <w:ind w:left="1840" w:hanging="541"/>
        <w:jc w:val="left"/>
      </w:pPr>
      <w:rPr>
        <w:rFonts w:ascii="楷体" w:eastAsia="楷体" w:hAnsi="楷体" w:cs="楷体" w:hint="default"/>
        <w:w w:val="100"/>
        <w:sz w:val="34"/>
        <w:szCs w:val="34"/>
      </w:rPr>
    </w:lvl>
    <w:lvl w:ilvl="1">
      <w:start w:val="0"/>
      <w:numFmt w:val="bullet"/>
      <w:lvlText w:val="•"/>
      <w:lvlJc w:val="left"/>
      <w:pPr>
        <w:ind w:left="3003" w:hanging="541"/>
      </w:pPr>
      <w:rPr>
        <w:rFonts w:hint="default"/>
      </w:rPr>
    </w:lvl>
    <w:lvl w:ilvl="2">
      <w:start w:val="0"/>
      <w:numFmt w:val="bullet"/>
      <w:lvlText w:val="•"/>
      <w:lvlJc w:val="left"/>
      <w:pPr>
        <w:ind w:left="4167" w:hanging="541"/>
      </w:pPr>
      <w:rPr>
        <w:rFonts w:hint="default"/>
      </w:rPr>
    </w:lvl>
    <w:lvl w:ilvl="3">
      <w:start w:val="0"/>
      <w:numFmt w:val="bullet"/>
      <w:lvlText w:val="•"/>
      <w:lvlJc w:val="left"/>
      <w:pPr>
        <w:ind w:left="5331" w:hanging="541"/>
      </w:pPr>
      <w:rPr>
        <w:rFonts w:hint="default"/>
      </w:rPr>
    </w:lvl>
    <w:lvl w:ilvl="4">
      <w:start w:val="0"/>
      <w:numFmt w:val="bullet"/>
      <w:lvlText w:val="•"/>
      <w:lvlJc w:val="left"/>
      <w:pPr>
        <w:ind w:left="6495" w:hanging="541"/>
      </w:pPr>
      <w:rPr>
        <w:rFonts w:hint="default"/>
      </w:rPr>
    </w:lvl>
    <w:lvl w:ilvl="5">
      <w:start w:val="0"/>
      <w:numFmt w:val="bullet"/>
      <w:lvlText w:val="•"/>
      <w:lvlJc w:val="left"/>
      <w:pPr>
        <w:ind w:left="7659" w:hanging="541"/>
      </w:pPr>
      <w:rPr>
        <w:rFonts w:hint="default"/>
      </w:rPr>
    </w:lvl>
    <w:lvl w:ilvl="6">
      <w:start w:val="0"/>
      <w:numFmt w:val="bullet"/>
      <w:lvlText w:val="•"/>
      <w:lvlJc w:val="left"/>
      <w:pPr>
        <w:ind w:left="8823" w:hanging="541"/>
      </w:pPr>
      <w:rPr>
        <w:rFonts w:hint="default"/>
      </w:rPr>
    </w:lvl>
    <w:lvl w:ilvl="7">
      <w:start w:val="0"/>
      <w:numFmt w:val="bullet"/>
      <w:lvlText w:val="•"/>
      <w:lvlJc w:val="left"/>
      <w:pPr>
        <w:ind w:left="9987" w:hanging="541"/>
      </w:pPr>
      <w:rPr>
        <w:rFonts w:hint="default"/>
      </w:rPr>
    </w:lvl>
    <w:lvl w:ilvl="8">
      <w:start w:val="0"/>
      <w:numFmt w:val="bullet"/>
      <w:lvlText w:val="•"/>
      <w:lvlJc w:val="left"/>
      <w:pPr>
        <w:ind w:left="11151" w:hanging="541"/>
      </w:pPr>
      <w:rPr>
        <w:rFonts w:hint="default"/>
      </w:rPr>
    </w:lvl>
  </w:abstractNum>
  <w:abstractNum w:abstractNumId="23">
    <w:nsid w:val="750DC54B"/>
    <w:multiLevelType w:val="hybridMultilevel"/>
    <w:tmpl w:val="00000000"/>
    <w:lvl w:ilvl="0">
      <w:start w:val="1"/>
      <w:numFmt w:val="decimal"/>
      <w:lvlText w:val="(%1)"/>
      <w:lvlJc w:val="left"/>
      <w:pPr>
        <w:ind w:left="1839" w:hanging="541"/>
        <w:jc w:val="left"/>
      </w:pPr>
      <w:rPr>
        <w:rFonts w:ascii="楷体" w:eastAsia="楷体" w:hAnsi="楷体" w:cs="楷体" w:hint="default"/>
        <w:w w:val="100"/>
        <w:sz w:val="34"/>
        <w:szCs w:val="34"/>
      </w:rPr>
    </w:lvl>
    <w:lvl w:ilvl="1">
      <w:start w:val="0"/>
      <w:numFmt w:val="bullet"/>
      <w:lvlText w:val="•"/>
      <w:lvlJc w:val="left"/>
      <w:pPr>
        <w:ind w:left="3003" w:hanging="541"/>
      </w:pPr>
      <w:rPr>
        <w:rFonts w:hint="default"/>
      </w:rPr>
    </w:lvl>
    <w:lvl w:ilvl="2">
      <w:start w:val="0"/>
      <w:numFmt w:val="bullet"/>
      <w:lvlText w:val="•"/>
      <w:lvlJc w:val="left"/>
      <w:pPr>
        <w:ind w:left="4167" w:hanging="541"/>
      </w:pPr>
      <w:rPr>
        <w:rFonts w:hint="default"/>
      </w:rPr>
    </w:lvl>
    <w:lvl w:ilvl="3">
      <w:start w:val="0"/>
      <w:numFmt w:val="bullet"/>
      <w:lvlText w:val="•"/>
      <w:lvlJc w:val="left"/>
      <w:pPr>
        <w:ind w:left="5331" w:hanging="541"/>
      </w:pPr>
      <w:rPr>
        <w:rFonts w:hint="default"/>
      </w:rPr>
    </w:lvl>
    <w:lvl w:ilvl="4">
      <w:start w:val="0"/>
      <w:numFmt w:val="bullet"/>
      <w:lvlText w:val="•"/>
      <w:lvlJc w:val="left"/>
      <w:pPr>
        <w:ind w:left="6495" w:hanging="541"/>
      </w:pPr>
      <w:rPr>
        <w:rFonts w:hint="default"/>
      </w:rPr>
    </w:lvl>
    <w:lvl w:ilvl="5">
      <w:start w:val="0"/>
      <w:numFmt w:val="bullet"/>
      <w:lvlText w:val="•"/>
      <w:lvlJc w:val="left"/>
      <w:pPr>
        <w:ind w:left="7659" w:hanging="541"/>
      </w:pPr>
      <w:rPr>
        <w:rFonts w:hint="default"/>
      </w:rPr>
    </w:lvl>
    <w:lvl w:ilvl="6">
      <w:start w:val="0"/>
      <w:numFmt w:val="bullet"/>
      <w:lvlText w:val="•"/>
      <w:lvlJc w:val="left"/>
      <w:pPr>
        <w:ind w:left="8823" w:hanging="541"/>
      </w:pPr>
      <w:rPr>
        <w:rFonts w:hint="default"/>
      </w:rPr>
    </w:lvl>
    <w:lvl w:ilvl="7">
      <w:start w:val="0"/>
      <w:numFmt w:val="bullet"/>
      <w:lvlText w:val="•"/>
      <w:lvlJc w:val="left"/>
      <w:pPr>
        <w:ind w:left="9987" w:hanging="541"/>
      </w:pPr>
      <w:rPr>
        <w:rFonts w:hint="default"/>
      </w:rPr>
    </w:lvl>
    <w:lvl w:ilvl="8">
      <w:start w:val="0"/>
      <w:numFmt w:val="bullet"/>
      <w:lvlText w:val="•"/>
      <w:lvlJc w:val="left"/>
      <w:pPr>
        <w:ind w:left="11151" w:hanging="541"/>
      </w:pPr>
      <w:rPr>
        <w:rFonts w:hint="default"/>
      </w:rPr>
    </w:lvl>
  </w:abstractNum>
  <w:abstractNum w:abstractNumId="24">
    <w:nsid w:val="7BDD6880"/>
    <w:multiLevelType w:val="hybridMultilevel"/>
    <w:tmpl w:val="00000000"/>
    <w:lvl w:ilvl="0">
      <w:start w:val="1"/>
      <w:numFmt w:val="decimal"/>
      <w:lvlText w:val="(%1)"/>
      <w:lvlJc w:val="left"/>
      <w:pPr>
        <w:ind w:left="1840" w:hanging="541"/>
        <w:jc w:val="left"/>
      </w:pPr>
      <w:rPr>
        <w:rFonts w:ascii="楷体" w:eastAsia="楷体" w:hAnsi="楷体" w:cs="楷体" w:hint="default"/>
        <w:w w:val="100"/>
        <w:sz w:val="34"/>
        <w:szCs w:val="34"/>
      </w:rPr>
    </w:lvl>
    <w:lvl w:ilvl="1">
      <w:start w:val="0"/>
      <w:numFmt w:val="bullet"/>
      <w:lvlText w:val="•"/>
      <w:lvlJc w:val="left"/>
      <w:pPr>
        <w:ind w:left="3003" w:hanging="541"/>
      </w:pPr>
      <w:rPr>
        <w:rFonts w:hint="default"/>
      </w:rPr>
    </w:lvl>
    <w:lvl w:ilvl="2">
      <w:start w:val="0"/>
      <w:numFmt w:val="bullet"/>
      <w:lvlText w:val="•"/>
      <w:lvlJc w:val="left"/>
      <w:pPr>
        <w:ind w:left="4167" w:hanging="541"/>
      </w:pPr>
      <w:rPr>
        <w:rFonts w:hint="default"/>
      </w:rPr>
    </w:lvl>
    <w:lvl w:ilvl="3">
      <w:start w:val="0"/>
      <w:numFmt w:val="bullet"/>
      <w:lvlText w:val="•"/>
      <w:lvlJc w:val="left"/>
      <w:pPr>
        <w:ind w:left="5331" w:hanging="541"/>
      </w:pPr>
      <w:rPr>
        <w:rFonts w:hint="default"/>
      </w:rPr>
    </w:lvl>
    <w:lvl w:ilvl="4">
      <w:start w:val="0"/>
      <w:numFmt w:val="bullet"/>
      <w:lvlText w:val="•"/>
      <w:lvlJc w:val="left"/>
      <w:pPr>
        <w:ind w:left="6495" w:hanging="541"/>
      </w:pPr>
      <w:rPr>
        <w:rFonts w:hint="default"/>
      </w:rPr>
    </w:lvl>
    <w:lvl w:ilvl="5">
      <w:start w:val="0"/>
      <w:numFmt w:val="bullet"/>
      <w:lvlText w:val="•"/>
      <w:lvlJc w:val="left"/>
      <w:pPr>
        <w:ind w:left="7659" w:hanging="541"/>
      </w:pPr>
      <w:rPr>
        <w:rFonts w:hint="default"/>
      </w:rPr>
    </w:lvl>
    <w:lvl w:ilvl="6">
      <w:start w:val="0"/>
      <w:numFmt w:val="bullet"/>
      <w:lvlText w:val="•"/>
      <w:lvlJc w:val="left"/>
      <w:pPr>
        <w:ind w:left="8823" w:hanging="541"/>
      </w:pPr>
      <w:rPr>
        <w:rFonts w:hint="default"/>
      </w:rPr>
    </w:lvl>
    <w:lvl w:ilvl="7">
      <w:start w:val="0"/>
      <w:numFmt w:val="bullet"/>
      <w:lvlText w:val="•"/>
      <w:lvlJc w:val="left"/>
      <w:pPr>
        <w:ind w:left="9987" w:hanging="541"/>
      </w:pPr>
      <w:rPr>
        <w:rFonts w:hint="default"/>
      </w:rPr>
    </w:lvl>
    <w:lvl w:ilvl="8">
      <w:start w:val="0"/>
      <w:numFmt w:val="bullet"/>
      <w:lvlText w:val="•"/>
      <w:lvlJc w:val="left"/>
      <w:pPr>
        <w:ind w:left="11151" w:hanging="541"/>
      </w:pPr>
      <w:rPr>
        <w:rFonts w:hint="default"/>
      </w:rPr>
    </w:lvl>
  </w:abstractNum>
  <w:abstractNum w:abstractNumId="25">
    <w:nsid w:val="7EB4EC9E"/>
    <w:multiLevelType w:val="hybridMultilevel"/>
    <w:tmpl w:val="00000000"/>
    <w:lvl w:ilvl="0">
      <w:start w:val="1"/>
      <w:numFmt w:val="decimal"/>
      <w:lvlText w:val="（%1）"/>
      <w:lvlJc w:val="left"/>
      <w:pPr>
        <w:ind w:left="2038" w:hanging="901"/>
        <w:jc w:val="left"/>
      </w:pPr>
      <w:rPr>
        <w:rFonts w:ascii="楷体" w:eastAsia="楷体" w:hAnsi="楷体" w:cs="楷体" w:hint="default"/>
        <w:w w:val="100"/>
        <w:sz w:val="34"/>
        <w:szCs w:val="34"/>
      </w:rPr>
    </w:lvl>
    <w:lvl w:ilvl="1">
      <w:start w:val="0"/>
      <w:numFmt w:val="bullet"/>
      <w:lvlText w:val="•"/>
      <w:lvlJc w:val="left"/>
      <w:pPr>
        <w:ind w:left="3183" w:hanging="901"/>
      </w:pPr>
      <w:rPr>
        <w:rFonts w:hint="default"/>
      </w:rPr>
    </w:lvl>
    <w:lvl w:ilvl="2">
      <w:start w:val="0"/>
      <w:numFmt w:val="bullet"/>
      <w:lvlText w:val="•"/>
      <w:lvlJc w:val="left"/>
      <w:pPr>
        <w:ind w:left="4327" w:hanging="901"/>
      </w:pPr>
      <w:rPr>
        <w:rFonts w:hint="default"/>
      </w:rPr>
    </w:lvl>
    <w:lvl w:ilvl="3">
      <w:start w:val="0"/>
      <w:numFmt w:val="bullet"/>
      <w:lvlText w:val="•"/>
      <w:lvlJc w:val="left"/>
      <w:pPr>
        <w:ind w:left="5471" w:hanging="901"/>
      </w:pPr>
      <w:rPr>
        <w:rFonts w:hint="default"/>
      </w:rPr>
    </w:lvl>
    <w:lvl w:ilvl="4">
      <w:start w:val="0"/>
      <w:numFmt w:val="bullet"/>
      <w:lvlText w:val="•"/>
      <w:lvlJc w:val="left"/>
      <w:pPr>
        <w:ind w:left="6615" w:hanging="901"/>
      </w:pPr>
      <w:rPr>
        <w:rFonts w:hint="default"/>
      </w:rPr>
    </w:lvl>
    <w:lvl w:ilvl="5">
      <w:start w:val="0"/>
      <w:numFmt w:val="bullet"/>
      <w:lvlText w:val="•"/>
      <w:lvlJc w:val="left"/>
      <w:pPr>
        <w:ind w:left="7759" w:hanging="901"/>
      </w:pPr>
      <w:rPr>
        <w:rFonts w:hint="default"/>
      </w:rPr>
    </w:lvl>
    <w:lvl w:ilvl="6">
      <w:start w:val="0"/>
      <w:numFmt w:val="bullet"/>
      <w:lvlText w:val="•"/>
      <w:lvlJc w:val="left"/>
      <w:pPr>
        <w:ind w:left="8903" w:hanging="901"/>
      </w:pPr>
      <w:rPr>
        <w:rFonts w:hint="default"/>
      </w:rPr>
    </w:lvl>
    <w:lvl w:ilvl="7">
      <w:start w:val="0"/>
      <w:numFmt w:val="bullet"/>
      <w:lvlText w:val="•"/>
      <w:lvlJc w:val="left"/>
      <w:pPr>
        <w:ind w:left="10047" w:hanging="901"/>
      </w:pPr>
      <w:rPr>
        <w:rFonts w:hint="default"/>
      </w:rPr>
    </w:lvl>
    <w:lvl w:ilvl="8">
      <w:start w:val="0"/>
      <w:numFmt w:val="bullet"/>
      <w:lvlText w:val="•"/>
      <w:lvlJc w:val="left"/>
      <w:pPr>
        <w:ind w:left="11191" w:hanging="901"/>
      </w:pPr>
      <w:rPr>
        <w:rFonts w:hint="default"/>
      </w:rPr>
    </w:lvl>
  </w:abstractNum>
  <w:abstractNum w:abstractNumId="26">
    <w:nsid w:val="7FC46FE2"/>
    <w:multiLevelType w:val="hybridMultilevel"/>
    <w:tmpl w:val="00000000"/>
    <w:lvl w:ilvl="0">
      <w:start w:val="6"/>
      <w:numFmt w:val="decimal"/>
      <w:lvlText w:val="%1）"/>
      <w:lvlJc w:val="left"/>
      <w:pPr>
        <w:ind w:left="958" w:hanging="541"/>
        <w:jc w:val="left"/>
      </w:pPr>
      <w:rPr>
        <w:rFonts w:ascii="楷体" w:eastAsia="楷体" w:hAnsi="楷体" w:cs="楷体" w:hint="default"/>
        <w:spacing w:val="-1"/>
        <w:w w:val="100"/>
        <w:sz w:val="34"/>
        <w:szCs w:val="34"/>
      </w:rPr>
    </w:lvl>
    <w:lvl w:ilvl="1">
      <w:start w:val="1"/>
      <w:numFmt w:val="decimal"/>
      <w:lvlText w:val="%2."/>
      <w:lvlJc w:val="left"/>
      <w:pPr>
        <w:ind w:left="1839" w:hanging="540"/>
        <w:jc w:val="left"/>
      </w:pPr>
      <w:rPr>
        <w:rFonts w:ascii="楷体" w:eastAsia="楷体" w:hAnsi="楷体" w:cs="楷体" w:hint="default"/>
        <w:w w:val="100"/>
        <w:sz w:val="36"/>
        <w:szCs w:val="36"/>
      </w:rPr>
    </w:lvl>
    <w:lvl w:ilvl="2">
      <w:start w:val="0"/>
      <w:numFmt w:val="bullet"/>
      <w:lvlText w:val="•"/>
      <w:lvlJc w:val="left"/>
      <w:pPr>
        <w:ind w:left="3133" w:hanging="540"/>
      </w:pPr>
      <w:rPr>
        <w:rFonts w:hint="default"/>
      </w:rPr>
    </w:lvl>
    <w:lvl w:ilvl="3">
      <w:start w:val="0"/>
      <w:numFmt w:val="bullet"/>
      <w:lvlText w:val="•"/>
      <w:lvlJc w:val="left"/>
      <w:pPr>
        <w:ind w:left="4426" w:hanging="540"/>
      </w:pPr>
      <w:rPr>
        <w:rFonts w:hint="default"/>
      </w:rPr>
    </w:lvl>
    <w:lvl w:ilvl="4">
      <w:start w:val="0"/>
      <w:numFmt w:val="bullet"/>
      <w:lvlText w:val="•"/>
      <w:lvlJc w:val="left"/>
      <w:pPr>
        <w:ind w:left="5719" w:hanging="540"/>
      </w:pPr>
      <w:rPr>
        <w:rFonts w:hint="default"/>
      </w:rPr>
    </w:lvl>
    <w:lvl w:ilvl="5">
      <w:start w:val="0"/>
      <w:numFmt w:val="bullet"/>
      <w:lvlText w:val="•"/>
      <w:lvlJc w:val="left"/>
      <w:pPr>
        <w:ind w:left="7013" w:hanging="540"/>
      </w:pPr>
      <w:rPr>
        <w:rFonts w:hint="default"/>
      </w:rPr>
    </w:lvl>
    <w:lvl w:ilvl="6">
      <w:start w:val="0"/>
      <w:numFmt w:val="bullet"/>
      <w:lvlText w:val="•"/>
      <w:lvlJc w:val="left"/>
      <w:pPr>
        <w:ind w:left="8306" w:hanging="540"/>
      </w:pPr>
      <w:rPr>
        <w:rFonts w:hint="default"/>
      </w:rPr>
    </w:lvl>
    <w:lvl w:ilvl="7">
      <w:start w:val="0"/>
      <w:numFmt w:val="bullet"/>
      <w:lvlText w:val="•"/>
      <w:lvlJc w:val="left"/>
      <w:pPr>
        <w:ind w:left="9599" w:hanging="540"/>
      </w:pPr>
      <w:rPr>
        <w:rFonts w:hint="default"/>
      </w:rPr>
    </w:lvl>
    <w:lvl w:ilvl="8">
      <w:start w:val="0"/>
      <w:numFmt w:val="bullet"/>
      <w:lvlText w:val="•"/>
      <w:lvlJc w:val="left"/>
      <w:pPr>
        <w:ind w:left="10893" w:hanging="540"/>
      </w:pPr>
      <w:rPr>
        <w:rFonts w:hint="default"/>
      </w:rPr>
    </w:lvl>
  </w:abstractNum>
  <w:num w:numId="1">
    <w:abstractNumId w:val="2"/>
  </w:num>
  <w:num w:numId="2">
    <w:abstractNumId w:val="22"/>
  </w:num>
  <w:num w:numId="3">
    <w:abstractNumId w:val="24"/>
  </w:num>
  <w:num w:numId="4">
    <w:abstractNumId w:val="5"/>
  </w:num>
  <w:num w:numId="5">
    <w:abstractNumId w:val="1"/>
  </w:num>
  <w:num w:numId="6">
    <w:abstractNumId w:val="3"/>
  </w:num>
  <w:num w:numId="7">
    <w:abstractNumId w:val="10"/>
  </w:num>
  <w:num w:numId="8">
    <w:abstractNumId w:val="17"/>
  </w:num>
  <w:num w:numId="9">
    <w:abstractNumId w:val="16"/>
  </w:num>
  <w:num w:numId="10">
    <w:abstractNumId w:val="7"/>
  </w:num>
  <w:num w:numId="11">
    <w:abstractNumId w:val="6"/>
  </w:num>
  <w:num w:numId="12">
    <w:abstractNumId w:val="4"/>
  </w:num>
  <w:num w:numId="13">
    <w:abstractNumId w:val="23"/>
  </w:num>
  <w:num w:numId="14">
    <w:abstractNumId w:val="8"/>
  </w:num>
  <w:num w:numId="15">
    <w:abstractNumId w:val="18"/>
  </w:num>
  <w:num w:numId="16">
    <w:abstractNumId w:val="12"/>
  </w:num>
  <w:num w:numId="17">
    <w:abstractNumId w:val="19"/>
  </w:num>
  <w:num w:numId="18">
    <w:abstractNumId w:val="13"/>
  </w:num>
  <w:num w:numId="19">
    <w:abstractNumId w:val="26"/>
  </w:num>
  <w:num w:numId="20">
    <w:abstractNumId w:val="20"/>
  </w:num>
  <w:num w:numId="21">
    <w:abstractNumId w:val="25"/>
  </w:num>
  <w:num w:numId="22">
    <w:abstractNumId w:val="15"/>
  </w:num>
  <w:num w:numId="23">
    <w:abstractNumId w:val="9"/>
  </w:num>
  <w:num w:numId="24">
    <w:abstractNumId w:val="14"/>
  </w:num>
  <w:num w:numId="25">
    <w:abstractNumId w:val="11"/>
  </w:num>
  <w:num w:numId="26">
    <w:abstractNumId w:val="21"/>
  </w:num>
  <w:num w:numId="2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楷体" w:eastAsia="楷体" w:hAnsi="楷体" w:cs="楷体"/>
    </w:rPr>
  </w:style>
  <w:style w:type="paragraph" w:styleId="Heading1">
    <w:name w:val="heading 1"/>
    <w:basedOn w:val="Normal"/>
    <w:uiPriority w:val="1"/>
    <w:qFormat/>
    <w:pPr>
      <w:spacing w:before="269"/>
      <w:ind w:left="418"/>
      <w:outlineLvl w:val="0"/>
    </w:pPr>
    <w:rPr>
      <w:rFonts w:ascii="楷体" w:eastAsia="楷体" w:hAnsi="楷体" w:cs="楷体"/>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楷体" w:eastAsia="楷体" w:hAnsi="楷体" w:cs="楷体"/>
      <w:sz w:val="36"/>
      <w:szCs w:val="36"/>
    </w:rPr>
  </w:style>
  <w:style w:type="paragraph" w:styleId="ListParagraph">
    <w:name w:val="List Paragraph"/>
    <w:basedOn w:val="Normal"/>
    <w:uiPriority w:val="1"/>
    <w:qFormat/>
    <w:pPr>
      <w:ind w:left="418" w:firstLine="720"/>
    </w:pPr>
    <w:rPr>
      <w:rFonts w:ascii="楷体" w:eastAsia="楷体" w:hAnsi="楷体" w:cs="楷体"/>
    </w:rPr>
  </w:style>
  <w:style w:type="paragraph" w:customStyle="1" w:styleId="TableParagraph">
    <w:name w:val="Table Paragraph"/>
    <w:basedOn w:val="Normal"/>
    <w:uiPriority w:val="1"/>
    <w:qFormat/>
    <w:rPr>
      <w:rFonts w:ascii="楷体" w:eastAsia="楷体" w:hAnsi="楷体" w:cs="楷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jpe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yperlink" Target="https://d.book118.com/335224302223011040" TargetMode="Externa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2023-12-09T02:43:02Z</dcterms:created>
  <dcterms:modified xsi:type="dcterms:W3CDTF">2023-12-09T02:43:02Z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2022-10-11T00:00:00Z</vt:filetime>
  </property>
  <property fmtid="{D5CDD505-2E9C-101B-9397-08002B2CF9AE}" pid="3" name="LastSaved">
    <vt:filetime>2023-12-09T00:00:00Z</vt:filetime>
  </property>
</Properties>
</file>