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CCD光电荷耦合二极管及其组件战略市场规划报告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5160" w:history="1">
        <w:r>
          <w:rPr>
            <w:rFonts w:ascii="仿宋" w:eastAsia="仿宋" w:hAnsi="仿宋" w:cs="仿宋" w:hint="eastAsia"/>
            <w:lang w:val="en-GB"/>
          </w:rPr>
          <w:t>前言</w:t>
        </w:r>
        <w:r>
          <w:tab/>
        </w:r>
        <w:r>
          <w:fldChar w:fldCharType="begin"/>
        </w:r>
        <w:r>
          <w:instrText xml:space="preserve"> PAGEREF _Toc5160 \h </w:instrText>
        </w:r>
        <w:r>
          <w:fldChar w:fldCharType="separate"/>
        </w:r>
        <w:r>
          <w:t>3</w:t>
        </w:r>
        <w:r>
          <w:fldChar w:fldCharType="end"/>
        </w:r>
      </w:hyperlink>
    </w:p>
    <w:p>
      <w:pPr>
        <w:pStyle w:val="TOC1"/>
        <w:tabs>
          <w:tab w:val="right" w:leader="dot" w:pos="8306"/>
        </w:tabs>
      </w:pPr>
      <w:hyperlink w:anchor="_Toc10201" w:history="1">
        <w:r>
          <w:rPr>
            <w:rFonts w:ascii="仿宋" w:eastAsia="仿宋" w:hAnsi="仿宋" w:cs="仿宋" w:hint="eastAsia"/>
            <w:lang w:val="en-GB"/>
          </w:rPr>
          <w:t>一、CCD光电荷耦合二极管及其组件行业发展现状</w:t>
        </w:r>
        <w:r>
          <w:tab/>
        </w:r>
        <w:r>
          <w:fldChar w:fldCharType="begin"/>
        </w:r>
        <w:r>
          <w:instrText xml:space="preserve"> PAGEREF _Toc10201 \h </w:instrText>
        </w:r>
        <w:r>
          <w:fldChar w:fldCharType="separate"/>
        </w:r>
        <w:r>
          <w:t>3</w:t>
        </w:r>
        <w:r>
          <w:fldChar w:fldCharType="end"/>
        </w:r>
      </w:hyperlink>
    </w:p>
    <w:p>
      <w:pPr>
        <w:pStyle w:val="TOC2"/>
        <w:tabs>
          <w:tab w:val="right" w:leader="dot" w:pos="8306"/>
        </w:tabs>
      </w:pPr>
      <w:hyperlink w:anchor="_Toc10232" w:history="1">
        <w:r>
          <w:rPr>
            <w:rFonts w:ascii="仿宋" w:eastAsia="仿宋" w:hAnsi="仿宋" w:cs="仿宋" w:hint="eastAsia"/>
            <w:lang w:val="en-GB"/>
          </w:rPr>
          <w:t>(一)、CCD光电荷耦合二极管及其组件行业整体概况</w:t>
        </w:r>
        <w:r>
          <w:tab/>
        </w:r>
        <w:r>
          <w:fldChar w:fldCharType="begin"/>
        </w:r>
        <w:r>
          <w:instrText xml:space="preserve"> PAGEREF _Toc10232 \h </w:instrText>
        </w:r>
        <w:r>
          <w:fldChar w:fldCharType="separate"/>
        </w:r>
        <w:r>
          <w:t>3</w:t>
        </w:r>
        <w:r>
          <w:fldChar w:fldCharType="end"/>
        </w:r>
      </w:hyperlink>
    </w:p>
    <w:p>
      <w:pPr>
        <w:pStyle w:val="TOC2"/>
        <w:tabs>
          <w:tab w:val="right" w:leader="dot" w:pos="8306"/>
        </w:tabs>
      </w:pPr>
      <w:hyperlink w:anchor="_Toc27252" w:history="1">
        <w:r>
          <w:rPr>
            <w:rFonts w:ascii="仿宋" w:eastAsia="仿宋" w:hAnsi="仿宋" w:cs="仿宋" w:hint="eastAsia"/>
            <w:lang w:val="en-GB"/>
          </w:rPr>
          <w:t>(二)、技术创新与发展</w:t>
        </w:r>
        <w:r>
          <w:tab/>
        </w:r>
        <w:r>
          <w:fldChar w:fldCharType="begin"/>
        </w:r>
        <w:r>
          <w:instrText xml:space="preserve"> PAGEREF _Toc27252 \h </w:instrText>
        </w:r>
        <w:r>
          <w:fldChar w:fldCharType="separate"/>
        </w:r>
        <w:r>
          <w:t>4</w:t>
        </w:r>
        <w:r>
          <w:fldChar w:fldCharType="end"/>
        </w:r>
      </w:hyperlink>
    </w:p>
    <w:p>
      <w:pPr>
        <w:pStyle w:val="TOC2"/>
        <w:tabs>
          <w:tab w:val="right" w:leader="dot" w:pos="8306"/>
        </w:tabs>
      </w:pPr>
      <w:hyperlink w:anchor="_Toc15655" w:history="1">
        <w:r>
          <w:rPr>
            <w:rFonts w:ascii="仿宋" w:eastAsia="仿宋" w:hAnsi="仿宋" w:cs="仿宋" w:hint="eastAsia"/>
            <w:lang w:val="en-GB"/>
          </w:rPr>
          <w:t>(三)、政策与法规</w:t>
        </w:r>
        <w:r>
          <w:tab/>
        </w:r>
        <w:r>
          <w:fldChar w:fldCharType="begin"/>
        </w:r>
        <w:r>
          <w:instrText xml:space="preserve"> PAGEREF _Toc15655 \h </w:instrText>
        </w:r>
        <w:r>
          <w:fldChar w:fldCharType="separate"/>
        </w:r>
        <w:r>
          <w:t>5</w:t>
        </w:r>
        <w:r>
          <w:fldChar w:fldCharType="end"/>
        </w:r>
      </w:hyperlink>
    </w:p>
    <w:p>
      <w:pPr>
        <w:pStyle w:val="TOC2"/>
        <w:tabs>
          <w:tab w:val="right" w:leader="dot" w:pos="8306"/>
        </w:tabs>
      </w:pPr>
      <w:hyperlink w:anchor="_Toc3726" w:history="1">
        <w:r>
          <w:rPr>
            <w:rFonts w:ascii="仿宋" w:eastAsia="仿宋" w:hAnsi="仿宋" w:cs="仿宋" w:hint="eastAsia"/>
            <w:lang w:val="en-GB"/>
          </w:rPr>
          <w:t>(四)、消费者需求变化</w:t>
        </w:r>
        <w:r>
          <w:tab/>
        </w:r>
        <w:r>
          <w:fldChar w:fldCharType="begin"/>
        </w:r>
        <w:r>
          <w:instrText xml:space="preserve"> PAGEREF _Toc3726 \h </w:instrText>
        </w:r>
        <w:r>
          <w:fldChar w:fldCharType="separate"/>
        </w:r>
        <w:r>
          <w:t>6</w:t>
        </w:r>
        <w:r>
          <w:fldChar w:fldCharType="end"/>
        </w:r>
      </w:hyperlink>
    </w:p>
    <w:p>
      <w:pPr>
        <w:pStyle w:val="TOC1"/>
        <w:tabs>
          <w:tab w:val="right" w:leader="dot" w:pos="8306"/>
        </w:tabs>
      </w:pPr>
      <w:hyperlink w:anchor="_Toc13831" w:history="1">
        <w:r>
          <w:rPr>
            <w:rFonts w:ascii="仿宋" w:eastAsia="仿宋" w:hAnsi="仿宋" w:cs="仿宋" w:hint="eastAsia"/>
            <w:lang w:val="en-GB"/>
          </w:rPr>
          <w:t>二、CCD光电荷耦合二极管及其组件危机管理与应对策略</w:t>
        </w:r>
        <w:r>
          <w:tab/>
        </w:r>
        <w:r>
          <w:fldChar w:fldCharType="begin"/>
        </w:r>
        <w:r>
          <w:instrText xml:space="preserve"> PAGEREF _Toc13831 \h </w:instrText>
        </w:r>
        <w:r>
          <w:fldChar w:fldCharType="separate"/>
        </w:r>
        <w:r>
          <w:t>8</w:t>
        </w:r>
        <w:r>
          <w:fldChar w:fldCharType="end"/>
        </w:r>
      </w:hyperlink>
    </w:p>
    <w:p>
      <w:pPr>
        <w:pStyle w:val="TOC2"/>
        <w:tabs>
          <w:tab w:val="right" w:leader="dot" w:pos="8306"/>
        </w:tabs>
      </w:pPr>
      <w:hyperlink w:anchor="_Toc17408" w:history="1">
        <w:r>
          <w:rPr>
            <w:rFonts w:ascii="仿宋" w:eastAsia="仿宋" w:hAnsi="仿宋" w:cs="仿宋" w:hint="eastAsia"/>
            <w:lang w:val="en-GB"/>
          </w:rPr>
          <w:t>(一)、危机预警与应急计划</w:t>
        </w:r>
        <w:r>
          <w:tab/>
        </w:r>
        <w:r>
          <w:fldChar w:fldCharType="begin"/>
        </w:r>
        <w:r>
          <w:instrText xml:space="preserve"> PAGEREF _Toc17408 \h </w:instrText>
        </w:r>
        <w:r>
          <w:fldChar w:fldCharType="separate"/>
        </w:r>
        <w:r>
          <w:t>8</w:t>
        </w:r>
        <w:r>
          <w:fldChar w:fldCharType="end"/>
        </w:r>
      </w:hyperlink>
    </w:p>
    <w:p>
      <w:pPr>
        <w:pStyle w:val="TOC2"/>
        <w:tabs>
          <w:tab w:val="right" w:leader="dot" w:pos="8306"/>
        </w:tabs>
      </w:pPr>
      <w:hyperlink w:anchor="_Toc18076" w:history="1">
        <w:r>
          <w:rPr>
            <w:rFonts w:ascii="仿宋" w:eastAsia="仿宋" w:hAnsi="仿宋" w:cs="仿宋" w:hint="eastAsia"/>
            <w:lang w:val="en-GB"/>
          </w:rPr>
          <w:t>(二)、公关与危机沟通</w:t>
        </w:r>
        <w:r>
          <w:tab/>
        </w:r>
        <w:r>
          <w:fldChar w:fldCharType="begin"/>
        </w:r>
        <w:r>
          <w:instrText xml:space="preserve"> PAGEREF _Toc18076 \h </w:instrText>
        </w:r>
        <w:r>
          <w:fldChar w:fldCharType="separate"/>
        </w:r>
        <w:r>
          <w:t>9</w:t>
        </w:r>
        <w:r>
          <w:fldChar w:fldCharType="end"/>
        </w:r>
      </w:hyperlink>
    </w:p>
    <w:p>
      <w:pPr>
        <w:pStyle w:val="TOC2"/>
        <w:tabs>
          <w:tab w:val="right" w:leader="dot" w:pos="8306"/>
        </w:tabs>
      </w:pPr>
      <w:hyperlink w:anchor="_Toc19487" w:history="1">
        <w:r>
          <w:rPr>
            <w:rFonts w:ascii="仿宋" w:eastAsia="仿宋" w:hAnsi="仿宋" w:cs="仿宋" w:hint="eastAsia"/>
            <w:lang w:val="en-GB"/>
          </w:rPr>
          <w:t>(三)、媒体关系与舆情管理</w:t>
        </w:r>
        <w:r>
          <w:tab/>
        </w:r>
        <w:r>
          <w:fldChar w:fldCharType="begin"/>
        </w:r>
        <w:r>
          <w:instrText xml:space="preserve"> PAGEREF _Toc19487 \h </w:instrText>
        </w:r>
        <w:r>
          <w:fldChar w:fldCharType="separate"/>
        </w:r>
        <w:r>
          <w:t>10</w:t>
        </w:r>
        <w:r>
          <w:fldChar w:fldCharType="end"/>
        </w:r>
      </w:hyperlink>
    </w:p>
    <w:p>
      <w:pPr>
        <w:pStyle w:val="TOC2"/>
        <w:tabs>
          <w:tab w:val="right" w:leader="dot" w:pos="8306"/>
        </w:tabs>
      </w:pPr>
      <w:hyperlink w:anchor="_Toc6847" w:history="1">
        <w:r>
          <w:rPr>
            <w:rFonts w:ascii="仿宋" w:eastAsia="仿宋" w:hAnsi="仿宋" w:cs="仿宋" w:hint="eastAsia"/>
            <w:lang w:val="en-GB"/>
          </w:rPr>
          <w:t>(四)、企业社会责任与危机回应</w:t>
        </w:r>
        <w:r>
          <w:tab/>
        </w:r>
        <w:r>
          <w:fldChar w:fldCharType="begin"/>
        </w:r>
        <w:r>
          <w:instrText xml:space="preserve"> PAGEREF _Toc6847 \h </w:instrText>
        </w:r>
        <w:r>
          <w:fldChar w:fldCharType="separate"/>
        </w:r>
        <w:r>
          <w:t>12</w:t>
        </w:r>
        <w:r>
          <w:fldChar w:fldCharType="end"/>
        </w:r>
      </w:hyperlink>
    </w:p>
    <w:p>
      <w:pPr>
        <w:pStyle w:val="TOC1"/>
        <w:tabs>
          <w:tab w:val="right" w:leader="dot" w:pos="8306"/>
        </w:tabs>
      </w:pPr>
      <w:hyperlink w:anchor="_Toc15319" w:history="1">
        <w:r>
          <w:rPr>
            <w:rFonts w:ascii="仿宋" w:eastAsia="仿宋" w:hAnsi="仿宋" w:cs="仿宋" w:hint="eastAsia"/>
            <w:lang w:val="en-GB"/>
          </w:rPr>
          <w:t>三、CCD光电荷耦合二极管及其组件行业前景</w:t>
        </w:r>
        <w:r>
          <w:tab/>
        </w:r>
        <w:r>
          <w:fldChar w:fldCharType="begin"/>
        </w:r>
        <w:r>
          <w:instrText xml:space="preserve"> PAGEREF _Toc15319 \h </w:instrText>
        </w:r>
        <w:r>
          <w:fldChar w:fldCharType="separate"/>
        </w:r>
        <w:r>
          <w:t>13</w:t>
        </w:r>
        <w:r>
          <w:fldChar w:fldCharType="end"/>
        </w:r>
      </w:hyperlink>
    </w:p>
    <w:p>
      <w:pPr>
        <w:pStyle w:val="TOC2"/>
        <w:tabs>
          <w:tab w:val="right" w:leader="dot" w:pos="8306"/>
        </w:tabs>
      </w:pPr>
      <w:hyperlink w:anchor="_Toc29270" w:history="1">
        <w:r>
          <w:rPr>
            <w:rFonts w:ascii="仿宋" w:eastAsia="仿宋" w:hAnsi="仿宋" w:cs="仿宋" w:hint="eastAsia"/>
            <w:lang w:val="en-GB"/>
          </w:rPr>
          <w:t>(一)、市场增长预测</w:t>
        </w:r>
        <w:r>
          <w:tab/>
        </w:r>
        <w:r>
          <w:fldChar w:fldCharType="begin"/>
        </w:r>
        <w:r>
          <w:instrText xml:space="preserve"> PAGEREF _Toc29270 \h </w:instrText>
        </w:r>
        <w:r>
          <w:fldChar w:fldCharType="separate"/>
        </w:r>
        <w:r>
          <w:t>13</w:t>
        </w:r>
        <w:r>
          <w:fldChar w:fldCharType="end"/>
        </w:r>
      </w:hyperlink>
    </w:p>
    <w:p>
      <w:pPr>
        <w:pStyle w:val="TOC2"/>
        <w:tabs>
          <w:tab w:val="right" w:leader="dot" w:pos="8306"/>
        </w:tabs>
      </w:pPr>
      <w:hyperlink w:anchor="_Toc32629" w:history="1">
        <w:r>
          <w:rPr>
            <w:rFonts w:ascii="仿宋" w:eastAsia="仿宋" w:hAnsi="仿宋" w:cs="仿宋" w:hint="eastAsia"/>
            <w:lang w:val="en-GB"/>
          </w:rPr>
          <w:t>(二)、新兴市场机会</w:t>
        </w:r>
        <w:r>
          <w:tab/>
        </w:r>
        <w:r>
          <w:fldChar w:fldCharType="begin"/>
        </w:r>
        <w:r>
          <w:instrText xml:space="preserve"> PAGEREF _Toc32629 \h </w:instrText>
        </w:r>
        <w:r>
          <w:fldChar w:fldCharType="separate"/>
        </w:r>
        <w:r>
          <w:t>14</w:t>
        </w:r>
        <w:r>
          <w:fldChar w:fldCharType="end"/>
        </w:r>
      </w:hyperlink>
    </w:p>
    <w:p>
      <w:pPr>
        <w:pStyle w:val="TOC2"/>
        <w:tabs>
          <w:tab w:val="right" w:leader="dot" w:pos="8306"/>
        </w:tabs>
      </w:pPr>
      <w:hyperlink w:anchor="_Toc3189" w:history="1">
        <w:r>
          <w:rPr>
            <w:rFonts w:ascii="仿宋" w:eastAsia="仿宋" w:hAnsi="仿宋" w:cs="仿宋" w:hint="eastAsia"/>
            <w:lang w:val="en-GB"/>
          </w:rPr>
          <w:t>(三)、技术前景展望</w:t>
        </w:r>
        <w:r>
          <w:tab/>
        </w:r>
        <w:r>
          <w:fldChar w:fldCharType="begin"/>
        </w:r>
        <w:r>
          <w:instrText xml:space="preserve"> PAGEREF _Toc3189 \h </w:instrText>
        </w:r>
        <w:r>
          <w:fldChar w:fldCharType="separate"/>
        </w:r>
        <w:r>
          <w:t>15</w:t>
        </w:r>
        <w:r>
          <w:fldChar w:fldCharType="end"/>
        </w:r>
      </w:hyperlink>
    </w:p>
    <w:p>
      <w:pPr>
        <w:pStyle w:val="TOC2"/>
        <w:tabs>
          <w:tab w:val="right" w:leader="dot" w:pos="8306"/>
        </w:tabs>
      </w:pPr>
      <w:hyperlink w:anchor="_Toc13775" w:history="1">
        <w:r>
          <w:rPr>
            <w:rFonts w:ascii="仿宋" w:eastAsia="仿宋" w:hAnsi="仿宋" w:cs="仿宋" w:hint="eastAsia"/>
            <w:lang w:val="en-GB"/>
          </w:rPr>
          <w:t>(四)、政策环境变化</w:t>
        </w:r>
        <w:r>
          <w:tab/>
        </w:r>
        <w:r>
          <w:fldChar w:fldCharType="begin"/>
        </w:r>
        <w:r>
          <w:instrText xml:space="preserve"> PAGEREF _Toc13775 \h </w:instrText>
        </w:r>
        <w:r>
          <w:fldChar w:fldCharType="separate"/>
        </w:r>
        <w:r>
          <w:t>16</w:t>
        </w:r>
        <w:r>
          <w:fldChar w:fldCharType="end"/>
        </w:r>
      </w:hyperlink>
    </w:p>
    <w:p>
      <w:pPr>
        <w:pStyle w:val="TOC1"/>
        <w:tabs>
          <w:tab w:val="right" w:leader="dot" w:pos="8306"/>
        </w:tabs>
      </w:pPr>
      <w:hyperlink w:anchor="_Toc16483" w:history="1">
        <w:r>
          <w:rPr>
            <w:rFonts w:ascii="仿宋" w:eastAsia="仿宋" w:hAnsi="仿宋" w:cs="仿宋" w:hint="eastAsia"/>
            <w:lang w:val="en-GB"/>
          </w:rPr>
          <w:t>四、公司简介</w:t>
        </w:r>
        <w:r>
          <w:tab/>
        </w:r>
        <w:r>
          <w:fldChar w:fldCharType="begin"/>
        </w:r>
        <w:r>
          <w:instrText xml:space="preserve"> PAGEREF _Toc16483 \h </w:instrText>
        </w:r>
        <w:r>
          <w:fldChar w:fldCharType="separate"/>
        </w:r>
        <w:r>
          <w:t>17</w:t>
        </w:r>
        <w:r>
          <w:fldChar w:fldCharType="end"/>
        </w:r>
      </w:hyperlink>
    </w:p>
    <w:p>
      <w:pPr>
        <w:pStyle w:val="TOC2"/>
        <w:tabs>
          <w:tab w:val="right" w:leader="dot" w:pos="8306"/>
        </w:tabs>
      </w:pPr>
      <w:hyperlink w:anchor="_Toc26035" w:history="1">
        <w:r>
          <w:rPr>
            <w:rFonts w:ascii="仿宋" w:eastAsia="仿宋" w:hAnsi="仿宋" w:cs="仿宋" w:hint="eastAsia"/>
            <w:lang w:val="en-GB"/>
          </w:rPr>
          <w:t>(一)、公司基本信息</w:t>
        </w:r>
        <w:r>
          <w:tab/>
        </w:r>
        <w:r>
          <w:fldChar w:fldCharType="begin"/>
        </w:r>
        <w:r>
          <w:instrText xml:space="preserve"> PAGEREF _Toc26035 \h </w:instrText>
        </w:r>
        <w:r>
          <w:fldChar w:fldCharType="separate"/>
        </w:r>
        <w:r>
          <w:t>17</w:t>
        </w:r>
        <w:r>
          <w:fldChar w:fldCharType="end"/>
        </w:r>
      </w:hyperlink>
    </w:p>
    <w:p>
      <w:pPr>
        <w:pStyle w:val="TOC2"/>
        <w:tabs>
          <w:tab w:val="right" w:leader="dot" w:pos="8306"/>
        </w:tabs>
      </w:pPr>
      <w:hyperlink w:anchor="_Toc23504" w:history="1">
        <w:r>
          <w:rPr>
            <w:rFonts w:ascii="仿宋" w:eastAsia="仿宋" w:hAnsi="仿宋" w:cs="仿宋" w:hint="eastAsia"/>
            <w:lang w:val="en-GB"/>
          </w:rPr>
          <w:t>(二)、公司简介</w:t>
        </w:r>
        <w:r>
          <w:tab/>
        </w:r>
        <w:r>
          <w:fldChar w:fldCharType="begin"/>
        </w:r>
        <w:r>
          <w:instrText xml:space="preserve"> PAGEREF _Toc23504 \h </w:instrText>
        </w:r>
        <w:r>
          <w:fldChar w:fldCharType="separate"/>
        </w:r>
        <w:r>
          <w:t>17</w:t>
        </w:r>
        <w:r>
          <w:fldChar w:fldCharType="end"/>
        </w:r>
      </w:hyperlink>
    </w:p>
    <w:p>
      <w:pPr>
        <w:pStyle w:val="TOC1"/>
        <w:tabs>
          <w:tab w:val="right" w:leader="dot" w:pos="8306"/>
        </w:tabs>
      </w:pPr>
      <w:hyperlink w:anchor="_Toc26560" w:history="1">
        <w:r>
          <w:rPr>
            <w:rFonts w:ascii="仿宋" w:eastAsia="仿宋" w:hAnsi="仿宋" w:cs="仿宋" w:hint="eastAsia"/>
            <w:lang w:val="en-GB"/>
          </w:rPr>
          <w:t>五、发展规划分析</w:t>
        </w:r>
        <w:r>
          <w:tab/>
        </w:r>
        <w:r>
          <w:fldChar w:fldCharType="begin"/>
        </w:r>
        <w:r>
          <w:instrText xml:space="preserve"> PAGEREF _Toc26560 \h </w:instrText>
        </w:r>
        <w:r>
          <w:fldChar w:fldCharType="separate"/>
        </w:r>
        <w:r>
          <w:t>18</w:t>
        </w:r>
        <w:r>
          <w:fldChar w:fldCharType="end"/>
        </w:r>
      </w:hyperlink>
    </w:p>
    <w:p>
      <w:pPr>
        <w:pStyle w:val="TOC2"/>
        <w:tabs>
          <w:tab w:val="right" w:leader="dot" w:pos="8306"/>
        </w:tabs>
      </w:pPr>
      <w:hyperlink w:anchor="_Toc22472" w:history="1">
        <w:r>
          <w:rPr>
            <w:rFonts w:ascii="仿宋" w:eastAsia="仿宋" w:hAnsi="仿宋" w:cs="仿宋" w:hint="eastAsia"/>
            <w:lang w:val="en-GB"/>
          </w:rPr>
          <w:t>(一)、公司发展规划</w:t>
        </w:r>
        <w:r>
          <w:tab/>
        </w:r>
        <w:r>
          <w:fldChar w:fldCharType="begin"/>
        </w:r>
        <w:r>
          <w:instrText xml:space="preserve"> PAGEREF _Toc22472 \h </w:instrText>
        </w:r>
        <w:r>
          <w:fldChar w:fldCharType="separate"/>
        </w:r>
        <w:r>
          <w:t>18</w:t>
        </w:r>
        <w:r>
          <w:fldChar w:fldCharType="end"/>
        </w:r>
      </w:hyperlink>
    </w:p>
    <w:p>
      <w:pPr>
        <w:pStyle w:val="TOC2"/>
        <w:tabs>
          <w:tab w:val="right" w:leader="dot" w:pos="8306"/>
        </w:tabs>
      </w:pPr>
      <w:hyperlink w:anchor="_Toc28696" w:history="1">
        <w:r>
          <w:rPr>
            <w:rFonts w:ascii="仿宋" w:eastAsia="仿宋" w:hAnsi="仿宋" w:cs="仿宋" w:hint="eastAsia"/>
            <w:lang w:val="en-GB"/>
          </w:rPr>
          <w:t>(二)、保障措施</w:t>
        </w:r>
        <w:r>
          <w:tab/>
        </w:r>
        <w:r>
          <w:fldChar w:fldCharType="begin"/>
        </w:r>
        <w:r>
          <w:instrText xml:space="preserve"> PAGEREF _Toc28696 \h </w:instrText>
        </w:r>
        <w:r>
          <w:fldChar w:fldCharType="separate"/>
        </w:r>
        <w:r>
          <w:t>19</w:t>
        </w:r>
        <w:r>
          <w:fldChar w:fldCharType="end"/>
        </w:r>
      </w:hyperlink>
    </w:p>
    <w:p>
      <w:pPr>
        <w:pStyle w:val="TOC1"/>
        <w:tabs>
          <w:tab w:val="right" w:leader="dot" w:pos="8306"/>
        </w:tabs>
      </w:pPr>
      <w:hyperlink w:anchor="_Toc16928" w:history="1">
        <w:r>
          <w:rPr>
            <w:rFonts w:ascii="仿宋" w:eastAsia="仿宋" w:hAnsi="仿宋" w:cs="仿宋" w:hint="eastAsia"/>
            <w:lang w:val="en-GB"/>
          </w:rPr>
          <w:t>六、市场趋势与消费者洞察</w:t>
        </w:r>
        <w:r>
          <w:tab/>
        </w:r>
        <w:r>
          <w:fldChar w:fldCharType="begin"/>
        </w:r>
        <w:r>
          <w:instrText xml:space="preserve"> PAGEREF _Toc16928 \h </w:instrText>
        </w:r>
        <w:r>
          <w:fldChar w:fldCharType="separate"/>
        </w:r>
        <w:r>
          <w:t>21</w:t>
        </w:r>
        <w:r>
          <w:fldChar w:fldCharType="end"/>
        </w:r>
      </w:hyperlink>
    </w:p>
    <w:p>
      <w:pPr>
        <w:pStyle w:val="TOC2"/>
        <w:tabs>
          <w:tab w:val="right" w:leader="dot" w:pos="8306"/>
        </w:tabs>
      </w:pPr>
      <w:hyperlink w:anchor="_Toc16011" w:history="1">
        <w:r>
          <w:rPr>
            <w:rFonts w:ascii="仿宋" w:eastAsia="仿宋" w:hAnsi="仿宋" w:cs="仿宋" w:hint="eastAsia"/>
            <w:lang w:val="en-GB"/>
          </w:rPr>
          <w:t>(一)、市场趋势分析与预测</w:t>
        </w:r>
        <w:r>
          <w:tab/>
        </w:r>
        <w:r>
          <w:fldChar w:fldCharType="begin"/>
        </w:r>
        <w:r>
          <w:instrText xml:space="preserve"> PAGEREF _Toc16011 \h </w:instrText>
        </w:r>
        <w:r>
          <w:fldChar w:fldCharType="separate"/>
        </w:r>
        <w:r>
          <w:t>21</w:t>
        </w:r>
        <w:r>
          <w:fldChar w:fldCharType="end"/>
        </w:r>
      </w:hyperlink>
    </w:p>
    <w:p>
      <w:pPr>
        <w:pStyle w:val="TOC2"/>
        <w:tabs>
          <w:tab w:val="right" w:leader="dot" w:pos="8306"/>
        </w:tabs>
      </w:pPr>
      <w:hyperlink w:anchor="_Toc26485" w:history="1">
        <w:r>
          <w:rPr>
            <w:rFonts w:ascii="仿宋" w:eastAsia="仿宋" w:hAnsi="仿宋" w:cs="仿宋" w:hint="eastAsia"/>
            <w:lang w:val="en-GB"/>
          </w:rPr>
          <w:t>(二)、消费者洞察与行为研究</w:t>
        </w:r>
        <w:r>
          <w:tab/>
        </w:r>
        <w:r>
          <w:fldChar w:fldCharType="begin"/>
        </w:r>
        <w:r>
          <w:instrText xml:space="preserve"> PAGEREF _Toc26485 \h </w:instrText>
        </w:r>
        <w:r>
          <w:fldChar w:fldCharType="separate"/>
        </w:r>
        <w:r>
          <w:t>22</w:t>
        </w:r>
        <w:r>
          <w:fldChar w:fldCharType="end"/>
        </w:r>
      </w:hyperlink>
    </w:p>
    <w:p>
      <w:pPr>
        <w:pStyle w:val="TOC2"/>
        <w:tabs>
          <w:tab w:val="right" w:leader="dot" w:pos="8306"/>
        </w:tabs>
      </w:pPr>
      <w:hyperlink w:anchor="_Toc28968" w:history="1">
        <w:r>
          <w:rPr>
            <w:rFonts w:ascii="仿宋" w:eastAsia="仿宋" w:hAnsi="仿宋" w:cs="仿宋" w:hint="eastAsia"/>
            <w:lang w:val="en-GB"/>
          </w:rPr>
          <w:t>(三)、产品创新与市场适应性</w:t>
        </w:r>
        <w:r>
          <w:tab/>
        </w:r>
        <w:r>
          <w:fldChar w:fldCharType="begin"/>
        </w:r>
        <w:r>
          <w:instrText xml:space="preserve"> PAGEREF _Toc28968 \h </w:instrText>
        </w:r>
        <w:r>
          <w:fldChar w:fldCharType="separate"/>
        </w:r>
        <w:r>
          <w:t>24</w:t>
        </w:r>
        <w:r>
          <w:fldChar w:fldCharType="end"/>
        </w:r>
      </w:hyperlink>
    </w:p>
    <w:p>
      <w:pPr>
        <w:pStyle w:val="TOC2"/>
        <w:tabs>
          <w:tab w:val="right" w:leader="dot" w:pos="8306"/>
        </w:tabs>
      </w:pPr>
      <w:hyperlink w:anchor="_Toc27121" w:history="1">
        <w:r>
          <w:rPr>
            <w:rFonts w:ascii="仿宋" w:eastAsia="仿宋" w:hAnsi="仿宋" w:cs="仿宋" w:hint="eastAsia"/>
            <w:lang w:val="en-GB"/>
          </w:rPr>
          <w:t>(四)、服务体验与客户满意度</w:t>
        </w:r>
        <w:r>
          <w:tab/>
        </w:r>
        <w:r>
          <w:fldChar w:fldCharType="begin"/>
        </w:r>
        <w:r>
          <w:instrText xml:space="preserve"> PAGEREF _Toc27121 \h </w:instrText>
        </w:r>
        <w:r>
          <w:fldChar w:fldCharType="separate"/>
        </w:r>
        <w:r>
          <w:t>25</w:t>
        </w:r>
        <w:r>
          <w:fldChar w:fldCharType="end"/>
        </w:r>
      </w:hyperlink>
    </w:p>
    <w:p>
      <w:pPr>
        <w:pStyle w:val="TOC1"/>
        <w:tabs>
          <w:tab w:val="right" w:leader="dot" w:pos="8306"/>
        </w:tabs>
      </w:pPr>
      <w:hyperlink w:anchor="_Toc5211" w:history="1">
        <w:r>
          <w:rPr>
            <w:rFonts w:ascii="仿宋" w:eastAsia="仿宋" w:hAnsi="仿宋" w:cs="仿宋" w:hint="eastAsia"/>
            <w:lang w:val="en-GB"/>
          </w:rPr>
          <w:t>七、技术与生产管理</w:t>
        </w:r>
        <w:r>
          <w:tab/>
        </w:r>
        <w:r>
          <w:fldChar w:fldCharType="begin"/>
        </w:r>
        <w:r>
          <w:instrText xml:space="preserve"> PAGEREF _Toc5211 \h </w:instrText>
        </w:r>
        <w:r>
          <w:fldChar w:fldCharType="separate"/>
        </w:r>
        <w:r>
          <w:t>27</w:t>
        </w:r>
        <w:r>
          <w:fldChar w:fldCharType="end"/>
        </w:r>
      </w:hyperlink>
    </w:p>
    <w:p>
      <w:pPr>
        <w:pStyle w:val="TOC2"/>
        <w:tabs>
          <w:tab w:val="right" w:leader="dot" w:pos="8306"/>
        </w:tabs>
      </w:pPr>
      <w:hyperlink w:anchor="_Toc4983" w:history="1">
        <w:r>
          <w:rPr>
            <w:rFonts w:ascii="仿宋" w:eastAsia="仿宋" w:hAnsi="仿宋" w:cs="仿宋" w:hint="eastAsia"/>
            <w:lang w:val="en-GB"/>
          </w:rPr>
          <w:t>(一)、生产流程与工艺优化</w:t>
        </w:r>
        <w:r>
          <w:tab/>
        </w:r>
        <w:r>
          <w:fldChar w:fldCharType="begin"/>
        </w:r>
        <w:r>
          <w:instrText xml:space="preserve"> PAGEREF _Toc4983 \h </w:instrText>
        </w:r>
        <w:r>
          <w:fldChar w:fldCharType="separate"/>
        </w:r>
        <w:r>
          <w:t>27</w:t>
        </w:r>
        <w:r>
          <w:fldChar w:fldCharType="end"/>
        </w:r>
      </w:hyperlink>
    </w:p>
    <w:p>
      <w:pPr>
        <w:pStyle w:val="TOC2"/>
        <w:tabs>
          <w:tab w:val="right" w:leader="dot" w:pos="8306"/>
        </w:tabs>
      </w:pPr>
      <w:hyperlink w:anchor="_Toc9478" w:history="1">
        <w:r>
          <w:rPr>
            <w:rFonts w:ascii="仿宋" w:eastAsia="仿宋" w:hAnsi="仿宋" w:cs="仿宋" w:hint="eastAsia"/>
            <w:lang w:val="en-GB"/>
          </w:rPr>
          <w:t>(二)、技术创新与研发投入</w:t>
        </w:r>
        <w:r>
          <w:tab/>
        </w:r>
        <w:r>
          <w:fldChar w:fldCharType="begin"/>
        </w:r>
        <w:r>
          <w:instrText xml:space="preserve"> PAGEREF _Toc9478 \h </w:instrText>
        </w:r>
        <w:r>
          <w:fldChar w:fldCharType="separate"/>
        </w:r>
        <w:r>
          <w:t>28</w:t>
        </w:r>
        <w:r>
          <w:fldChar w:fldCharType="end"/>
        </w:r>
      </w:hyperlink>
    </w:p>
    <w:p>
      <w:pPr>
        <w:pStyle w:val="TOC2"/>
        <w:tabs>
          <w:tab w:val="right" w:leader="dot" w:pos="8306"/>
        </w:tabs>
      </w:pPr>
      <w:hyperlink w:anchor="_Toc26081" w:history="1">
        <w:r>
          <w:rPr>
            <w:rFonts w:ascii="仿宋" w:eastAsia="仿宋" w:hAnsi="仿宋" w:cs="仿宋" w:hint="eastAsia"/>
            <w:lang w:val="en-GB"/>
          </w:rPr>
          <w:t>(三)、设备与技术更新计划</w:t>
        </w:r>
        <w:r>
          <w:tab/>
        </w:r>
        <w:r>
          <w:fldChar w:fldCharType="begin"/>
        </w:r>
        <w:r>
          <w:instrText xml:space="preserve"> PAGEREF _Toc26081 \h </w:instrText>
        </w:r>
        <w:r>
          <w:fldChar w:fldCharType="separate"/>
        </w:r>
        <w:r>
          <w:t>29</w:t>
        </w:r>
        <w:r>
          <w:fldChar w:fldCharType="end"/>
        </w:r>
      </w:hyperlink>
    </w:p>
    <w:p>
      <w:pPr>
        <w:pStyle w:val="TOC2"/>
        <w:tabs>
          <w:tab w:val="right" w:leader="dot" w:pos="8306"/>
        </w:tabs>
      </w:pPr>
      <w:hyperlink w:anchor="_Toc7211" w:history="1">
        <w:r>
          <w:rPr>
            <w:rFonts w:ascii="仿宋" w:eastAsia="仿宋" w:hAnsi="仿宋" w:cs="仿宋" w:hint="eastAsia"/>
            <w:lang w:val="en-GB"/>
          </w:rPr>
          <w:t>(四)、质量管理与生产效率提升</w:t>
        </w:r>
        <w:r>
          <w:tab/>
        </w:r>
        <w:r>
          <w:fldChar w:fldCharType="begin"/>
        </w:r>
        <w:r>
          <w:instrText xml:space="preserve"> PAGEREF _Toc7211 \h </w:instrText>
        </w:r>
        <w:r>
          <w:fldChar w:fldCharType="separate"/>
        </w:r>
        <w:r>
          <w:t>30</w:t>
        </w:r>
        <w:r>
          <w:fldChar w:fldCharType="end"/>
        </w:r>
      </w:hyperlink>
    </w:p>
    <w:p>
      <w:pPr>
        <w:pStyle w:val="TOC1"/>
        <w:tabs>
          <w:tab w:val="right" w:leader="dot" w:pos="8306"/>
        </w:tabs>
      </w:pPr>
      <w:hyperlink w:anchor="_Toc17008" w:history="1">
        <w:r>
          <w:rPr>
            <w:rFonts w:ascii="仿宋" w:eastAsia="仿宋" w:hAnsi="仿宋" w:cs="仿宋" w:hint="eastAsia"/>
            <w:lang w:val="en-GB"/>
          </w:rPr>
          <w:t>八、CCD光电荷耦合二极管及其组件市场地位与竞争战略</w:t>
        </w:r>
        <w:r>
          <w:tab/>
        </w:r>
        <w:r>
          <w:fldChar w:fldCharType="begin"/>
        </w:r>
        <w:r>
          <w:instrText xml:space="preserve"> PAGEREF _Toc17008 \h </w:instrText>
        </w:r>
        <w:r>
          <w:fldChar w:fldCharType="separate"/>
        </w:r>
        <w:r>
          <w:t>31</w:t>
        </w:r>
        <w:r>
          <w:fldChar w:fldCharType="end"/>
        </w:r>
      </w:hyperlink>
    </w:p>
    <w:p>
      <w:pPr>
        <w:pStyle w:val="TOC2"/>
        <w:tabs>
          <w:tab w:val="right" w:leader="dot" w:pos="8306"/>
        </w:tabs>
      </w:pPr>
      <w:hyperlink w:anchor="_Toc6437" w:history="1">
        <w:r>
          <w:rPr>
            <w:rFonts w:ascii="仿宋" w:eastAsia="仿宋" w:hAnsi="仿宋" w:cs="仿宋" w:hint="eastAsia"/>
            <w:lang w:val="en-GB"/>
          </w:rPr>
          <w:t>(一)、公司市场地位</w:t>
        </w:r>
        <w:r>
          <w:tab/>
        </w:r>
        <w:r>
          <w:fldChar w:fldCharType="begin"/>
        </w:r>
        <w:r>
          <w:instrText xml:space="preserve"> PAGEREF _Toc6437 \h </w:instrText>
        </w:r>
        <w:r>
          <w:fldChar w:fldCharType="separate"/>
        </w:r>
        <w:r>
          <w:t>31</w:t>
        </w:r>
        <w:r>
          <w:fldChar w:fldCharType="end"/>
        </w:r>
      </w:hyperlink>
    </w:p>
    <w:p>
      <w:pPr>
        <w:pStyle w:val="TOC2"/>
        <w:tabs>
          <w:tab w:val="right" w:leader="dot" w:pos="8306"/>
        </w:tabs>
      </w:pPr>
      <w:hyperlink w:anchor="_Toc2478" w:history="1">
        <w:r>
          <w:rPr>
            <w:rFonts w:ascii="仿宋" w:eastAsia="仿宋" w:hAnsi="仿宋" w:cs="仿宋" w:hint="eastAsia"/>
            <w:lang w:val="en-GB"/>
          </w:rPr>
          <w:t>(二)、竞争对手分析</w:t>
        </w:r>
        <w:r>
          <w:tab/>
        </w:r>
        <w:r>
          <w:fldChar w:fldCharType="begin"/>
        </w:r>
        <w:r>
          <w:instrText xml:space="preserve"> PAGEREF _Toc2478 \h </w:instrText>
        </w:r>
        <w:r>
          <w:fldChar w:fldCharType="separate"/>
        </w:r>
        <w:r>
          <w:t>32</w:t>
        </w:r>
        <w:r>
          <w:fldChar w:fldCharType="end"/>
        </w:r>
      </w:hyperlink>
    </w:p>
    <w:p>
      <w:pPr>
        <w:pStyle w:val="TOC2"/>
        <w:tabs>
          <w:tab w:val="right" w:leader="dot" w:pos="8306"/>
        </w:tabs>
      </w:pPr>
      <w:hyperlink w:anchor="_Toc9865" w:history="1">
        <w:r>
          <w:rPr>
            <w:rFonts w:ascii="仿宋" w:eastAsia="仿宋" w:hAnsi="仿宋" w:cs="仿宋" w:hint="eastAsia"/>
            <w:lang w:val="en-GB"/>
          </w:rPr>
          <w:t>(三)、竞争战略</w:t>
        </w:r>
        <w:r>
          <w:tab/>
        </w:r>
        <w:r>
          <w:fldChar w:fldCharType="begin"/>
        </w:r>
        <w:r>
          <w:instrText xml:space="preserve"> PAGEREF _Toc9865 \h </w:instrText>
        </w:r>
        <w:r>
          <w:fldChar w:fldCharType="separate"/>
        </w:r>
        <w:r>
          <w:t>33</w:t>
        </w:r>
        <w:r>
          <w:fldChar w:fldCharType="end"/>
        </w:r>
      </w:hyperlink>
    </w:p>
    <w:p>
      <w:pPr>
        <w:pStyle w:val="TOC2"/>
        <w:tabs>
          <w:tab w:val="right" w:leader="dot" w:pos="8306"/>
        </w:tabs>
      </w:pPr>
      <w:hyperlink w:anchor="_Toc24388" w:history="1">
        <w:r>
          <w:rPr>
            <w:rFonts w:ascii="仿宋" w:eastAsia="仿宋" w:hAnsi="仿宋" w:cs="仿宋" w:hint="eastAsia"/>
            <w:lang w:val="en-GB"/>
          </w:rPr>
          <w:t>(四)、市场定位</w:t>
        </w:r>
        <w:r>
          <w:tab/>
        </w:r>
        <w:r>
          <w:fldChar w:fldCharType="begin"/>
        </w:r>
        <w:r>
          <w:instrText xml:space="preserve"> PAGEREF _Toc24388 \h </w:instrText>
        </w:r>
        <w:r>
          <w:fldChar w:fldCharType="separate"/>
        </w:r>
        <w:r>
          <w:t>34</w:t>
        </w:r>
        <w:r>
          <w:fldChar w:fldCharType="end"/>
        </w:r>
      </w:hyperlink>
    </w:p>
    <w:p>
      <w:pPr>
        <w:pStyle w:val="TOC1"/>
        <w:tabs>
          <w:tab w:val="right" w:leader="dot" w:pos="8306"/>
        </w:tabs>
      </w:pPr>
      <w:hyperlink w:anchor="_Toc14111" w:history="1">
        <w:r>
          <w:rPr>
            <w:rFonts w:ascii="仿宋" w:eastAsia="仿宋" w:hAnsi="仿宋" w:cs="仿宋" w:hint="eastAsia"/>
            <w:lang w:val="en-GB"/>
          </w:rPr>
          <w:t>九、CCD光电荷耦合二极管及其组件促销策略</w:t>
        </w:r>
        <w:r>
          <w:tab/>
        </w:r>
        <w:r>
          <w:fldChar w:fldCharType="begin"/>
        </w:r>
        <w:r>
          <w:instrText xml:space="preserve"> PAGEREF _Toc14111 \h </w:instrText>
        </w:r>
        <w:r>
          <w:fldChar w:fldCharType="separate"/>
        </w:r>
        <w:r>
          <w:t>35</w:t>
        </w:r>
        <w:r>
          <w:fldChar w:fldCharType="end"/>
        </w:r>
      </w:hyperlink>
    </w:p>
    <w:p>
      <w:pPr>
        <w:pStyle w:val="TOC2"/>
        <w:tabs>
          <w:tab w:val="right" w:leader="dot" w:pos="8306"/>
        </w:tabs>
      </w:pPr>
      <w:hyperlink w:anchor="_Toc22931" w:history="1">
        <w:r>
          <w:rPr>
            <w:rFonts w:ascii="仿宋" w:eastAsia="仿宋" w:hAnsi="仿宋" w:cs="仿宋" w:hint="eastAsia"/>
            <w:lang w:val="en-GB"/>
          </w:rPr>
          <w:t>(一)、广告与宣传</w:t>
        </w:r>
        <w:r>
          <w:tab/>
        </w:r>
        <w:r>
          <w:fldChar w:fldCharType="begin"/>
        </w:r>
        <w:r>
          <w:instrText xml:space="preserve"> PAGEREF _Toc22931 \h </w:instrText>
        </w:r>
        <w:r>
          <w:fldChar w:fldCharType="separate"/>
        </w:r>
        <w:r>
          <w:t>35</w:t>
        </w:r>
        <w:r>
          <w:fldChar w:fldCharType="end"/>
        </w:r>
      </w:hyperlink>
    </w:p>
    <w:p>
      <w:pPr>
        <w:pStyle w:val="TOC2"/>
        <w:tabs>
          <w:tab w:val="right" w:leader="dot" w:pos="8306"/>
        </w:tabs>
      </w:pPr>
      <w:hyperlink w:anchor="_Toc9113" w:history="1">
        <w:r>
          <w:rPr>
            <w:rFonts w:ascii="仿宋" w:eastAsia="仿宋" w:hAnsi="仿宋" w:cs="仿宋" w:hint="eastAsia"/>
            <w:lang w:val="en-GB"/>
          </w:rPr>
          <w:t>(二)、促销活动</w:t>
        </w:r>
        <w:r>
          <w:tab/>
        </w:r>
        <w:r>
          <w:fldChar w:fldCharType="begin"/>
        </w:r>
        <w:r>
          <w:instrText xml:space="preserve"> PAGEREF _Toc9113 \h </w:instrText>
        </w:r>
        <w:r>
          <w:fldChar w:fldCharType="separate"/>
        </w:r>
        <w:r>
          <w:t>36</w:t>
        </w:r>
        <w:r>
          <w:fldChar w:fldCharType="end"/>
        </w:r>
      </w:hyperlink>
    </w:p>
    <w:p>
      <w:pPr>
        <w:pStyle w:val="TOC2"/>
        <w:tabs>
          <w:tab w:val="right" w:leader="dot" w:pos="8306"/>
        </w:tabs>
      </w:pPr>
      <w:hyperlink w:anchor="_Toc25366" w:history="1">
        <w:r>
          <w:rPr>
            <w:rFonts w:ascii="仿宋" w:eastAsia="仿宋" w:hAnsi="仿宋" w:cs="仿宋" w:hint="eastAsia"/>
            <w:lang w:val="en-GB"/>
          </w:rPr>
          <w:t>(三)、品牌推广</w:t>
        </w:r>
        <w:r>
          <w:tab/>
        </w:r>
        <w:r>
          <w:fldChar w:fldCharType="begin"/>
        </w:r>
        <w:r>
          <w:instrText xml:space="preserve"> PAGEREF _Toc25366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437" w:history="1">
        <w:r>
          <w:rPr>
            <w:rFonts w:ascii="仿宋" w:eastAsia="仿宋" w:hAnsi="仿宋" w:cs="仿宋" w:hint="eastAsia"/>
            <w:lang w:val="en-GB"/>
          </w:rPr>
          <w:t>(四)、数字营销</w:t>
        </w:r>
        <w:r>
          <w:tab/>
        </w:r>
        <w:r>
          <w:fldChar w:fldCharType="begin"/>
        </w:r>
        <w:r>
          <w:instrText xml:space="preserve"> PAGEREF _Toc30437 \h </w:instrText>
        </w:r>
        <w:r>
          <w:fldChar w:fldCharType="separate"/>
        </w:r>
        <w:r>
          <w:t>39</w:t>
        </w:r>
        <w:r>
          <w:fldChar w:fldCharType="end"/>
        </w:r>
      </w:hyperlink>
    </w:p>
    <w:p>
      <w:pPr>
        <w:pStyle w:val="TOC1"/>
        <w:tabs>
          <w:tab w:val="right" w:leader="dot" w:pos="8306"/>
        </w:tabs>
      </w:pPr>
      <w:hyperlink w:anchor="_Toc981" w:history="1">
        <w:r>
          <w:rPr>
            <w:rFonts w:ascii="仿宋" w:eastAsia="仿宋" w:hAnsi="仿宋" w:cs="仿宋" w:hint="eastAsia"/>
            <w:lang w:val="en-GB"/>
          </w:rPr>
          <w:t>十、CCD光电荷耦合二极管及其组件消费者市场分析</w:t>
        </w:r>
        <w:r>
          <w:tab/>
        </w:r>
        <w:r>
          <w:fldChar w:fldCharType="begin"/>
        </w:r>
        <w:r>
          <w:instrText xml:space="preserve"> PAGEREF _Toc981 \h </w:instrText>
        </w:r>
        <w:r>
          <w:fldChar w:fldCharType="separate"/>
        </w:r>
        <w:r>
          <w:t>41</w:t>
        </w:r>
        <w:r>
          <w:fldChar w:fldCharType="end"/>
        </w:r>
      </w:hyperlink>
    </w:p>
    <w:p>
      <w:pPr>
        <w:pStyle w:val="TOC2"/>
        <w:tabs>
          <w:tab w:val="right" w:leader="dot" w:pos="8306"/>
        </w:tabs>
      </w:pPr>
      <w:hyperlink w:anchor="_Toc1628" w:history="1">
        <w:r>
          <w:rPr>
            <w:rFonts w:ascii="仿宋" w:eastAsia="仿宋" w:hAnsi="仿宋" w:cs="仿宋" w:hint="eastAsia"/>
            <w:lang w:val="en-GB"/>
          </w:rPr>
          <w:t>(一)、目标客户群体</w:t>
        </w:r>
        <w:r>
          <w:tab/>
        </w:r>
        <w:r>
          <w:fldChar w:fldCharType="begin"/>
        </w:r>
        <w:r>
          <w:instrText xml:space="preserve"> PAGEREF _Toc1628 \h </w:instrText>
        </w:r>
        <w:r>
          <w:fldChar w:fldCharType="separate"/>
        </w:r>
        <w:r>
          <w:t>41</w:t>
        </w:r>
        <w:r>
          <w:fldChar w:fldCharType="end"/>
        </w:r>
      </w:hyperlink>
    </w:p>
    <w:p>
      <w:pPr>
        <w:pStyle w:val="TOC2"/>
        <w:tabs>
          <w:tab w:val="right" w:leader="dot" w:pos="8306"/>
        </w:tabs>
      </w:pPr>
      <w:hyperlink w:anchor="_Toc15219" w:history="1">
        <w:r>
          <w:rPr>
            <w:rFonts w:ascii="仿宋" w:eastAsia="仿宋" w:hAnsi="仿宋" w:cs="仿宋" w:hint="eastAsia"/>
            <w:lang w:val="en-GB"/>
          </w:rPr>
          <w:t>(二)、消费者需求</w:t>
        </w:r>
        <w:r>
          <w:tab/>
        </w:r>
        <w:r>
          <w:fldChar w:fldCharType="begin"/>
        </w:r>
        <w:r>
          <w:instrText xml:space="preserve"> PAGEREF _Toc15219 \h </w:instrText>
        </w:r>
        <w:r>
          <w:fldChar w:fldCharType="separate"/>
        </w:r>
        <w:r>
          <w:t>43</w:t>
        </w:r>
        <w:r>
          <w:fldChar w:fldCharType="end"/>
        </w:r>
      </w:hyperlink>
    </w:p>
    <w:p>
      <w:pPr>
        <w:pStyle w:val="TOC1"/>
        <w:tabs>
          <w:tab w:val="right" w:leader="dot" w:pos="8306"/>
        </w:tabs>
      </w:pPr>
      <w:hyperlink w:anchor="_Toc31769" w:history="1">
        <w:r>
          <w:rPr>
            <w:rFonts w:ascii="仿宋" w:eastAsia="仿宋" w:hAnsi="仿宋" w:cs="仿宋" w:hint="eastAsia"/>
            <w:lang w:val="en-GB"/>
          </w:rPr>
          <w:t>十一、CCD光电荷耦合二极管及其组件供应链管理</w:t>
        </w:r>
        <w:r>
          <w:tab/>
        </w:r>
        <w:r>
          <w:fldChar w:fldCharType="begin"/>
        </w:r>
        <w:r>
          <w:instrText xml:space="preserve"> PAGEREF _Toc31769 \h </w:instrText>
        </w:r>
        <w:r>
          <w:fldChar w:fldCharType="separate"/>
        </w:r>
        <w:r>
          <w:t>44</w:t>
        </w:r>
        <w:r>
          <w:fldChar w:fldCharType="end"/>
        </w:r>
      </w:hyperlink>
    </w:p>
    <w:p>
      <w:pPr>
        <w:pStyle w:val="TOC2"/>
        <w:tabs>
          <w:tab w:val="right" w:leader="dot" w:pos="8306"/>
        </w:tabs>
      </w:pPr>
      <w:hyperlink w:anchor="_Toc6297" w:history="1">
        <w:r>
          <w:rPr>
            <w:rFonts w:ascii="仿宋" w:eastAsia="仿宋" w:hAnsi="仿宋" w:cs="仿宋" w:hint="eastAsia"/>
            <w:lang w:val="en-GB"/>
          </w:rPr>
          <w:t>(一)、供应链优化策略</w:t>
        </w:r>
        <w:r>
          <w:tab/>
        </w:r>
        <w:r>
          <w:fldChar w:fldCharType="begin"/>
        </w:r>
        <w:r>
          <w:instrText xml:space="preserve"> PAGEREF _Toc6297 \h </w:instrText>
        </w:r>
        <w:r>
          <w:fldChar w:fldCharType="separate"/>
        </w:r>
        <w:r>
          <w:t>44</w:t>
        </w:r>
        <w:r>
          <w:fldChar w:fldCharType="end"/>
        </w:r>
      </w:hyperlink>
    </w:p>
    <w:p>
      <w:pPr>
        <w:pStyle w:val="TOC2"/>
        <w:tabs>
          <w:tab w:val="right" w:leader="dot" w:pos="8306"/>
        </w:tabs>
      </w:pPr>
      <w:hyperlink w:anchor="_Toc27954" w:history="1">
        <w:r>
          <w:rPr>
            <w:rFonts w:ascii="仿宋" w:eastAsia="仿宋" w:hAnsi="仿宋" w:cs="仿宋" w:hint="eastAsia"/>
            <w:lang w:val="en-GB"/>
          </w:rPr>
          <w:t>(二)、供应商合作与管理</w:t>
        </w:r>
        <w:r>
          <w:tab/>
        </w:r>
        <w:r>
          <w:fldChar w:fldCharType="begin"/>
        </w:r>
        <w:r>
          <w:instrText xml:space="preserve"> PAGEREF _Toc27954 \h </w:instrText>
        </w:r>
        <w:r>
          <w:fldChar w:fldCharType="separate"/>
        </w:r>
        <w:r>
          <w:t>45</w:t>
        </w:r>
        <w:r>
          <w:fldChar w:fldCharType="end"/>
        </w:r>
      </w:hyperlink>
    </w:p>
    <w:p>
      <w:pPr>
        <w:pStyle w:val="TOC2"/>
        <w:tabs>
          <w:tab w:val="right" w:leader="dot" w:pos="8306"/>
        </w:tabs>
      </w:pPr>
      <w:hyperlink w:anchor="_Toc24780" w:history="1">
        <w:r>
          <w:rPr>
            <w:rFonts w:ascii="仿宋" w:eastAsia="仿宋" w:hAnsi="仿宋" w:cs="仿宋" w:hint="eastAsia"/>
            <w:lang w:val="en-GB"/>
          </w:rPr>
          <w:t>(三)、物流与库存管理</w:t>
        </w:r>
        <w:r>
          <w:tab/>
        </w:r>
        <w:r>
          <w:fldChar w:fldCharType="begin"/>
        </w:r>
        <w:r>
          <w:instrText xml:space="preserve"> PAGEREF _Toc24780 \h </w:instrText>
        </w:r>
        <w:r>
          <w:fldChar w:fldCharType="separate"/>
        </w:r>
        <w:r>
          <w:t>46</w:t>
        </w:r>
        <w:r>
          <w:fldChar w:fldCharType="end"/>
        </w:r>
      </w:hyperlink>
    </w:p>
    <w:p>
      <w:pPr>
        <w:pStyle w:val="TOC2"/>
        <w:tabs>
          <w:tab w:val="right" w:leader="dot" w:pos="8306"/>
        </w:tabs>
      </w:pPr>
      <w:hyperlink w:anchor="_Toc8888" w:history="1">
        <w:r>
          <w:rPr>
            <w:rFonts w:ascii="仿宋" w:eastAsia="仿宋" w:hAnsi="仿宋" w:cs="仿宋" w:hint="eastAsia"/>
            <w:lang w:val="en-GB"/>
          </w:rPr>
          <w:t>(四)、风险管理与应对策略</w:t>
        </w:r>
        <w:r>
          <w:tab/>
        </w:r>
        <w:r>
          <w:fldChar w:fldCharType="begin"/>
        </w:r>
        <w:r>
          <w:instrText xml:space="preserve"> PAGEREF _Toc8888 \h </w:instrText>
        </w:r>
        <w:r>
          <w:fldChar w:fldCharType="separate"/>
        </w:r>
        <w:r>
          <w:t>47</w:t>
        </w:r>
        <w:r>
          <w:fldChar w:fldCharType="end"/>
        </w:r>
      </w:hyperlink>
    </w:p>
    <w:p>
      <w:pPr>
        <w:pStyle w:val="TOC1"/>
        <w:tabs>
          <w:tab w:val="right" w:leader="dot" w:pos="8306"/>
        </w:tabs>
      </w:pPr>
      <w:hyperlink w:anchor="_Toc29688" w:history="1">
        <w:r>
          <w:rPr>
            <w:rFonts w:ascii="仿宋" w:eastAsia="仿宋" w:hAnsi="仿宋" w:cs="仿宋" w:hint="eastAsia"/>
            <w:lang w:val="en-GB"/>
          </w:rPr>
          <w:t>十二、CCD光电荷耦合二极管及其组件国际化战略</w:t>
        </w:r>
        <w:r>
          <w:tab/>
        </w:r>
        <w:r>
          <w:fldChar w:fldCharType="begin"/>
        </w:r>
        <w:r>
          <w:instrText xml:space="preserve"> PAGEREF _Toc29688 \h </w:instrText>
        </w:r>
        <w:r>
          <w:fldChar w:fldCharType="separate"/>
        </w:r>
        <w:r>
          <w:t>48</w:t>
        </w:r>
        <w:r>
          <w:fldChar w:fldCharType="end"/>
        </w:r>
      </w:hyperlink>
    </w:p>
    <w:p>
      <w:pPr>
        <w:pStyle w:val="TOC2"/>
        <w:tabs>
          <w:tab w:val="right" w:leader="dot" w:pos="8306"/>
        </w:tabs>
      </w:pPr>
      <w:hyperlink w:anchor="_Toc13214" w:history="1">
        <w:r>
          <w:rPr>
            <w:rFonts w:ascii="仿宋" w:eastAsia="仿宋" w:hAnsi="仿宋" w:cs="仿宋" w:hint="eastAsia"/>
            <w:lang w:val="en-GB"/>
          </w:rPr>
          <w:t>(一)、海外市场分析与选择</w:t>
        </w:r>
        <w:r>
          <w:tab/>
        </w:r>
        <w:r>
          <w:fldChar w:fldCharType="begin"/>
        </w:r>
        <w:r>
          <w:instrText xml:space="preserve"> PAGEREF _Toc13214 \h </w:instrText>
        </w:r>
        <w:r>
          <w:fldChar w:fldCharType="separate"/>
        </w:r>
        <w:r>
          <w:t>48</w:t>
        </w:r>
        <w:r>
          <w:fldChar w:fldCharType="end"/>
        </w:r>
      </w:hyperlink>
    </w:p>
    <w:p>
      <w:pPr>
        <w:pStyle w:val="TOC2"/>
        <w:tabs>
          <w:tab w:val="right" w:leader="dot" w:pos="8306"/>
        </w:tabs>
      </w:pPr>
      <w:hyperlink w:anchor="_Toc12586" w:history="1">
        <w:r>
          <w:rPr>
            <w:rFonts w:ascii="仿宋" w:eastAsia="仿宋" w:hAnsi="仿宋" w:cs="仿宋" w:hint="eastAsia"/>
            <w:lang w:val="en-GB"/>
          </w:rPr>
          <w:t>(二)、跨国合作伙伴关系</w:t>
        </w:r>
        <w:r>
          <w:tab/>
        </w:r>
        <w:r>
          <w:fldChar w:fldCharType="begin"/>
        </w:r>
        <w:r>
          <w:instrText xml:space="preserve"> PAGEREF _Toc12586 \h </w:instrText>
        </w:r>
        <w:r>
          <w:fldChar w:fldCharType="separate"/>
        </w:r>
        <w:r>
          <w:t>49</w:t>
        </w:r>
        <w:r>
          <w:fldChar w:fldCharType="end"/>
        </w:r>
      </w:hyperlink>
    </w:p>
    <w:p>
      <w:pPr>
        <w:pStyle w:val="TOC2"/>
        <w:tabs>
          <w:tab w:val="right" w:leader="dot" w:pos="8306"/>
        </w:tabs>
      </w:pPr>
      <w:hyperlink w:anchor="_Toc16124" w:history="1">
        <w:r>
          <w:rPr>
            <w:rFonts w:ascii="仿宋" w:eastAsia="仿宋" w:hAnsi="仿宋" w:cs="仿宋" w:hint="eastAsia"/>
            <w:lang w:val="en-GB"/>
          </w:rPr>
          <w:t>(三)、国际市场营销与品牌推广</w:t>
        </w:r>
        <w:r>
          <w:tab/>
        </w:r>
        <w:r>
          <w:fldChar w:fldCharType="begin"/>
        </w:r>
        <w:r>
          <w:instrText xml:space="preserve"> PAGEREF _Toc16124 \h </w:instrText>
        </w:r>
        <w:r>
          <w:fldChar w:fldCharType="separate"/>
        </w:r>
        <w:r>
          <w:t>50</w:t>
        </w:r>
        <w:r>
          <w:fldChar w:fldCharType="end"/>
        </w:r>
      </w:hyperlink>
    </w:p>
    <w:p>
      <w:pPr>
        <w:pStyle w:val="TOC2"/>
        <w:tabs>
          <w:tab w:val="right" w:leader="dot" w:pos="8306"/>
        </w:tabs>
      </w:pPr>
      <w:hyperlink w:anchor="_Toc3669" w:history="1">
        <w:r>
          <w:rPr>
            <w:rFonts w:ascii="仿宋" w:eastAsia="仿宋" w:hAnsi="仿宋" w:cs="仿宋" w:hint="eastAsia"/>
            <w:lang w:val="en-GB"/>
          </w:rPr>
          <w:t>(四)、国际贸易与风险管理</w:t>
        </w:r>
        <w:r>
          <w:tab/>
        </w:r>
        <w:r>
          <w:fldChar w:fldCharType="begin"/>
        </w:r>
        <w:r>
          <w:instrText xml:space="preserve"> PAGEREF _Toc3669 \h </w:instrText>
        </w:r>
        <w:r>
          <w:fldChar w:fldCharType="separate"/>
        </w:r>
        <w:r>
          <w:t>52</w:t>
        </w:r>
        <w:r>
          <w:fldChar w:fldCharType="end"/>
        </w:r>
      </w:hyperlink>
    </w:p>
    <w:p>
      <w:pPr>
        <w:pStyle w:val="TOC1"/>
        <w:tabs>
          <w:tab w:val="right" w:leader="dot" w:pos="8306"/>
        </w:tabs>
      </w:pPr>
      <w:hyperlink w:anchor="_Toc20810" w:history="1">
        <w:r>
          <w:rPr>
            <w:rFonts w:ascii="仿宋" w:eastAsia="仿宋" w:hAnsi="仿宋" w:cs="仿宋" w:hint="eastAsia"/>
            <w:lang w:val="en-GB"/>
          </w:rPr>
          <w:t>十三、CCD光电荷耦合二极管及其组件数字化发展方案</w:t>
        </w:r>
        <w:r>
          <w:tab/>
        </w:r>
        <w:r>
          <w:fldChar w:fldCharType="begin"/>
        </w:r>
        <w:r>
          <w:instrText xml:space="preserve"> PAGEREF _Toc20810 \h </w:instrText>
        </w:r>
        <w:r>
          <w:fldChar w:fldCharType="separate"/>
        </w:r>
        <w:r>
          <w:t>53</w:t>
        </w:r>
        <w:r>
          <w:fldChar w:fldCharType="end"/>
        </w:r>
      </w:hyperlink>
    </w:p>
    <w:p>
      <w:pPr>
        <w:pStyle w:val="TOC2"/>
        <w:tabs>
          <w:tab w:val="right" w:leader="dot" w:pos="8306"/>
        </w:tabs>
      </w:pPr>
      <w:hyperlink w:anchor="_Toc25373" w:history="1">
        <w:r>
          <w:rPr>
            <w:rFonts w:ascii="仿宋" w:eastAsia="仿宋" w:hAnsi="仿宋" w:cs="仿宋" w:hint="eastAsia"/>
            <w:lang w:val="en-GB"/>
          </w:rPr>
          <w:t>(一)、数字化战略规划</w:t>
        </w:r>
        <w:r>
          <w:tab/>
        </w:r>
        <w:r>
          <w:fldChar w:fldCharType="begin"/>
        </w:r>
        <w:r>
          <w:instrText xml:space="preserve"> PAGEREF _Toc25373 \h </w:instrText>
        </w:r>
        <w:r>
          <w:fldChar w:fldCharType="separate"/>
        </w:r>
        <w:r>
          <w:t>53</w:t>
        </w:r>
        <w:r>
          <w:fldChar w:fldCharType="end"/>
        </w:r>
      </w:hyperlink>
    </w:p>
    <w:p>
      <w:pPr>
        <w:pStyle w:val="TOC2"/>
        <w:tabs>
          <w:tab w:val="right" w:leader="dot" w:pos="8306"/>
        </w:tabs>
      </w:pPr>
      <w:hyperlink w:anchor="_Toc5249" w:history="1">
        <w:r>
          <w:rPr>
            <w:rFonts w:ascii="仿宋" w:eastAsia="仿宋" w:hAnsi="仿宋" w:cs="仿宋" w:hint="eastAsia"/>
            <w:lang w:val="en-GB"/>
          </w:rPr>
          <w:t>(二)、数据安全与隐私保护</w:t>
        </w:r>
        <w:r>
          <w:tab/>
        </w:r>
        <w:r>
          <w:fldChar w:fldCharType="begin"/>
        </w:r>
        <w:r>
          <w:instrText xml:space="preserve"> PAGEREF _Toc5249 \h </w:instrText>
        </w:r>
        <w:r>
          <w:fldChar w:fldCharType="separate"/>
        </w:r>
        <w:r>
          <w:t>54</w:t>
        </w:r>
        <w:r>
          <w:fldChar w:fldCharType="end"/>
        </w:r>
      </w:hyperlink>
    </w:p>
    <w:p>
      <w:pPr>
        <w:pStyle w:val="TOC2"/>
        <w:tabs>
          <w:tab w:val="right" w:leader="dot" w:pos="8306"/>
        </w:tabs>
      </w:pPr>
      <w:hyperlink w:anchor="_Toc9966" w:history="1">
        <w:r>
          <w:rPr>
            <w:rFonts w:ascii="仿宋" w:eastAsia="仿宋" w:hAnsi="仿宋" w:cs="仿宋" w:hint="eastAsia"/>
            <w:lang w:val="en-GB"/>
          </w:rPr>
          <w:t>(三)、人工智能与大数据应用</w:t>
        </w:r>
        <w:r>
          <w:tab/>
        </w:r>
        <w:r>
          <w:fldChar w:fldCharType="begin"/>
        </w:r>
        <w:r>
          <w:instrText xml:space="preserve"> PAGEREF _Toc9966 \h </w:instrText>
        </w:r>
        <w:r>
          <w:fldChar w:fldCharType="separate"/>
        </w:r>
        <w:r>
          <w:t>56</w:t>
        </w:r>
        <w:r>
          <w:fldChar w:fldCharType="end"/>
        </w:r>
      </w:hyperlink>
    </w:p>
    <w:p>
      <w:pPr>
        <w:pStyle w:val="TOC2"/>
        <w:tabs>
          <w:tab w:val="right" w:leader="dot" w:pos="8306"/>
        </w:tabs>
      </w:pPr>
      <w:hyperlink w:anchor="_Toc10827" w:history="1">
        <w:r>
          <w:rPr>
            <w:rFonts w:ascii="仿宋" w:eastAsia="仿宋" w:hAnsi="仿宋" w:cs="仿宋" w:hint="eastAsia"/>
            <w:lang w:val="en-GB"/>
          </w:rPr>
          <w:t>(四)、信息技术基础设施建设</w:t>
        </w:r>
        <w:r>
          <w:tab/>
        </w:r>
        <w:r>
          <w:fldChar w:fldCharType="begin"/>
        </w:r>
        <w:r>
          <w:instrText xml:space="preserve"> PAGEREF _Toc10827 \h </w:instrText>
        </w:r>
        <w:r>
          <w:fldChar w:fldCharType="separate"/>
        </w:r>
        <w:r>
          <w:t>57</w:t>
        </w:r>
        <w:r>
          <w:fldChar w:fldCharType="end"/>
        </w:r>
      </w:hyperlink>
    </w:p>
    <w:p>
      <w:pPr>
        <w:pStyle w:val="TOC1"/>
        <w:tabs>
          <w:tab w:val="right" w:leader="dot" w:pos="8306"/>
        </w:tabs>
      </w:pPr>
      <w:hyperlink w:anchor="_Toc9461" w:history="1">
        <w:r>
          <w:rPr>
            <w:rFonts w:ascii="仿宋" w:eastAsia="仿宋" w:hAnsi="仿宋" w:cs="仿宋" w:hint="eastAsia"/>
            <w:lang w:val="en-GB"/>
          </w:rPr>
          <w:t>十四、CCD光电荷耦合二极管及其组件可持续发展战略</w:t>
        </w:r>
        <w:r>
          <w:tab/>
        </w:r>
        <w:r>
          <w:fldChar w:fldCharType="begin"/>
        </w:r>
        <w:r>
          <w:instrText xml:space="preserve"> PAGEREF _Toc9461 \h </w:instrText>
        </w:r>
        <w:r>
          <w:fldChar w:fldCharType="separate"/>
        </w:r>
        <w:r>
          <w:t>58</w:t>
        </w:r>
        <w:r>
          <w:fldChar w:fldCharType="end"/>
        </w:r>
      </w:hyperlink>
    </w:p>
    <w:p>
      <w:pPr>
        <w:pStyle w:val="TOC2"/>
        <w:tabs>
          <w:tab w:val="right" w:leader="dot" w:pos="8306"/>
        </w:tabs>
      </w:pPr>
      <w:hyperlink w:anchor="_Toc18598" w:history="1">
        <w:r>
          <w:rPr>
            <w:rFonts w:ascii="仿宋" w:eastAsia="仿宋" w:hAnsi="仿宋" w:cs="仿宋" w:hint="eastAsia"/>
            <w:lang w:val="en-GB"/>
          </w:rPr>
          <w:t>(一)、环保与社会责任</w:t>
        </w:r>
        <w:r>
          <w:tab/>
        </w:r>
        <w:r>
          <w:fldChar w:fldCharType="begin"/>
        </w:r>
        <w:r>
          <w:instrText xml:space="preserve"> PAGEREF _Toc18598 \h </w:instrText>
        </w:r>
        <w:r>
          <w:fldChar w:fldCharType="separate"/>
        </w:r>
        <w:r>
          <w:t>58</w:t>
        </w:r>
        <w:r>
          <w:fldChar w:fldCharType="end"/>
        </w:r>
      </w:hyperlink>
    </w:p>
    <w:p>
      <w:pPr>
        <w:pStyle w:val="TOC2"/>
        <w:tabs>
          <w:tab w:val="right" w:leader="dot" w:pos="8306"/>
        </w:tabs>
      </w:pPr>
      <w:hyperlink w:anchor="_Toc31922" w:history="1">
        <w:r>
          <w:rPr>
            <w:rFonts w:ascii="仿宋" w:eastAsia="仿宋" w:hAnsi="仿宋" w:cs="仿宋" w:hint="eastAsia"/>
            <w:lang w:val="en-GB"/>
          </w:rPr>
          <w:t>(二)、资源有效利用与循环经济</w:t>
        </w:r>
        <w:r>
          <w:tab/>
        </w:r>
        <w:r>
          <w:fldChar w:fldCharType="begin"/>
        </w:r>
        <w:r>
          <w:instrText xml:space="preserve"> PAGEREF _Toc31922 \h </w:instrText>
        </w:r>
        <w:r>
          <w:fldChar w:fldCharType="separate"/>
        </w:r>
        <w:r>
          <w:t>60</w:t>
        </w:r>
        <w:r>
          <w:fldChar w:fldCharType="end"/>
        </w:r>
      </w:hyperlink>
    </w:p>
    <w:p>
      <w:pPr>
        <w:pStyle w:val="TOC2"/>
        <w:tabs>
          <w:tab w:val="right" w:leader="dot" w:pos="8306"/>
        </w:tabs>
      </w:pPr>
      <w:hyperlink w:anchor="_Toc13477" w:history="1">
        <w:r>
          <w:rPr>
            <w:rFonts w:ascii="仿宋" w:eastAsia="仿宋" w:hAnsi="仿宋" w:cs="仿宋" w:hint="eastAsia"/>
            <w:lang w:val="en-GB"/>
          </w:rPr>
          <w:t>(三)、社会影响与公益活动</w:t>
        </w:r>
        <w:r>
          <w:tab/>
        </w:r>
        <w:r>
          <w:fldChar w:fldCharType="begin"/>
        </w:r>
        <w:r>
          <w:instrText xml:space="preserve"> PAGEREF _Toc13477 \h </w:instrText>
        </w:r>
        <w:r>
          <w:fldChar w:fldCharType="separate"/>
        </w:r>
        <w:r>
          <w:t>61</w:t>
        </w:r>
        <w:r>
          <w:fldChar w:fldCharType="end"/>
        </w:r>
      </w:hyperlink>
    </w:p>
    <w:p>
      <w:pPr>
        <w:pStyle w:val="TOC2"/>
        <w:tabs>
          <w:tab w:val="right" w:leader="dot" w:pos="8306"/>
        </w:tabs>
      </w:pPr>
      <w:hyperlink w:anchor="_Toc15413" w:history="1">
        <w:r>
          <w:rPr>
            <w:rFonts w:ascii="仿宋" w:eastAsia="仿宋" w:hAnsi="仿宋" w:cs="仿宋" w:hint="eastAsia"/>
            <w:lang w:val="en-GB"/>
          </w:rPr>
          <w:t>(四)、可持续供应链与生产模式</w:t>
        </w:r>
        <w:r>
          <w:tab/>
        </w:r>
        <w:r>
          <w:fldChar w:fldCharType="begin"/>
        </w:r>
        <w:r>
          <w:instrText xml:space="preserve"> PAGEREF _Toc15413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5160"/>
      <w:r>
        <w:rPr>
          <w:rFonts w:ascii="仿宋" w:eastAsia="仿宋" w:hAnsi="仿宋" w:cs="仿宋" w:hint="eastAsia"/>
          <w:lang w:val="en-GB"/>
        </w:rPr>
        <w:t>前言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动荡不定的商业环境中，精准的CCD光电荷耦合二极管及其组件市场分析及创新的竞争策略对于企业的生存与发展至关重要。本报告深入调研各种市场因素，如需求动态、供给状况、技术革新及政策限制等，继而构建一套综合的市场分析框架。结合案例研究与数据统计，报告提出了针对性的竞争策略，以指导企业在复杂多变的市场中顺利导航。特此声明，本文档内容不可作为商业用途，仅供学习与交流之用。</w:t>
      </w:r>
    </w:p>
    <w:p>
      <w:pPr>
        <w:pStyle w:val="Heading1"/>
        <w:ind w:firstLine="560" w:firstLineChars="200"/>
        <w:rPr>
          <w:rFonts w:ascii="仿宋" w:eastAsia="仿宋" w:hAnsi="仿宋" w:cs="仿宋" w:hint="eastAsia"/>
          <w:sz w:val="28"/>
          <w:lang w:val="en-GB"/>
        </w:rPr>
      </w:pPr>
      <w:bookmarkStart w:id="2" w:name="_Toc10201"/>
      <w:r>
        <w:rPr>
          <w:rFonts w:ascii="仿宋" w:eastAsia="仿宋" w:hAnsi="仿宋" w:cs="仿宋" w:hint="eastAsia"/>
          <w:sz w:val="28"/>
          <w:lang w:val="en-GB"/>
        </w:rPr>
        <w:t>一、CCD光电荷耦合二极管及其组件行业发展现状</w:t>
      </w:r>
      <w:bookmarkEnd w:id="2"/>
    </w:p>
    <w:p>
      <w:pPr>
        <w:pStyle w:val="Heading2"/>
        <w:rPr>
          <w:rFonts w:ascii="仿宋" w:eastAsia="仿宋" w:hAnsi="仿宋" w:cs="仿宋" w:hint="eastAsia"/>
          <w:lang w:val="en-GB"/>
        </w:rPr>
      </w:pPr>
      <w:bookmarkStart w:id="3" w:name="_Toc10232"/>
      <w:r>
        <w:rPr>
          <w:rFonts w:ascii="仿宋" w:eastAsia="仿宋" w:hAnsi="仿宋" w:cs="仿宋" w:hint="eastAsia"/>
          <w:lang w:val="en-GB"/>
        </w:rPr>
        <w:t>(一)、CCD光电荷耦合二极管及其组件行业整体概况</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市场规模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产值增长趋势： 深入分析市场规模的增长趋势，了解过去几年的发展状况以及未来的预测，以把握市场的潜在机会。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地域分布： 检视市场规模在不同地域的分布情况，是否存在地域性差异，以便企业能够有针对性地调整战略。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新兴市场： 了解新兴市场的发展潜力，是否存在尚未开发的CCD光电荷耦合二极管及其组件市场领域，以确定未来的市场扩张方向。</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主要参与者</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市场份额分析： 深入了解主要参与者的市场份额，以及这些份额的变化趋势，有助于评估企业在竞争中的地位。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企业战略： 分析主要参与者的战略选择，包括产品定位、市场定位、价格策略等，以获取对竞争格局的深入理解。</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并购与合作： 观察企业是否进行并购或合作，以推动市场份额的扩大或获取新的技术和资源。</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竞争形式： 了解竞争是激烈还是相对稳定，是否存在价格竞争、创新竞争等方面的特征。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新进入者： 分析新进入者的威胁程度，了解市场的准入难度，以预测未来的竞争格局。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供应链关系： 考察主要参与者之间的供应链关系，了解其对整个产业链的影响，以及可能的变革。</w:t>
      </w:r>
    </w:p>
    <w:p>
      <w:pPr>
        <w:pStyle w:val="Heading2"/>
        <w:ind w:firstLine="560" w:firstLineChars="200"/>
        <w:rPr>
          <w:rFonts w:ascii="仿宋" w:eastAsia="仿宋" w:hAnsi="仿宋" w:cs="仿宋" w:hint="eastAsia"/>
          <w:sz w:val="28"/>
          <w:lang w:val="en-GB"/>
        </w:rPr>
      </w:pPr>
      <w:bookmarkStart w:id="4" w:name="_Toc27252"/>
      <w:r>
        <w:rPr>
          <w:rFonts w:ascii="仿宋" w:eastAsia="仿宋" w:hAnsi="仿宋" w:cs="仿宋" w:hint="eastAsia"/>
          <w:sz w:val="28"/>
          <w:lang w:val="en-GB"/>
        </w:rPr>
        <w:t>(二)、技术创新与发展</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新技术应用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先进制造技术： 调查CCD光电荷耦合二极管及其组件行业内是否采用了先进的制造技术，例如3D打印、机器人技术，以提高生产效率和产品质量。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智能化解决方案： 观察是否有公司推出智能化解决方案，包括智能城市、智能家居等，以适应社会对智能化的日益增长的需求。</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生物技术： 检视生物技术在CCD光电荷耦合二极管及其组件行业中的应用，例如基因编辑、生物医学工程等，了解其在产品创新和治疗方面的潜在影响。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研发投入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研发预算： 分析CCD光电荷耦合二极管及其组件行业内公司是否增加了研发预算，以确定其对创新的承诺程度，并评估未来技术进步的潜力。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合作与联合研发： 了解公司是否与其他企业、研究机构建立合作关系进行联合研发，以促进创新加速。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创新实验室： 探讨公司是否设立创新实验室，以加速新技术的研发和实际应用。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数字化转型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数据分析和挖掘： 了解公司是否利用大数据分析和挖掘技术，以获取洞察和优化决策过程。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云计算与边缘计算： 考察是否有公司采用云计算和边缘计算，以提高数据存储和处理的效率。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物联网应用： 检视物联网在CCD光电荷耦合二极管及其组件行业内的应用，例如智能传感器、连接设备，以提高生产、管理和服务的智能化水平。</w:t>
      </w:r>
    </w:p>
    <w:p>
      <w:pPr>
        <w:pStyle w:val="Heading2"/>
        <w:ind w:firstLine="560" w:firstLineChars="200"/>
        <w:rPr>
          <w:rFonts w:ascii="仿宋" w:eastAsia="仿宋" w:hAnsi="仿宋" w:cs="仿宋" w:hint="eastAsia"/>
          <w:sz w:val="28"/>
          <w:lang w:val="en-GB"/>
        </w:rPr>
      </w:pPr>
      <w:bookmarkStart w:id="5" w:name="_Toc15655"/>
      <w:r>
        <w:rPr>
          <w:rFonts w:ascii="仿宋" w:eastAsia="仿宋" w:hAnsi="仿宋" w:cs="仿宋" w:hint="eastAsia"/>
          <w:sz w:val="28"/>
          <w:lang w:val="en-GB"/>
        </w:rPr>
        <w:t>(三)、政策与法规</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对于政策与法规方面，公司将密切关注并积极应对各项变化：</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1.</w:t>
      </w:r>
      <w:r>
        <w:rPr>
          <w:rFonts w:ascii="仿宋" w:eastAsia="仿宋" w:hAnsi="仿宋" w:cs="仿宋" w:hint="eastAsia"/>
          <w:sz w:val="28"/>
          <w:lang w:val="en-GB"/>
        </w:rPr>
        <w:t xml:space="preserve"> 支持政策响应计划：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将建立政策研究团队，定期关注政府发布的各类支持CCD光电荷耦合二极管及其组件行业发展的政策。一旦有相关政策出台，公司将及时评估对业务的影响，并制定相应的响应计划。这可能包括调整生产布局、优化产品结构，以充分利用政策红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环保法规合规策略： 公司将建立环保合规管理体系，确保生产活动符合国家和地方的环保法规要求。通过引入清洁生产技术、提高资源利用效率，公司将努力降低环境污染和资源浪费。定期进行内部环保合规审核，及时发现和纠正潜在的环保风险，确保公司在法规框架内合法经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监管趋势预测机制： 公司将建立监管趋势监测机制，及时收集监管部门发布的各类信息，了解CCD光电荷耦合二极管及其组件行业监管的动态。与专业法律团队合作，进行法规解读和趋势预测，以便公司在法规调整前能够提前做好准备。同时，公司将积极参与CCD光电荷耦合二极管及其组件行业协会，通过协会渠道获取更多关于政策和法规的信息，保持敏感度和应变能力。</w:t>
      </w:r>
    </w:p>
    <w:p>
      <w:pPr>
        <w:pStyle w:val="Heading2"/>
        <w:ind w:firstLine="560" w:firstLineChars="200"/>
        <w:rPr>
          <w:rFonts w:ascii="仿宋" w:eastAsia="仿宋" w:hAnsi="仿宋" w:cs="仿宋" w:hint="eastAsia"/>
          <w:sz w:val="28"/>
          <w:lang w:val="en-GB"/>
        </w:rPr>
      </w:pPr>
      <w:bookmarkStart w:id="6" w:name="_Toc3726"/>
      <w:r>
        <w:rPr>
          <w:rFonts w:ascii="仿宋" w:eastAsia="仿宋" w:hAnsi="仿宋" w:cs="仿宋" w:hint="eastAsia"/>
          <w:sz w:val="28"/>
          <w:lang w:val="en-GB"/>
        </w:rPr>
        <w:t>(四)、消费者需求变化</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在深入了解企业制定战略时必须考虑的消费者需求变化的基础上，下面是对这三个方面的进一步扩充：</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消费升级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体验式购物： 消费者是否更加追求购物体验，例如通过虚拟现实(VR)或增强现实(AR)技术来丰富他们的购物过程。企业是否能够提供令人难忘的消费体验以满足这一趋势。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个性化定制的深度</w:t>
      </w:r>
      <w:r>
        <w:rPr>
          <w:rFonts w:ascii="仿宋" w:eastAsia="仿宋" w:hAnsi="仿宋" w:cs="仿宋" w:hint="eastAsia"/>
          <w:sz w:val="28"/>
          <w:lang w:val="en-GB"/>
        </w:rPr>
        <w:t>：</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https://d.book118.com/335303201202011100</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CCD光电荷耦合二极管及其组件战略市场规划报告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CCD光电荷耦合二极管及其组件战略市场规划报告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CCD光电荷耦合二极管及其组件战略市场规划报告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CCD光电荷耦合二极管及其组件战略市场规划报告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CCD光电荷耦合二极管及其组件战略市场规划报告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CCD光电荷耦合二极管及其组件战略市场规划报告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CCD光电荷耦合二极管及其组件战略市场规划报告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9A73D6"/>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59A73D6"/>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35303201202011100"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2024-01-09T03:00:00Z</dcterms:created>
  <dcterms:modified xsi:type="dcterms:W3CDTF">2024-01-09T03:00:30Z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5C069100992D48D3858CFE105BBB1B4F_11</vt:lpwstr>
  </property>
  <property fmtid="{D5CDD505-2E9C-101B-9397-08002B2CF9AE}" pid="3" name="KSOProductBuildVer">
    <vt:lpwstr>2052-12.1.0.16120</vt:lpwstr>
  </property>
</Properties>
</file>