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bidi w:val="0"/>
        <w:jc w:val="center"/>
        <w:rPr>
          <w:sz w:val="44"/>
          <w:szCs w:val="44"/>
        </w:rPr>
      </w:pPr>
      <w:r>
        <w:rPr>
          <w:sz w:val="44"/>
          <w:szCs w:val="44"/>
        </w:rPr>
        <w:t>2024</w:t>
      </w:r>
      <w:r>
        <w:rPr>
          <w:rFonts w:hint="eastAsia"/>
          <w:sz w:val="44"/>
          <w:szCs w:val="44"/>
          <w:lang w:eastAsia="zh-CN"/>
        </w:rPr>
        <w:t>年高考语文</w:t>
      </w:r>
      <w:r>
        <w:rPr>
          <w:sz w:val="44"/>
          <w:szCs w:val="44"/>
        </w:rPr>
        <w:t>九省联考语文试题</w:t>
      </w:r>
      <w:r>
        <w:rPr>
          <w:rFonts w:hint="eastAsia"/>
          <w:sz w:val="44"/>
          <w:szCs w:val="44"/>
          <w:lang w:eastAsia="zh-CN"/>
        </w:rPr>
        <w:t>及解析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Style w:val="Strong"/>
          <w:rFonts w:ascii="宋体" w:eastAsia="宋体" w:hAnsi="宋体" w:cs="宋体" w:hint="eastAsia"/>
          <w:color w:val="8063C2"/>
          <w:sz w:val="30"/>
          <w:szCs w:val="30"/>
          <w:bdr w:val="none" w:sz="0" w:space="0" w:color="auto"/>
        </w:rPr>
        <w:t>一、现代文阅读（</w:t>
      </w:r>
      <w:r>
        <w:rPr>
          <w:rStyle w:val="Strong"/>
          <w:rFonts w:ascii="Times New Roman" w:hAnsi="Times New Roman" w:cs="Times New Roman" w:hint="default"/>
          <w:color w:val="8063C2"/>
          <w:sz w:val="30"/>
          <w:szCs w:val="30"/>
          <w:bdr w:val="none" w:sz="0" w:space="0" w:color="auto"/>
        </w:rPr>
        <w:t>35</w:t>
      </w:r>
      <w:r>
        <w:rPr>
          <w:rStyle w:val="Strong"/>
          <w:rFonts w:ascii="宋体" w:eastAsia="宋体" w:hAnsi="宋体" w:cs="宋体" w:hint="eastAsia"/>
          <w:color w:val="8063C2"/>
          <w:sz w:val="30"/>
          <w:szCs w:val="30"/>
          <w:bdr w:val="none" w:sz="0" w:space="0" w:color="auto"/>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Style w:val="Strong"/>
          <w:rFonts w:ascii="宋体" w:eastAsia="宋体" w:hAnsi="宋体" w:cs="宋体" w:hint="eastAsia"/>
          <w:color w:val="8063C2"/>
          <w:sz w:val="30"/>
          <w:szCs w:val="30"/>
          <w:bdr w:val="none" w:sz="0" w:space="0" w:color="auto"/>
        </w:rPr>
        <w:t>（一）现代文阅读I（本题共</w:t>
      </w:r>
      <w:r>
        <w:rPr>
          <w:rStyle w:val="Strong"/>
          <w:rFonts w:ascii="Times New Roman" w:hAnsi="Times New Roman" w:cs="Times New Roman" w:hint="default"/>
          <w:color w:val="8063C2"/>
          <w:sz w:val="30"/>
          <w:szCs w:val="30"/>
          <w:bdr w:val="none" w:sz="0" w:space="0" w:color="auto"/>
        </w:rPr>
        <w:t>5</w:t>
      </w:r>
      <w:r>
        <w:rPr>
          <w:rStyle w:val="Strong"/>
          <w:rFonts w:ascii="宋体" w:eastAsia="宋体" w:hAnsi="宋体" w:cs="宋体" w:hint="eastAsia"/>
          <w:color w:val="8063C2"/>
          <w:sz w:val="30"/>
          <w:szCs w:val="30"/>
          <w:bdr w:val="none" w:sz="0" w:space="0" w:color="auto"/>
        </w:rPr>
        <w:t>小题，</w:t>
      </w:r>
      <w:r>
        <w:rPr>
          <w:rStyle w:val="Strong"/>
          <w:rFonts w:ascii="Times New Roman" w:hAnsi="Times New Roman" w:cs="Times New Roman" w:hint="default"/>
          <w:color w:val="8063C2"/>
          <w:sz w:val="30"/>
          <w:szCs w:val="30"/>
          <w:bdr w:val="none" w:sz="0" w:space="0" w:color="auto"/>
        </w:rPr>
        <w:t>18</w:t>
      </w:r>
      <w:r>
        <w:rPr>
          <w:rStyle w:val="Strong"/>
          <w:rFonts w:ascii="宋体" w:eastAsia="宋体" w:hAnsi="宋体" w:cs="宋体" w:hint="eastAsia"/>
          <w:color w:val="8063C2"/>
          <w:sz w:val="30"/>
          <w:szCs w:val="30"/>
          <w:bdr w:val="none" w:sz="0" w:space="0" w:color="auto"/>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宋体" w:eastAsia="宋体" w:hAnsi="宋体" w:cs="宋体" w:hint="eastAsia"/>
          <w:color w:val="8063C2"/>
          <w:sz w:val="30"/>
          <w:szCs w:val="30"/>
          <w:bdr w:val="none" w:sz="0" w:space="0" w:color="auto"/>
        </w:rPr>
        <w:t>阅读下面的文字，完成下面小题。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宋体" w:eastAsia="宋体" w:hAnsi="宋体" w:cs="宋体" w:hint="eastAsia"/>
          <w:color w:val="8063C2"/>
          <w:sz w:val="30"/>
          <w:szCs w:val="30"/>
          <w:bdr w:val="none" w:sz="0" w:space="0" w:color="auto"/>
        </w:rPr>
        <w:t>材</w:t>
      </w:r>
      <w:r>
        <w:rPr>
          <w:rFonts w:ascii="楷体" w:eastAsia="楷体" w:hAnsi="楷体" w:cs="楷体"/>
          <w:color w:val="8063C2"/>
          <w:sz w:val="30"/>
          <w:szCs w:val="30"/>
          <w:bdr w:val="none" w:sz="0" w:space="0" w:color="auto"/>
        </w:rPr>
        <w:t>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游牧地带是游牧生活与草原环境相互结合的产物。中国境内属于游牧地带的范围很广，除了位于大兴安岭以东的西辽河流域外，几乎北纬</w:t>
      </w:r>
      <w:r>
        <w:rPr>
          <w:rFonts w:ascii="Times New Roman" w:hAnsi="Times New Roman" w:cs="Times New Roman" w:hint="default"/>
          <w:color w:val="8063C2"/>
          <w:sz w:val="30"/>
          <w:szCs w:val="30"/>
          <w:bdr w:val="none" w:sz="0" w:space="0" w:color="auto"/>
        </w:rPr>
        <w:t>40</w:t>
      </w:r>
      <w:r>
        <w:rPr>
          <w:rFonts w:ascii="楷体" w:eastAsia="楷体" w:hAnsi="楷体" w:cs="楷体" w:hint="eastAsia"/>
          <w:color w:val="8063C2"/>
          <w:sz w:val="30"/>
          <w:szCs w:val="30"/>
          <w:bdr w:val="none" w:sz="0" w:space="0" w:color="auto"/>
        </w:rPr>
        <w:t>°以北、大兴安岭以西的草原地带也都可以成为游牧民族的家园。草原游牧地带经蒙古高原、天山南北、青藏高原一直伸向欧亚大陆的腹地，成为世界上最广远的绿色长廊。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地学研究成果指出，推动畜牧业从原始农业分离出来的动力是气候变迁。距今</w:t>
      </w:r>
      <w:r>
        <w:rPr>
          <w:rFonts w:ascii="Times New Roman" w:hAnsi="Times New Roman" w:cs="Times New Roman" w:hint="default"/>
          <w:color w:val="8063C2"/>
          <w:sz w:val="30"/>
          <w:szCs w:val="30"/>
          <w:bdr w:val="none" w:sz="0" w:space="0" w:color="auto"/>
        </w:rPr>
        <w:t>3500</w:t>
      </w:r>
      <w:r>
        <w:rPr>
          <w:rFonts w:ascii="楷体" w:eastAsia="楷体" w:hAnsi="楷体" w:cs="楷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3000</w:t>
      </w:r>
      <w:r>
        <w:rPr>
          <w:rFonts w:ascii="楷体" w:eastAsia="楷体" w:hAnsi="楷体" w:cs="楷体" w:hint="eastAsia"/>
          <w:color w:val="8063C2"/>
          <w:sz w:val="30"/>
          <w:szCs w:val="30"/>
          <w:bdr w:val="none" w:sz="0" w:space="0" w:color="auto"/>
        </w:rPr>
        <w:t>年欧亚大陆气候转入冷期，正是冷期的出现，使得畜牧业在对气候变化最敏感的地方从原始农业中分离出来，并在草原环境下发展为游牧方式。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sectPr>
          <w:headerReference w:type="default" r:id="rId5"/>
          <w:footerReference w:type="default" r:id="rId6"/>
          <w:pgSz w:w="11906" w:h="16838"/>
          <w:pgMar w:top="1440" w:right="1800" w:bottom="1440" w:left="1800" w:header="851" w:footer="992" w:gutter="0"/>
          <w:cols w:num="1" w:space="425"/>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成熟的游牧业依托的环境为广袤的草原，而它的萌生地却在农牧交错带。农耕区与畜牧区是依人类经济生活方式而划分的基本区域，介于两者之间的则为农牧交错带。中国北方农牧交错带在环境上具有敏感特征，每当全球或地区出现环境波动时，气温、降水等要素的改变首先发生在自然带的边缘，这些要素又会引起植被、土壤等相应变化，进而推动整个地区从一种自然带属性向另一种自然带属性转变。由于农、牧业生产依托的环境不同，农牧交错带的敏感特征也会影响史前人类的经济生活方式，促使人们从一种生产类型转向另一种生产类型。随着这一地区自然带属性的更移，人类首先打破原始农业</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一统天下</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的局面，在原始农业基础上萌生了畜牧业，然后渐次形成独立于农耕业的畜牧业。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萌生于原始农业的畜牧业，并不具备迁移特征，属于放养型畜牧业，游牧型畜牧业（游牧业）则晚于放养型畜牧业。只有游牧业出现，畜牧业才真正从原始农业中分离出来，形成独立的生产部门。迁移是游牧生活的基本特征，因此驯化马匹，发明控制牲畜行动、适应频繁迁徙的用具，是摆脱定居农业，迈向游牧生涯的关键。马具是推动牧人与畜群走向草原的物质依托，从人们跃上马背的那一刻起，广袤的草原就成为他们的舞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全新世温暖期结束之后，气候转冷、转干的地区不只限于中国北方。目前已有研究证明，在气候变迁的大背景下，欧亚草原的人们不约而同地作出了选择；放弃原始农业，融入逐水草而居的游牧生活。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（摘编自韩茂莉《中国历史地理十五讲》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sectPr>
          <w:headerReference w:type="default" r:id="rId7"/>
          <w:footerReference w:type="default" r:id="rId8"/>
          <w:type w:val="nextPage"/>
          <w:pgSz w:w="11906" w:h="16838"/>
          <w:pgMar w:top="1440" w:right="1800" w:bottom="1440" w:left="1800" w:header="851" w:footer="992" w:gutter="0"/>
          <w:pgNumType w:start="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马的驯化赋予人们从不曾拥有的流动能力，人们利用资源的范围一下子扩大了许多，狩猎采集者步行的活动范围大多在两小时步行圈内，一旦人群的规模超过了这个范围内资源的承载力，就会导致饥荒，这也是为什么依赖步行的狩猎采集者很难形成大的社会群体。不过，海岸地带则拥有季节规律不同于陆生资源的水生资源，且有舟楫之便，有条件聚集大量人口，能够形成如北美西北海岸印第安人那样的复杂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马的驯化还让人类第一次真正有可能全面利用草原环境，此前草原因为单位面积的初级生产力（植物生长）比较低，所能支持的次级生产力（动物生长）也比较低，和沙漠、高原、极地等并列为狩猎采集的边缘环境。这个地带的资源密度小，动物群的流动性非常大，狩猎采集者依赖步行是很难维持生计的，这是草原地区石器时代遗存较少的原因之一。马的驯化可以让人类拥有更大的生态空间，这也是草原地带青铜文化在马驯化后兴盛的主要原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游牧业的建立意味着人们进一步依赖驯化动物。牛羊的驯化本来就是游牧业的必要基础。牛一般只吃嫩草，而羊则什么都吃，它们之间构成很好的共生关系。牛羊除提供肉食之外，还能提供大量的奶制品，仅仅依赖肉食，游牧是不能满足生计需要的。马与很早就驯化的狗则为大范围流动放牧提供了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sectPr>
          <w:headerReference w:type="default" r:id="rId9"/>
          <w:footerReference w:type="default" r:id="rId10"/>
          <w:type w:val="nextPage"/>
          <w:pgSz w:w="11906" w:h="16838"/>
          <w:pgMar w:top="1440" w:right="1800" w:bottom="1440" w:left="1800" w:header="851" w:footer="992" w:gutter="0"/>
          <w:pgNumType w:start="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畜牧意味着社会中进行农耕和负责放牧的劳动力的分化，游牧则意味着人们彻底放弃了农耕，但游牧并不是一种完全自给自足的生计方式，而是需要通过交换从农耕者那里获得金属工具、纺织品、粮食等必需生活资料。燕山-长城南北地区生计方式的分化不仅表现为农牧并重的经济与游牧业的产生，还表现为旱作农业系统的真正建立。这一地区种植的作物以黍、粟为主，尤以黍为重，因为黍比粟更适应干旱与寒冷的环境。构成旱作农业系统的另一种农作物是大豆，它是蛋白质和脂肪的重要来源，而且种植大豆与其他豆类都有养地的作用。有研究认为，大豆的驯化始于公元前</w:t>
      </w:r>
      <w:r>
        <w:rPr>
          <w:rFonts w:ascii="Times New Roman" w:hAnsi="Times New Roman" w:cs="Times New Roman" w:hint="default"/>
          <w:color w:val="8063C2"/>
          <w:sz w:val="30"/>
          <w:szCs w:val="30"/>
          <w:bdr w:val="none" w:sz="0" w:space="0" w:color="auto"/>
        </w:rPr>
        <w:t>1100</w:t>
      </w:r>
      <w:r>
        <w:rPr>
          <w:rFonts w:ascii="楷体" w:eastAsia="楷体" w:hAnsi="楷体" w:cs="楷体" w:hint="eastAsia"/>
          <w:color w:val="8063C2"/>
          <w:sz w:val="30"/>
          <w:szCs w:val="30"/>
          <w:bdr w:val="none" w:sz="0" w:space="0" w:color="auto"/>
        </w:rPr>
        <w:t>年左右，燕山-长城南北地区则可能是最早驯化、种植大豆的地区之一。正因为有大豆的种植，传统的旱作农业系统得以完成。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楷体" w:eastAsia="楷体" w:hAnsi="楷体" w:cs="楷体" w:hint="eastAsia"/>
          <w:color w:val="8063C2"/>
          <w:sz w:val="30"/>
          <w:szCs w:val="30"/>
          <w:bdr w:val="none" w:sz="0" w:space="0" w:color="auto"/>
        </w:rPr>
        <w:t>（摘编自陈胜前《燕山-长城南北地区史前文化的适应变迁》）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Times New Roman" w:hAnsi="Times New Roman" w:cs="Times New Roman" w:hint="default"/>
          <w:color w:val="8063C2"/>
          <w:sz w:val="30"/>
          <w:szCs w:val="30"/>
          <w:bdr w:val="none" w:sz="0" w:space="0" w:color="auto"/>
        </w:rPr>
        <w:t>1. </w:t>
      </w:r>
      <w:r>
        <w:rPr>
          <w:rFonts w:ascii="宋体" w:eastAsia="宋体" w:hAnsi="宋体" w:cs="宋体" w:hint="eastAsia"/>
          <w:color w:val="8063C2"/>
          <w:sz w:val="30"/>
          <w:szCs w:val="30"/>
          <w:bdr w:val="none" w:sz="0" w:space="0" w:color="auto"/>
        </w:rPr>
        <w:t>下列对材料相关内容的理解和分析，不正确的一项是（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从产生的时间先后来看，原始农业早于游牧型畜牧业，后者又早于放养型畜牧业。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依赖步行的狩猎采集者在草原、沙漠、高原、极地都很难维持生计。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w:t>
      </w:r>
      <w:r>
        <w:rPr>
          <w:rFonts w:ascii="宋体" w:eastAsia="宋体" w:hAnsi="宋体" w:cs="宋体" w:hint="eastAsia"/>
          <w:color w:val="8063C2"/>
          <w:sz w:val="30"/>
          <w:szCs w:val="30"/>
          <w:bdr w:val="none" w:sz="0" w:space="0" w:color="auto"/>
        </w:rPr>
        <w:t>对于游牧者来说，金属工具、纺织品和粮食属于难以自给自足的生活资料。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在驯化、种植大豆之前，燕山-长城南北地区旱作农业系统尚未完全建立。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Times New Roman" w:hAnsi="Times New Roman" w:cs="Times New Roman" w:hint="default"/>
          <w:color w:val="8063C2"/>
          <w:sz w:val="30"/>
          <w:szCs w:val="30"/>
          <w:bdr w:val="none" w:sz="0" w:space="0" w:color="auto"/>
        </w:rPr>
        <w:t>2. </w:t>
      </w:r>
      <w:r>
        <w:rPr>
          <w:rFonts w:ascii="宋体" w:eastAsia="宋体" w:hAnsi="宋体" w:cs="宋体" w:hint="eastAsia"/>
          <w:color w:val="8063C2"/>
          <w:sz w:val="30"/>
          <w:szCs w:val="30"/>
          <w:bdr w:val="none" w:sz="0" w:space="0" w:color="auto"/>
        </w:rPr>
        <w:t>根据材料内容，下列说法正确的一项是（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大兴安岭处于西辽河流域与欧亚大陆的草原地带之间，导致西辽河流域不具备“逐水草而居”的游牧生活条件。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全新世温暖期结束后气候普遍变得干冷，使得游牧业一经产生就从中国北方农牧交错带扩散到整个欧亚草原。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w:t>
      </w:r>
      <w:r>
        <w:rPr>
          <w:rFonts w:ascii="宋体" w:eastAsia="宋体" w:hAnsi="宋体" w:cs="宋体" w:hint="eastAsia"/>
          <w:color w:val="8063C2"/>
          <w:sz w:val="30"/>
          <w:szCs w:val="30"/>
          <w:bdr w:val="none" w:sz="0" w:space="0" w:color="auto"/>
        </w:rPr>
        <w:t>北美西北海岸印第安人突破了“两小时步行圈”内资源的承载力的限制，形成了规模较大的复杂社会。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黍比粟更适应燕山-长城南北地区干旱与寒冷的环境，因此这一地区的游牧者从农耕者那里换取粮食时更看重黍。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Times New Roman" w:hAnsi="Times New Roman" w:cs="Times New Roman" w:hint="default"/>
          <w:color w:val="8063C2"/>
          <w:sz w:val="30"/>
          <w:szCs w:val="30"/>
          <w:bdr w:val="none" w:sz="0" w:space="0" w:color="auto"/>
        </w:rPr>
        <w:t>3. </w:t>
      </w:r>
      <w:r>
        <w:rPr>
          <w:rFonts w:ascii="宋体" w:eastAsia="宋体" w:hAnsi="宋体" w:cs="宋体" w:hint="eastAsia"/>
          <w:color w:val="8063C2"/>
          <w:sz w:val="30"/>
          <w:szCs w:val="30"/>
          <w:bdr w:val="none" w:sz="0" w:space="0" w:color="auto"/>
        </w:rPr>
        <w:t>下列选项，适合作为论据来支撑材料一关于游牧业起源观点的一项是（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《史记·匈奴列传》记载，匈奴“随畜牧而转移，……然亦各有分地。毋文书，以言语为约束”。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在我国北方农牧交错带距今</w:t>
      </w:r>
      <w:r>
        <w:rPr>
          <w:rFonts w:ascii="Times New Roman" w:hAnsi="Times New Roman" w:cs="Times New Roman" w:hint="default"/>
          <w:color w:val="8063C2"/>
          <w:sz w:val="30"/>
          <w:szCs w:val="30"/>
          <w:bdr w:val="none" w:sz="0" w:space="0" w:color="auto"/>
        </w:rPr>
        <w:t>3000</w:t>
      </w:r>
      <w:r>
        <w:rPr>
          <w:rFonts w:ascii="宋体" w:eastAsia="宋体" w:hAnsi="宋体" w:cs="宋体" w:hint="eastAsia"/>
          <w:color w:val="8063C2"/>
          <w:sz w:val="30"/>
          <w:szCs w:val="30"/>
          <w:bdr w:val="none" w:sz="0" w:space="0" w:color="auto"/>
        </w:rPr>
        <w:t>年左右的一处遗址中，考古学家既发现了大量牛羊骨骼，也发现了不少农具。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400</w:t>
      </w:r>
      <w:r>
        <w:rPr>
          <w:rFonts w:ascii="宋体" w:eastAsia="宋体" w:hAnsi="宋体" w:cs="宋体" w:hint="eastAsia"/>
          <w:color w:val="8063C2"/>
          <w:sz w:val="30"/>
          <w:szCs w:val="30"/>
          <w:bdr w:val="none" w:sz="0" w:space="0" w:color="auto"/>
        </w:rPr>
        <w:t>毫米年降雨量是农耕生产对水资源需求的底线，中国年降雨量</w:t>
      </w:r>
      <w:r>
        <w:rPr>
          <w:rFonts w:ascii="Times New Roman" w:hAnsi="Times New Roman" w:cs="Times New Roman" w:hint="default"/>
          <w:color w:val="8063C2"/>
          <w:sz w:val="30"/>
          <w:szCs w:val="30"/>
          <w:bdr w:val="none" w:sz="0" w:space="0" w:color="auto"/>
        </w:rPr>
        <w:t>400</w:t>
      </w:r>
      <w:r>
        <w:rPr>
          <w:rFonts w:ascii="宋体" w:eastAsia="宋体" w:hAnsi="宋体" w:cs="宋体" w:hint="eastAsia"/>
          <w:color w:val="8063C2"/>
          <w:sz w:val="30"/>
          <w:szCs w:val="30"/>
          <w:bdr w:val="none" w:sz="0" w:space="0" w:color="auto"/>
        </w:rPr>
        <w:t>毫米等值线东段与明长城走向极为相似。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《辽史·地理志》记载，辽上京一带为“太祖创业之地。负山抱海，……地沃宜耕植，水草便畜牧”。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Times New Roman" w:hAnsi="Times New Roman" w:cs="Times New Roman" w:hint="default"/>
          <w:color w:val="8063C2"/>
          <w:sz w:val="30"/>
          <w:szCs w:val="30"/>
          <w:bdr w:val="none" w:sz="0" w:space="0" w:color="auto"/>
        </w:rPr>
        <w:t>4. </w:t>
      </w:r>
      <w:r>
        <w:rPr>
          <w:rFonts w:ascii="宋体" w:eastAsia="宋体" w:hAnsi="宋体" w:cs="宋体" w:hint="eastAsia"/>
          <w:color w:val="8063C2"/>
          <w:sz w:val="30"/>
          <w:szCs w:val="30"/>
          <w:bdr w:val="none" w:sz="0" w:space="0" w:color="auto"/>
        </w:rPr>
        <w:t>根据材料二内容，下列选项对下面这幅图表的解读不恰当的一项是（   ）</w:t>
      </w:r>
    </w:p>
    <w:tbl>
      <w:tblPr>
        <w:tblStyle w:val="TableNormal"/>
        <w:tblW w:w="480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
      <w:tblGrid>
        <w:gridCol w:w="1437"/>
        <w:gridCol w:w="1819"/>
        <w:gridCol w:w="1544"/>
      </w:tblGrid>
      <w:tr>
        <w:tblPrEx>
          <w:tblW w:w="480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Ex>
        <w:tc>
          <w:tcPr>
            <w:tcW w:w="1665" w:type="dxa"/>
            <w:tcBorders>
              <w:top w:val="single" w:sz="8" w:space="0" w:color="000000"/>
              <w:left w:val="single" w:sz="8" w:space="0" w:color="000000"/>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宋体" w:eastAsia="宋体" w:hAnsi="宋体" w:cs="宋体" w:hint="eastAsia"/>
                <w:color w:val="8063C2"/>
                <w:sz w:val="30"/>
                <w:szCs w:val="30"/>
                <w:bdr w:val="none" w:sz="0" w:space="0" w:color="auto"/>
              </w:rPr>
              <w:t>气温条件</w:t>
            </w:r>
          </w:p>
        </w:tc>
        <w:tc>
          <w:tcPr>
            <w:tcW w:w="2145" w:type="dxa"/>
            <w:tcBorders>
              <w:top w:val="single" w:sz="8" w:space="0" w:color="000000"/>
              <w:left w:val="nil"/>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宋体" w:eastAsia="宋体" w:hAnsi="宋体" w:cs="宋体" w:hint="eastAsia"/>
                <w:color w:val="8063C2"/>
                <w:sz w:val="30"/>
                <w:szCs w:val="30"/>
                <w:bdr w:val="none" w:sz="0" w:space="0" w:color="auto"/>
              </w:rPr>
              <w:t>燕山-长城南北地区史前文化及存续期</w:t>
            </w:r>
          </w:p>
        </w:tc>
        <w:tc>
          <w:tcPr>
            <w:tcW w:w="1800" w:type="dxa"/>
            <w:tcBorders>
              <w:top w:val="single" w:sz="8" w:space="0" w:color="000000"/>
              <w:left w:val="nil"/>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宋体" w:eastAsia="宋体" w:hAnsi="宋体" w:cs="宋体" w:hint="eastAsia"/>
                <w:color w:val="8063C2"/>
                <w:sz w:val="30"/>
                <w:szCs w:val="30"/>
                <w:bdr w:val="none" w:sz="0" w:space="0" w:color="auto"/>
              </w:rPr>
              <w:t>生计方式</w:t>
            </w:r>
          </w:p>
        </w:tc>
      </w:tr>
      <w:tr>
        <w:tblPrEx>
          <w:tblW w:w="4800" w:type="dxa"/>
          <w:tblInd w:w="0" w:type="dxa"/>
          <w:shd w:val="clear" w:color="auto" w:fill="auto"/>
          <w:tblCellMar>
            <w:top w:w="0" w:type="dxa"/>
            <w:left w:w="0" w:type="dxa"/>
            <w:bottom w:w="0" w:type="dxa"/>
            <w:right w:w="0" w:type="dxa"/>
          </w:tblCellMar>
        </w:tblPrEx>
        <w:tc>
          <w:tcPr>
            <w:tcW w:w="1665" w:type="dxa"/>
            <w:tcBorders>
              <w:top w:val="nil"/>
              <w:left w:val="single" w:sz="8" w:space="0" w:color="000000"/>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Times New Roman" w:hAnsi="Times New Roman" w:cs="Times New Roman" w:hint="default"/>
                <w:color w:val="8063C2"/>
                <w:sz w:val="30"/>
                <w:szCs w:val="30"/>
                <w:bdr w:val="none" w:sz="0" w:space="0" w:color="auto"/>
              </w:rPr>
              <w:t> </w:t>
            </w:r>
          </w:p>
        </w:tc>
        <w:tc>
          <w:tcPr>
            <w:tcW w:w="2145" w:type="dxa"/>
            <w:tcBorders>
              <w:top w:val="nil"/>
              <w:left w:val="nil"/>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Times New Roman" w:hAnsi="Times New Roman" w:cs="Times New Roman" w:hint="default"/>
                <w:color w:val="8063C2"/>
                <w:sz w:val="30"/>
                <w:szCs w:val="30"/>
                <w:bdr w:val="none" w:sz="0" w:space="0" w:color="auto"/>
              </w:rPr>
              <w:t> </w:t>
            </w:r>
          </w:p>
        </w:tc>
        <w:tc>
          <w:tcPr>
            <w:tcW w:w="1800" w:type="dxa"/>
            <w:tcBorders>
              <w:top w:val="nil"/>
              <w:left w:val="nil"/>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宋体" w:eastAsia="宋体" w:hAnsi="宋体" w:cs="宋体" w:hint="eastAsia"/>
                <w:color w:val="8063C2"/>
                <w:sz w:val="30"/>
                <w:szCs w:val="30"/>
                <w:bdr w:val="none" w:sz="0" w:space="0" w:color="auto"/>
              </w:rPr>
              <w:t>农牧并重</w:t>
            </w:r>
          </w:p>
        </w:tc>
      </w:tr>
    </w:tbl>
    <w:p>
      <w:pPr>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pPr>
    </w:p>
    <w:tbl>
      <w:tblPr>
        <w:tblStyle w:val="TableNormal"/>
        <w:tblW w:w="480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
      <w:tblGrid>
        <w:gridCol w:w="1437"/>
        <w:gridCol w:w="1819"/>
        <w:gridCol w:w="1544"/>
      </w:tblGrid>
      <w:tr>
        <w:tblPrEx>
          <w:tblW w:w="4800"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CellMar>
            <w:top w:w="0" w:type="dxa"/>
            <w:left w:w="0" w:type="dxa"/>
            <w:bottom w:w="0" w:type="dxa"/>
            <w:right w:w="0" w:type="dxa"/>
          </w:tblCellMar>
        </w:tblPrEx>
        <w:tc>
          <w:tcPr>
            <w:tcW w:w="1665" w:type="dxa"/>
            <w:tcBorders>
              <w:top w:val="nil"/>
              <w:left w:val="single" w:sz="8" w:space="0" w:color="000000"/>
              <w:bottom w:val="single" w:sz="8" w:space="0" w:color="000000"/>
              <w:right w:val="single" w:sz="8" w:space="0" w:color="000000"/>
            </w:tcBorders>
            <w:shd w:val="clear" w:color="auto" w:fill="auto"/>
            <w:tcMar>
              <w:top w:w="75" w:type="dxa"/>
              <w:left w:w="120" w:type="dxa"/>
              <w:bottom w:w="75" w:type="dxa"/>
              <w:right w:w="120" w:type="dxa"/>
            </w:tcMar>
            <w:vAlign w:val="center"/>
          </w:tcPr>
          <w:p/>
        </w:tc>
        <w:tc>
          <w:tcPr>
            <w:tcW w:w="2145" w:type="dxa"/>
            <w:tcBorders>
              <w:top w:val="nil"/>
              <w:left w:val="nil"/>
              <w:bottom w:val="single" w:sz="8" w:space="0" w:color="000000"/>
              <w:right w:val="single" w:sz="8" w:space="0" w:color="000000"/>
            </w:tcBorders>
            <w:shd w:val="clear" w:color="auto" w:fill="auto"/>
            <w:tcMar>
              <w:top w:w="75" w:type="dxa"/>
              <w:left w:w="120" w:type="dxa"/>
              <w:bottom w:w="75" w:type="dxa"/>
              <w:right w:w="120" w:type="dxa"/>
            </w:tcMar>
            <w:vAlign w:val="center"/>
          </w:tcPr>
          <w:p/>
        </w:tc>
        <w:tc>
          <w:tcPr>
            <w:tcW w:w="1800" w:type="dxa"/>
            <w:tcBorders>
              <w:top w:val="nil"/>
              <w:left w:val="nil"/>
              <w:bottom w:val="single" w:sz="8" w:space="0" w:color="000000"/>
              <w:right w:val="single" w:sz="8" w:space="0" w:color="000000"/>
            </w:tcBorders>
            <w:shd w:val="clear" w:color="auto" w:fill="auto"/>
            <w:tcMar>
              <w:top w:w="75" w:type="dxa"/>
              <w:left w:w="120" w:type="dxa"/>
              <w:bottom w:w="75" w:type="dxa"/>
              <w:right w:w="120" w:type="dxa"/>
            </w:tcMar>
            <w:vAlign w:val="center"/>
          </w:tcPr>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wordWrap w:val="0"/>
              <w:spacing w:before="0" w:beforeAutospacing="0" w:after="0" w:afterAutospacing="0" w:line="383" w:lineRule="atLeast"/>
              <w:ind w:left="0" w:right="0"/>
              <w:jc w:val="left"/>
            </w:pPr>
            <w:r>
              <w:rPr>
                <w:rFonts w:ascii="宋体" w:eastAsia="宋体" w:hAnsi="宋体" w:cs="宋体" w:hint="eastAsia"/>
                <w:color w:val="8063C2"/>
                <w:sz w:val="30"/>
                <w:szCs w:val="30"/>
                <w:bdr w:val="none" w:sz="0" w:space="0" w:color="auto"/>
              </w:rPr>
              <w:t>农耕</w:t>
            </w:r>
          </w:p>
        </w:tc>
      </w:tr>
    </w:tbl>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文化I存续期内大部分时间里气温偏暖。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文化I存续期内传统的旱作农业系统尚未完成。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w:t>
      </w:r>
      <w:r>
        <w:rPr>
          <w:rFonts w:ascii="宋体" w:eastAsia="宋体" w:hAnsi="宋体" w:cs="宋体" w:hint="eastAsia"/>
          <w:color w:val="8063C2"/>
          <w:sz w:val="30"/>
          <w:szCs w:val="30"/>
          <w:bdr w:val="none" w:sz="0" w:space="0" w:color="auto"/>
        </w:rPr>
        <w:t>文化II存续期内存在着劳动力的分化。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文化Ⅱ存续期内人们主要利用草原环境维持生计。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pPr>
      <w:r>
        <w:rPr>
          <w:rFonts w:ascii="Times New Roman" w:hAnsi="Times New Roman" w:cs="Times New Roman" w:hint="default"/>
          <w:color w:val="8063C2"/>
          <w:sz w:val="30"/>
          <w:szCs w:val="30"/>
          <w:bdr w:val="none" w:sz="0" w:space="0" w:color="auto"/>
        </w:rPr>
        <w:t>5. </w:t>
      </w:r>
      <w:r>
        <w:rPr>
          <w:rFonts w:ascii="宋体" w:eastAsia="宋体" w:hAnsi="宋体" w:cs="宋体" w:hint="eastAsia"/>
          <w:color w:val="8063C2"/>
          <w:sz w:val="30"/>
          <w:szCs w:val="30"/>
          <w:bdr w:val="none" w:sz="0" w:space="0" w:color="auto"/>
        </w:rPr>
        <w:t>哪些因素对欧亚大陆游牧业的产生起了重要作用？请结合材料简要概括。</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【答案】</w:t>
      </w:r>
      <w:r>
        <w:rPr>
          <w:rFonts w:ascii="Times New Roman" w:hAnsi="Times New Roman" w:cs="Times New Roman" w:hint="default"/>
          <w:color w:val="8063C2"/>
          <w:sz w:val="30"/>
          <w:szCs w:val="30"/>
          <w:bdr w:val="none" w:sz="0" w:space="0" w:color="auto"/>
        </w:rPr>
        <w:t>1. A    2. C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3. B 4. D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5. ①</w:t>
      </w:r>
      <w:r>
        <w:rPr>
          <w:rFonts w:ascii="宋体" w:eastAsia="宋体" w:hAnsi="宋体" w:cs="宋体" w:hint="eastAsia"/>
          <w:color w:val="8063C2"/>
          <w:sz w:val="30"/>
          <w:szCs w:val="30"/>
          <w:bdr w:val="none" w:sz="0" w:space="0" w:color="auto"/>
        </w:rPr>
        <w:t>气候波动：欧亚大陆转入冷期，推动与原始农业结合的放养型畜牧业产生；</w:t>
      </w:r>
      <w:r>
        <w:rPr>
          <w:rFonts w:ascii="Times New Roman" w:hAnsi="Times New Roman" w:cs="Times New Roman" w:hint="default"/>
          <w:color w:val="8063C2"/>
          <w:sz w:val="30"/>
          <w:szCs w:val="30"/>
          <w:bdr w:val="none" w:sz="0" w:space="0" w:color="auto"/>
        </w:rPr>
        <w:t>②</w:t>
      </w:r>
      <w:r>
        <w:rPr>
          <w:rFonts w:ascii="宋体" w:eastAsia="宋体" w:hAnsi="宋体" w:cs="宋体" w:hint="eastAsia"/>
          <w:color w:val="8063C2"/>
          <w:sz w:val="30"/>
          <w:szCs w:val="30"/>
          <w:bdr w:val="none" w:sz="0" w:space="0" w:color="auto"/>
        </w:rPr>
        <w:t>农牧交错带的环境敏感性：容易受气候变化的影响转变其自然带属性；</w:t>
      </w:r>
      <w:r>
        <w:rPr>
          <w:rFonts w:ascii="Times New Roman" w:hAnsi="Times New Roman" w:cs="Times New Roman" w:hint="default"/>
          <w:color w:val="8063C2"/>
          <w:sz w:val="30"/>
          <w:szCs w:val="30"/>
          <w:bdr w:val="none" w:sz="0" w:space="0" w:color="auto"/>
        </w:rPr>
        <w:t>③</w:t>
      </w:r>
      <w:r>
        <w:rPr>
          <w:rFonts w:ascii="宋体" w:eastAsia="宋体" w:hAnsi="宋体" w:cs="宋体" w:hint="eastAsia"/>
          <w:color w:val="8063C2"/>
          <w:sz w:val="30"/>
          <w:szCs w:val="30"/>
          <w:bdr w:val="none" w:sz="0" w:space="0" w:color="auto"/>
        </w:rPr>
        <w:t>马的驯化与马具的发明：人类对马的利用，使畜牧业进一步与原始农业分离，成为游牧型畜牧业。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1</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本题考查学生正确理解和分析文章内容的能力。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w:t>
      </w:r>
      <w:r>
        <w:rPr>
          <w:rFonts w:ascii="宋体" w:eastAsia="宋体" w:hAnsi="宋体" w:cs="宋体" w:hint="eastAsia"/>
          <w:color w:val="8063C2"/>
          <w:sz w:val="30"/>
          <w:szCs w:val="30"/>
          <w:bdr w:val="none" w:sz="0" w:space="0" w:color="auto"/>
        </w:rPr>
        <w:t>“后者又早于放养型畜牧业”错，这里的“后者”指游牧型畜牧业，原文“游牧型畜牧业（游牧业）则晚于放养型畜牧业”，可见选项中“早于”说法错误。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15"/>
          <w:footerReference w:type="default" r:id="rId16"/>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A</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2</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本题考查学生筛选并辨析信息的能力。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w:t>
      </w:r>
      <w:r>
        <w:rPr>
          <w:rFonts w:ascii="宋体" w:eastAsia="宋体" w:hAnsi="宋体" w:cs="宋体" w:hint="eastAsia"/>
          <w:color w:val="8063C2"/>
          <w:sz w:val="30"/>
          <w:szCs w:val="30"/>
          <w:bdr w:val="none" w:sz="0" w:space="0" w:color="auto"/>
        </w:rPr>
        <w:t>“西辽河流域不具备‘逐水草而居’的游牧生活条件”错，同时“导致”强加因果。原文“中国境内属于游牧地带的范围很广，除了位于大兴安岭以东的西辽河流域外，几乎北纬40°以北、大兴安岭以西的草原地带也都可以成为游牧民族的家园”，明确说西辽河流域属于游牧地带，看不出西辽河流域不具备“逐水草而居”的游牧生活条件，也看不出这是大兴安岭导致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w:t>
      </w:r>
      <w:r>
        <w:rPr>
          <w:rFonts w:ascii="宋体" w:eastAsia="宋体" w:hAnsi="宋体" w:cs="宋体" w:hint="eastAsia"/>
          <w:color w:val="8063C2"/>
          <w:sz w:val="30"/>
          <w:szCs w:val="30"/>
          <w:bdr w:val="none" w:sz="0" w:space="0" w:color="auto"/>
        </w:rPr>
        <w:t>“游牧业……从中国北方农牧交错带扩散到整个欧亚草原”错，原文“在气候变迁的大背景下，欧亚草原的人们不约而同地作出了选择；放弃原始农业，融入逐水草而居的游牧生活”，可见游牧业并非从中国北方农牧交错带扩散到整个欧亚草原，应该是欧亚草原的人不约而同的选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因此这一地区的游牧者从农耕者那里换取粮食时更看重黍”无中生有。原文只是说“这一地区种植的作物以黍、粟为主，尤以黍为重，因为黍比粟更适应干旱与寒冷的环境”，并未谈到游牧者换取粮食时更看重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C</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3</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本题考查学生分析论点、论据和论证方法的能力。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材料一关于游牧业起源的观点是：推动畜牧业从原始农业分离出来的动力是……使得畜牧业在对气候变化最敏感的地方从原始农业中分离出来，并在草原环境下发展为游牧方式。可见材料一认为游牧业是从原始农业中的畜牧业分离出来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w:t>
      </w:r>
      <w:r>
        <w:rPr>
          <w:rFonts w:ascii="宋体" w:eastAsia="宋体" w:hAnsi="宋体" w:cs="宋体" w:hint="eastAsia"/>
          <w:color w:val="8063C2"/>
          <w:sz w:val="30"/>
          <w:szCs w:val="30"/>
          <w:bdr w:val="none" w:sz="0" w:space="0" w:color="auto"/>
        </w:rPr>
        <w:t>说的是畜牧业的生活方式；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w:t>
      </w:r>
      <w:r>
        <w:rPr>
          <w:rFonts w:ascii="宋体" w:eastAsia="宋体" w:hAnsi="宋体" w:cs="宋体" w:hint="eastAsia"/>
          <w:color w:val="8063C2"/>
          <w:sz w:val="30"/>
          <w:szCs w:val="30"/>
          <w:bdr w:val="none" w:sz="0" w:space="0" w:color="auto"/>
        </w:rPr>
        <w:t>表明此处既有原始农业也有畜牧业，能够体现畜牧业从原始农业逐渐分离出来。可以证明材料一的观点。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w:t>
      </w:r>
      <w:r>
        <w:rPr>
          <w:rFonts w:ascii="宋体" w:eastAsia="宋体" w:hAnsi="宋体" w:cs="宋体" w:hint="eastAsia"/>
          <w:color w:val="8063C2"/>
          <w:sz w:val="30"/>
          <w:szCs w:val="30"/>
          <w:bdr w:val="none" w:sz="0" w:space="0" w:color="auto"/>
        </w:rPr>
        <w:t>表明气候对农业生产的影响；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表明此处既适宜耕种，也适宜放牧。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B</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4</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本题考查学生分析图表的能力。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主要利用草原环境维持生计”错，根据图表信息可知，文化Ⅱ存续期内气温偏冷，而从时间上看，此时是公元前1000年以内，材料二“大豆的驯化始于公元前1100年左右，燕山-长城南北地区则可能是最早驯化、种植大豆的地区之一。正因为有大豆的种植，传统的旱作农业系统得以完成”，可见此时旱作农业系统已经完成，因此人们维持生计的方式应该是农牧兼有，选项所说“主要利用草原环境维持生计”说法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5</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本题考查学生理解文章内容，筛选并整合文中信息的能力。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19"/>
          <w:footerReference w:type="default" r:id="rId20"/>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color w:val="8063C2"/>
          <w:sz w:val="30"/>
          <w:szCs w:val="30"/>
          <w:bdr w:val="none" w:sz="0" w:space="0" w:color="auto"/>
        </w:rPr>
        <w:t>①材料一“地学研究成果指出，推动畜牧业从原始农业分离出来的动力是气候变迁。距今</w:t>
      </w:r>
      <w:r>
        <w:rPr>
          <w:rFonts w:ascii="Times New Roman" w:hAnsi="Times New Roman" w:cs="Times New Roman" w:hint="default"/>
          <w:color w:val="8063C2"/>
          <w:sz w:val="30"/>
          <w:szCs w:val="30"/>
          <w:bdr w:val="none" w:sz="0" w:space="0" w:color="auto"/>
        </w:rPr>
        <w:t> </w:t>
      </w:r>
      <w:r>
        <w:rPr>
          <w:rFonts w:ascii="宋体" w:eastAsia="宋体" w:hAnsi="宋体" w:cs="宋体" w:hint="eastAsia"/>
          <w:color w:val="8063C2"/>
          <w:sz w:val="30"/>
          <w:szCs w:val="30"/>
          <w:bdr w:val="none" w:sz="0" w:space="0" w:color="auto"/>
        </w:rPr>
        <w:t>3500</w:t>
      </w:r>
      <w:r>
        <w:rPr>
          <w:rFonts w:ascii="Times New Roman" w:hAnsi="Times New Roman" w:cs="Times New Roman" w:hint="default"/>
          <w:color w:val="8063C2"/>
          <w:sz w:val="30"/>
          <w:szCs w:val="30"/>
          <w:bdr w:val="none" w:sz="0" w:space="0" w:color="auto"/>
        </w:rPr>
        <w:t> </w:t>
      </w: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 </w:t>
      </w:r>
      <w:r>
        <w:rPr>
          <w:rFonts w:ascii="宋体" w:eastAsia="宋体" w:hAnsi="宋体" w:cs="宋体" w:hint="eastAsia"/>
          <w:color w:val="8063C2"/>
          <w:sz w:val="30"/>
          <w:szCs w:val="30"/>
          <w:bdr w:val="none" w:sz="0" w:space="0" w:color="auto"/>
        </w:rPr>
        <w:t>3000</w:t>
      </w:r>
      <w:r>
        <w:rPr>
          <w:rFonts w:ascii="Times New Roman" w:hAnsi="Times New Roman" w:cs="Times New Roman" w:hint="default"/>
          <w:color w:val="8063C2"/>
          <w:sz w:val="30"/>
          <w:szCs w:val="30"/>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年欧亚大陆气候转入冷期，正是冷期的出现，使得畜牧业在对气候变化最敏感的地方从原始农业中分离出来，并在草原环境下发展为游牧方式”，欧亚大陆转入冷期，推动与原始农业结合的放养型畜牧业产生，可见气候波动对欧亚大陆游牧业的产生起了重要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②材料一“成熟的游牧业依托的环境为广袤的草原，而它的萌生地却在农牧交错带”“中国北方农牧交错带在环境上具有敏感特征，每当全球或地区出现环境波动时，气温、降水等要素的改变首先发生在自然带的边缘，这些要素又会引起植被、土壤等相应变化，进而推动整个地区从一种自然带属性向另一种自然带属性转变”“农牧交错带的敏感特征也会影响史前人类的经济生活方式，促使人们从一种生产类型转向另一种生产类型。随着这一地区自然带属性的更移，人类首先打破原始农业‘一统天下’的局面，在原始农业基础上萌生了畜牧业，然后渐次形成独立于农耕业的畜牧业”，农牧交错带的环境敏感性，容易受气候变化的影响转变其自然带属性，进而影响到生产类型，可见农牧交错带的环境敏感性对欧亚大陆游牧业的产生起了重要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21"/>
          <w:footerReference w:type="default" r:id="rId22"/>
          <w:type w:val="nextPage"/>
          <w:pgSz w:w="11906" w:h="16838"/>
          <w:pgMar w:top="1440" w:right="1800" w:bottom="1440" w:left="1800" w:header="851" w:footer="992" w:gutter="0"/>
          <w:pgNumType w:start="9"/>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③材料一“迁移是游牧生活的基本特征，因此驯化马匹，发明控制牲畜行动、适应频繁迁徙的用具，是摆脱定居农业，迈向游牧生涯的关键”，为了适应迁徙的生活，人们必须驯化动物，发明适应频繁迁徙的用具，以便迁徙；材料二“马的驯化可以让人类拥有更大的生态空间，这也是草原地带青铜文化在马驯化后兴盛的主要原因”“马与很早就驯化的狗则为大范围流动放牧提供了条件”，可见，人类对马的利用，使畜牧业进一步与原始农业分离，成为游牧型畜牧业；因此马的驯化与马具的发明对欧亚大陆游牧业的产生起了重要作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Style w:val="Strong"/>
          <w:rFonts w:ascii="宋体" w:eastAsia="宋体" w:hAnsi="宋体" w:cs="宋体" w:hint="eastAsia"/>
          <w:color w:val="8063C2"/>
          <w:sz w:val="30"/>
          <w:szCs w:val="30"/>
          <w:bdr w:val="none" w:sz="0" w:space="0" w:color="auto"/>
        </w:rPr>
        <w:t>（二）现代文阅读II（本题共</w:t>
      </w:r>
      <w:r>
        <w:rPr>
          <w:rStyle w:val="Strong"/>
          <w:rFonts w:ascii="Times New Roman" w:hAnsi="Times New Roman" w:cs="Times New Roman" w:hint="default"/>
          <w:color w:val="8063C2"/>
          <w:sz w:val="30"/>
          <w:szCs w:val="30"/>
          <w:bdr w:val="none" w:sz="0" w:space="0" w:color="auto"/>
        </w:rPr>
        <w:t>4</w:t>
      </w:r>
      <w:r>
        <w:rPr>
          <w:rStyle w:val="Strong"/>
          <w:rFonts w:ascii="宋体" w:eastAsia="宋体" w:hAnsi="宋体" w:cs="宋体" w:hint="eastAsia"/>
          <w:color w:val="8063C2"/>
          <w:sz w:val="30"/>
          <w:szCs w:val="30"/>
          <w:bdr w:val="none" w:sz="0" w:space="0" w:color="auto"/>
        </w:rPr>
        <w:t>小题，</w:t>
      </w:r>
      <w:r>
        <w:rPr>
          <w:rStyle w:val="Strong"/>
          <w:rFonts w:ascii="Times New Roman" w:hAnsi="Times New Roman" w:cs="Times New Roman" w:hint="default"/>
          <w:color w:val="8063C2"/>
          <w:sz w:val="30"/>
          <w:szCs w:val="30"/>
          <w:bdr w:val="none" w:sz="0" w:space="0" w:color="auto"/>
        </w:rPr>
        <w:t>17</w:t>
      </w:r>
      <w:r>
        <w:rPr>
          <w:rStyle w:val="Strong"/>
          <w:rFonts w:ascii="宋体" w:eastAsia="宋体" w:hAnsi="宋体" w:cs="宋体" w:hint="eastAsia"/>
          <w:color w:val="8063C2"/>
          <w:sz w:val="30"/>
          <w:szCs w:val="30"/>
          <w:bdr w:val="none" w:sz="0" w:space="0" w:color="auto"/>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阅读下面的文字，完成下面小题。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Style w:val="Strong"/>
          <w:rFonts w:ascii="楷体" w:eastAsia="楷体" w:hAnsi="楷体" w:cs="楷体" w:hint="eastAsia"/>
          <w:color w:val="8063C2"/>
          <w:sz w:val="30"/>
          <w:szCs w:val="30"/>
          <w:bdr w:val="none" w:sz="0" w:space="0" w:color="auto"/>
        </w:rPr>
        <w:t>牵手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范小青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曾明的眼睛不是一下子坏了的，他先是得了一种眼病，医生就预言曾明的眼睛不行了。最后曾明真的成了一个盲人。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在黑暗的世界中生存下去，这就是曾明必须选择的路。曾明被介绍到街道办的福利工厂去工作，往一块小小的金属板上辗螺丝。上班的时候，把一台收音机开着，节目很丰富，多半是直播形式的，盲人们常常放下手里的活，给电台打热线电话，曾明很快就被吸引，觉得生活有意味得多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辗螺丝对曾明来说，真是小菜一碟，进厂不多久，就已经很熟练。有一天曾明起身去方便，不小心和邻近的老陶撞了一下，金属板翻到了一处，他们一起蹲下来拣金属板。才拣了几十只，曾明就再也摸不着了，便有些急，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我做了一百只了，怎么只有这一点点？</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老陶随口回道：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这么凑巧哇，刚好一百。</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我数到一百，才起身去上厕所。</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23"/>
          <w:footerReference w:type="default" r:id="rId24"/>
          <w:type w:val="nextPage"/>
          <w:pgSz w:w="11906" w:h="16838"/>
          <w:pgMar w:top="1440" w:right="1800" w:bottom="1440" w:left="1800" w:header="851" w:footer="992" w:gutter="0"/>
          <w:pgNumType w:start="10"/>
          <w:cols w:num="1" w:space="425"/>
          <w:titlePg w:val="0"/>
          <w:docGrid w:type="lines" w:linePitch="312" w:charSpace="0"/>
        </w:sectPr>
      </w:pPr>
      <w:r>
        <w:rPr>
          <w:rFonts w:ascii="楷体" w:eastAsia="楷体" w:hAnsi="楷体" w:cs="楷体" w:hint="eastAsia"/>
          <w:color w:val="8063C2"/>
          <w:sz w:val="30"/>
          <w:szCs w:val="30"/>
          <w:bdr w:val="none" w:sz="0" w:space="0" w:color="auto"/>
        </w:rPr>
        <w:t>几个人笑了起来，曾明道：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你们的意思，是我瞎说？</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没人回答曾明的问题，曾明便起身找负责人，负责人听了，也是一笑，道：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算了，又不计件，不要计较了吧。</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凡事总有个道理。</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扯不上，工资又不挂钩……</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再没有说话。晚上回家听电台节目，曾明打了一个热线电话，把事情说了，主持人告诉他，这算是一种病态心理，解除的最好办法，就是找人倾诉。主持人告诉曾明，曾明住处不远的另一条街上，有一位在街道办事处做调解的刘主任，建议曾明找那位刘主任说说，刘主任是调解战线的先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曾明在某一天果真找到那地方去，人们把他引到主任的办公室时，曾明听到刘主任正在调解民事纠纷，他听主任说得在情在理，很快就把当事双方说通了，高兴而去。曾明听到喝水的声音，接着刘主任问他：</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你是不是我们这个街道的？</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是，是电台的主持人叫我来的。</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是小丁吧，他常常介绍人来我这里。</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曾明就把事情说了，说罢却有好一阵没有听到刘主任的声音，只觉得周围有一种沉静压抑的气氛，曾明还以为刘主任出去了呢，忍不住问道：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你在吗？</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我在……</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停顿一下，问道：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你是盲人？</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25"/>
          <w:footerReference w:type="default" r:id="rId26"/>
          <w:type w:val="nextPage"/>
          <w:pgSz w:w="11906" w:h="16838"/>
          <w:pgMar w:top="1440" w:right="1800" w:bottom="1440" w:left="1800" w:header="851" w:footer="992" w:gutter="0"/>
          <w:pgNumType w:start="11"/>
          <w:cols w:num="1" w:space="425"/>
          <w:titlePg w:val="0"/>
          <w:docGrid w:type="lines" w:linePitch="312" w:charSpace="0"/>
        </w:sectPr>
      </w:pPr>
      <w:r>
        <w:rPr>
          <w:rFonts w:ascii="楷体" w:eastAsia="楷体" w:hAnsi="楷体" w:cs="楷体" w:hint="eastAsia"/>
          <w:color w:val="8063C2"/>
          <w:sz w:val="30"/>
          <w:szCs w:val="30"/>
          <w:bdr w:val="none" w:sz="0" w:space="0" w:color="auto"/>
        </w:rPr>
        <w:t>曾明心下有些奇怪，但并没有往深里想，只是点头道：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是的，得了一种奇怪的眼病，医不好。</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这么说来，你失明的时间不很长？</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在曾明的感觉中，刘主任的声音好像离得很远。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半年吧。</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刘主任又停顿了一下，问道：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你失明以后，做梦吗？</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曾明愣了一下，摇了摇头。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刘主任又问一遍：</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你失明以后，做梦吗？</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没，好像没有梦见过什么。</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他不明白刘主任问他这个做什么，或许是一种心理治疗。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盲人做梦，若能看见东西，古时候称作天眼开。</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曾明想了想，说：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那恐怕说的是先天的盲人吧，像我们这样，应该是能做梦的，人若盲了，已经够痛苦，若连梦也做不起来，那就更惨，不能这么不公平吧。</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我想也是，只是盲人不做梦，这是事实呀。</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你怎么知道？</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刘主任没有回答曾明的这个问题，却回到了曾明的主题上，说：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你心中的这股气，其实不是对着老陶的，你说是不是？从根本上说你对于自己的失明一直郁闷不平，看起来你已经适应了失明以后的生活，其实你并没有适应，你还需要继续适应……</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曾明打断刘主任的话：</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没有失明的人，怎么能够体验失明人的滋味，就像你，怕是不能体谅我的心情吧。</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pPr>
      <w:r>
        <w:rPr>
          <w:rFonts w:ascii="楷体" w:eastAsia="楷体" w:hAnsi="楷体" w:cs="楷体" w:hint="eastAsia"/>
          <w:color w:val="8063C2"/>
          <w:sz w:val="30"/>
          <w:szCs w:val="30"/>
          <w:bdr w:val="none" w:sz="0" w:space="0" w:color="auto"/>
        </w:rPr>
        <w:t>刘主任笑了一下，说：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也许吧……我问你一个问题，你说，在盲人中，是先天的盲人更痛苦呢，还是后天的失明更痛苦？</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曾明一时回答不出来。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这个问题我总是想不明白，我总是在想……</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下面的话被一阵人声打断，有人进来说道：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刘主任，又来人了。</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曾明知道刘主任有工作了，便站起来道：</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刘主任，你忙，我先走了，过日我再过来就是。</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好，我领你出去。</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就有一只热乎乎的手伸过来。一路过来，刘主任没有和曾明说话，曾明再一次感受到在刘主任办公室里感觉到的那种沉静压抑。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曾明继续到福利厂上班，大家和他仍像以前一样亲切，好像谁都不记得曾经有过一丝不愉快的事情。一天夜里，曾明做了一个梦，梦见刘主任对他说：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你怎么不来了？我很想你。</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醒来后，曾明的心里有些不宁。过了几天，他又到刘主任那里去，这一回曾明只让人把他引到走廊端头，他自己沿着走廊，很快摸到了刘主任的办公室，进去，刘主任说：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我已经听到了你的脚步声。</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你的耳朵真好。</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你来得正好，今天是我的休息日，我们一起出去走走好吗？</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到哪里？</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到那地方你就知道。</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一只热乎乎的手伸过来，曾明的手被那只手牵着，他们一起往外走，以曾明的感觉，好像到了一个类似公园的地方。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29"/>
          <w:footerReference w:type="default" r:id="rId30"/>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你听到了什么？</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鸟叫，很多很多的鸟。</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刘主任笑了，说：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是的，他们都在这里遛鸟，今天比赛。</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曾明说：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比什么？</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比鸟的叫声。</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在一片叽喳的鸟鸣声中，曾明突然感觉到自己内心一片明亮，刘主任的热乎乎的手又伸过来牵住了他的手，说：</w:t>
      </w:r>
      <w:r>
        <w:rPr>
          <w:rFonts w:ascii="宋体" w:eastAsia="宋体" w:hAnsi="宋体" w:cs="宋体" w:hint="eastAsia"/>
          <w:color w:val="8063C2"/>
          <w:sz w:val="30"/>
          <w:szCs w:val="30"/>
          <w:bdr w:val="none" w:sz="0" w:space="0" w:color="auto"/>
        </w:rPr>
        <w:t>“</w:t>
      </w:r>
      <w:r>
        <w:rPr>
          <w:rFonts w:ascii="楷体" w:eastAsia="楷体" w:hAnsi="楷体" w:cs="楷体" w:hint="eastAsia"/>
          <w:color w:val="8063C2"/>
          <w:sz w:val="30"/>
          <w:szCs w:val="30"/>
          <w:bdr w:val="none" w:sz="0" w:space="0" w:color="auto"/>
        </w:rPr>
        <w:t>走，我们上那边看看去。</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他们牵着手走了几步，曾明听到身边有人在说话，他们说，瞧，两个瞎子手牵着手在走路呢。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楷体" w:eastAsia="楷体" w:hAnsi="楷体" w:cs="楷体" w:hint="eastAsia"/>
          <w:color w:val="8063C2"/>
          <w:sz w:val="30"/>
          <w:szCs w:val="30"/>
          <w:bdr w:val="none" w:sz="0" w:space="0" w:color="auto"/>
        </w:rPr>
        <w:t>（有删改）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6. </w:t>
      </w:r>
      <w:r>
        <w:rPr>
          <w:rFonts w:ascii="宋体" w:eastAsia="宋体" w:hAnsi="宋体" w:cs="宋体" w:hint="eastAsia"/>
          <w:color w:val="8063C2"/>
          <w:sz w:val="30"/>
          <w:szCs w:val="30"/>
          <w:bdr w:val="none" w:sz="0" w:space="0" w:color="auto"/>
        </w:rPr>
        <w:t>下列对小说相关内容的理解，正确的一项是（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曾明主动给电台的主持人打热线电话，不仅是为了发发牢骚，实际上他已经意识到自己存在着严重的心理问题。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知道曾明是个盲人后，刘主任并没有改变自己调解纠纷时的惯常做法，这说明刘主任对人一视同仁，维护他人尊严。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w:t>
      </w:r>
      <w:r>
        <w:rPr>
          <w:rFonts w:ascii="宋体" w:eastAsia="宋体" w:hAnsi="宋体" w:cs="宋体" w:hint="eastAsia"/>
          <w:color w:val="8063C2"/>
          <w:sz w:val="30"/>
          <w:szCs w:val="30"/>
          <w:bdr w:val="none" w:sz="0" w:space="0" w:color="auto"/>
        </w:rPr>
        <w:t>“是先天的盲人更痛苦呢，还是后天的失明更痛苦？”这个问题的提出与引发的思考，构成了小说的基调与主题。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相比于盲人生活的不便，小说更侧重于描写他们精神上面临的困惑，也体现出对残疾人心理问题的理解与关注。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7. </w:t>
      </w:r>
      <w:r>
        <w:rPr>
          <w:rFonts w:ascii="宋体" w:eastAsia="宋体" w:hAnsi="宋体" w:cs="宋体" w:hint="eastAsia"/>
          <w:color w:val="8063C2"/>
          <w:sz w:val="30"/>
          <w:szCs w:val="30"/>
          <w:bdr w:val="none" w:sz="0" w:space="0" w:color="auto"/>
        </w:rPr>
        <w:t>下列对小说艺术特色的分析鉴赏，不正确的一项是（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31"/>
          <w:footerReference w:type="default" r:id="rId32"/>
          <w:type w:val="nextPage"/>
          <w:pgSz w:w="11906" w:h="16838"/>
          <w:pgMar w:top="1440" w:right="1800" w:bottom="1440" w:left="1800" w:header="851" w:footer="992" w:gutter="0"/>
          <w:pgNumType w:start="14"/>
          <w:cols w:num="1" w:space="425"/>
          <w:titlePg w:val="0"/>
          <w:docGrid w:type="lines" w:linePitch="312" w:charSpace="0"/>
        </w:sectPr>
      </w:pPr>
      <w:r>
        <w:rPr>
          <w:rFonts w:ascii="Times New Roman" w:hAnsi="Times New Roman" w:cs="Times New Roman" w:hint="default"/>
          <w:color w:val="8063C2"/>
          <w:sz w:val="30"/>
          <w:szCs w:val="30"/>
          <w:bdr w:val="none" w:sz="0" w:space="0" w:color="auto"/>
        </w:rPr>
        <w:t>A. </w:t>
      </w:r>
      <w:r>
        <w:rPr>
          <w:rFonts w:ascii="宋体" w:eastAsia="宋体" w:hAnsi="宋体" w:cs="宋体" w:hint="eastAsia"/>
          <w:color w:val="8063C2"/>
          <w:sz w:val="30"/>
          <w:szCs w:val="30"/>
          <w:bdr w:val="none" w:sz="0" w:space="0" w:color="auto"/>
        </w:rPr>
        <w:t>工人经常给电台打热线电话，写出了福利工厂相对宽松的工作环境，也为后面的故事埋下了伏笔。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 </w:t>
      </w:r>
      <w:r>
        <w:rPr>
          <w:rFonts w:ascii="宋体" w:eastAsia="宋体" w:hAnsi="宋体" w:cs="宋体" w:hint="eastAsia"/>
          <w:color w:val="8063C2"/>
          <w:sz w:val="30"/>
          <w:szCs w:val="30"/>
          <w:bdr w:val="none" w:sz="0" w:space="0" w:color="auto"/>
        </w:rPr>
        <w:t>小说通过曾明与老陶口角这个偶发事件，具体展现了“在黑暗的世界中生存下去”的现实问题，由小及大，构思自然。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 </w:t>
      </w:r>
      <w:r>
        <w:rPr>
          <w:rFonts w:ascii="宋体" w:eastAsia="宋体" w:hAnsi="宋体" w:cs="宋体" w:hint="eastAsia"/>
          <w:color w:val="8063C2"/>
          <w:sz w:val="30"/>
          <w:szCs w:val="30"/>
          <w:bdr w:val="none" w:sz="0" w:space="0" w:color="auto"/>
        </w:rPr>
        <w:t>第一次见刘主任时，曾明“觉得周围有一种沉静压抑的气氛”，这写出了盲人心理上的敏感。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D. </w:t>
      </w:r>
      <w:r>
        <w:rPr>
          <w:rFonts w:ascii="宋体" w:eastAsia="宋体" w:hAnsi="宋体" w:cs="宋体" w:hint="eastAsia"/>
          <w:color w:val="8063C2"/>
          <w:sz w:val="30"/>
          <w:szCs w:val="30"/>
          <w:bdr w:val="none" w:sz="0" w:space="0" w:color="auto"/>
        </w:rPr>
        <w:t>小说语言平实、质朴、简洁，这种语言风格体现着作者对盲人世界的认识，看似平淡，实则很有韵味。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8. </w:t>
      </w:r>
      <w:r>
        <w:rPr>
          <w:rFonts w:ascii="宋体" w:eastAsia="宋体" w:hAnsi="宋体" w:cs="宋体" w:hint="eastAsia"/>
          <w:color w:val="8063C2"/>
          <w:sz w:val="30"/>
          <w:szCs w:val="30"/>
          <w:bdr w:val="none" w:sz="0" w:space="0" w:color="auto"/>
        </w:rPr>
        <w:t>小说直至最后才交待刘主任是个盲人，但前文已有多处细节予以暗示，请找出相关细节。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9. </w:t>
      </w:r>
      <w:r>
        <w:rPr>
          <w:rFonts w:ascii="宋体" w:eastAsia="宋体" w:hAnsi="宋体" w:cs="宋体" w:hint="eastAsia"/>
          <w:color w:val="8063C2"/>
          <w:sz w:val="30"/>
          <w:szCs w:val="30"/>
          <w:bdr w:val="none" w:sz="0" w:space="0" w:color="auto"/>
        </w:rPr>
        <w:t>小说从曾明的角度讲述故事，有怎样的艺术效果？请结合小说简要分析。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【答案】</w:t>
      </w:r>
      <w:r>
        <w:rPr>
          <w:rFonts w:ascii="Times New Roman" w:hAnsi="Times New Roman" w:cs="Times New Roman" w:hint="default"/>
          <w:color w:val="8063C2"/>
          <w:sz w:val="30"/>
          <w:szCs w:val="30"/>
          <w:bdr w:val="none" w:sz="0" w:space="0" w:color="auto"/>
        </w:rPr>
        <w:t>6. D    7. D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8. </w:t>
      </w:r>
      <w:r>
        <w:rPr>
          <w:rFonts w:ascii="宋体" w:eastAsia="宋体" w:hAnsi="宋体" w:cs="宋体" w:hint="eastAsia"/>
          <w:color w:val="8063C2"/>
          <w:sz w:val="30"/>
          <w:szCs w:val="30"/>
          <w:bdr w:val="none" w:sz="0" w:space="0" w:color="auto"/>
        </w:rPr>
        <w:t>①刘主任说：“我在……”停顿一下，问道：“你是盲人?”②曾明愣了一下，摇了摇头。刘主任又问一遍：“你失明以后，做梦吗？”③“我想也是，只是盲人不做梦，这是事实呀。”④“也许吧……我问你一个问题，你说，在盲人中，是先天的盲人更痛苦呢，还是后天的失明更痛苦？”“这个问题我总是想不明白”⑤刘主任说：“我已经听到了你的脚步声。”</w:t>
      </w:r>
      <w:r>
        <w:rPr>
          <w:rFonts w:ascii="Times New Roman" w:hAnsi="Times New Roman" w:cs="Times New Roman" w:hint="default"/>
          <w:color w:val="8063C2"/>
          <w:sz w:val="30"/>
          <w:szCs w:val="30"/>
          <w:bdr w:val="none" w:sz="0" w:space="0" w:color="auto"/>
        </w:rPr>
        <w:t>    </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9. </w:t>
      </w:r>
      <w:r>
        <w:rPr>
          <w:rFonts w:ascii="宋体" w:eastAsia="宋体" w:hAnsi="宋体" w:cs="宋体" w:hint="eastAsia"/>
          <w:color w:val="8063C2"/>
          <w:sz w:val="30"/>
          <w:szCs w:val="30"/>
          <w:bdr w:val="none" w:sz="0" w:space="0" w:color="auto"/>
        </w:rPr>
        <w:t>①小说从盲人曾明的角度讲述故事，使读者更容易体会曾明的心理状态，感同身受。②让刘主任的行为和言语显得有些奇怪，引发读者的好奇和想象。③使得刘主任是盲人这一重要事实直到结尾才揭示，有出人意料的效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color w:val="8063C2"/>
          <w:sz w:val="30"/>
          <w:szCs w:val="30"/>
          <w:bdr w:val="none" w:sz="0" w:space="0" w:color="auto"/>
        </w:rPr>
        <w:t>【解析】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6</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本题考查学生对文本相关内容的理解和分析能力。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A</w:t>
      </w:r>
      <w:r>
        <w:rPr>
          <w:rFonts w:ascii="宋体" w:eastAsia="宋体" w:hAnsi="宋体" w:cs="宋体" w:hint="eastAsia"/>
          <w:color w:val="8063C2"/>
          <w:sz w:val="30"/>
          <w:szCs w:val="30"/>
          <w:bdr w:val="none" w:sz="0" w:space="0" w:color="auto"/>
        </w:rPr>
        <w:t>.“实际上他已经意识到自己存在着严重的心理问题”错误。文中对于金属板的数量问题，曾明的同事和负责人或事开玩笑，或是敷衍了事，没有给他合理的回答，他主动给电台的主持人打热线电话；“主持人告诉他，这算是一种病态心理”，并不是他已经意识到自己存在着严重的心理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B</w:t>
      </w:r>
      <w:r>
        <w:rPr>
          <w:rFonts w:ascii="宋体" w:eastAsia="宋体" w:hAnsi="宋体" w:cs="宋体" w:hint="eastAsia"/>
          <w:color w:val="8063C2"/>
          <w:sz w:val="30"/>
          <w:szCs w:val="30"/>
          <w:bdr w:val="none" w:sz="0" w:space="0" w:color="auto"/>
        </w:rPr>
        <w:t>.“对人一视同仁，维护他人尊严”错误。结合原文“从根本上说你对于自己的失明一直郁闷不平，看起来你已经适应了失明以后的生活，其实你并没有适应，你还需要继续适应……”和刘主任的话被曾明打断后刘主任的反应，可知刘主任对曾明更加体贴关心，鼓励他适应失明以后的生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Times New Roman" w:hAnsi="Times New Roman" w:cs="Times New Roman" w:hint="default"/>
          <w:color w:val="8063C2"/>
          <w:sz w:val="30"/>
          <w:szCs w:val="30"/>
          <w:bdr w:val="none" w:sz="0" w:space="0" w:color="auto"/>
        </w:rPr>
        <w:t>C</w:t>
      </w:r>
      <w:r>
        <w:rPr>
          <w:rFonts w:ascii="宋体" w:eastAsia="宋体" w:hAnsi="宋体" w:cs="宋体" w:hint="eastAsia"/>
          <w:color w:val="8063C2"/>
          <w:sz w:val="30"/>
          <w:szCs w:val="30"/>
          <w:bdr w:val="none" w:sz="0" w:space="0" w:color="auto"/>
        </w:rPr>
        <w:t>.“构成了小说的基调与主题”错误。“是先天的盲人更痛苦呢，还是后天的失明更痛苦？”表现了刘主任面临的困惑，并不是小说的基调与主题。另外，小说通过这一问题，意在表达人们应理解关注残疾人心理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7</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本题考查学生对文本艺术特色的分析鉴赏能力。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sectPr>
          <w:headerReference w:type="default" r:id="rId35"/>
          <w:footerReference w:type="default" r:id="rId36"/>
          <w:type w:val="nextPage"/>
          <w:pgSz w:w="11906" w:h="16838"/>
          <w:pgMar w:top="1440" w:right="1800" w:bottom="1440" w:left="1800" w:header="851" w:footer="992" w:gutter="0"/>
          <w:pgNumType w:start="16"/>
          <w:cols w:num="1" w:space="425"/>
          <w:titlePg w:val="0"/>
          <w:docGrid w:type="lines" w:linePitch="312" w:charSpace="0"/>
        </w:sectPr>
      </w:pP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“体现着作者对盲人世界的认识”错误。平实、质朴、简洁的语言符合“刘主任是调解战线的先进”的身份特征，体现作者对残疾人的关爱。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故选</w:t>
      </w:r>
      <w:r>
        <w:rPr>
          <w:rFonts w:ascii="Times New Roman" w:hAnsi="Times New Roman" w:cs="Times New Roman" w:hint="default"/>
          <w:color w:val="8063C2"/>
          <w:sz w:val="30"/>
          <w:szCs w:val="30"/>
          <w:bdr w:val="none" w:sz="0" w:space="0" w:color="auto"/>
        </w:rPr>
        <w:t>D</w:t>
      </w:r>
      <w:r>
        <w:rPr>
          <w:rFonts w:ascii="宋体" w:eastAsia="宋体" w:hAnsi="宋体" w:cs="宋体" w:hint="eastAsia"/>
          <w:color w:val="8063C2"/>
          <w:sz w:val="30"/>
          <w:szCs w:val="30"/>
          <w:bdr w:val="none" w:sz="0" w:space="0" w:color="auto"/>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w:t>
      </w:r>
      <w:r>
        <w:rPr>
          <w:rFonts w:ascii="Times New Roman" w:hAnsi="Times New Roman" w:cs="Times New Roman" w:hint="default"/>
          <w:color w:val="8063C2"/>
          <w:sz w:val="30"/>
          <w:szCs w:val="30"/>
          <w:bdr w:val="none" w:sz="0" w:space="0" w:color="auto"/>
        </w:rPr>
        <w:t>8</w:t>
      </w:r>
      <w:r>
        <w:rPr>
          <w:rFonts w:ascii="宋体" w:eastAsia="宋体" w:hAnsi="宋体" w:cs="宋体" w:hint="eastAsia"/>
          <w:color w:val="8063C2"/>
          <w:sz w:val="30"/>
          <w:szCs w:val="30"/>
          <w:bdr w:val="none" w:sz="0" w:space="0" w:color="auto"/>
        </w:rPr>
        <w:t>题详解】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本题考查学生分析作品结构构思技巧的能力。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根据题干可知，需要从前文有关刘主任言谈举止的描写中筛选他也是盲人的细节。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“刘主任说：‘我在……’停顿一下，问道：‘你是盲人?’”暗示他是一个盲人，因为“停顿一下”表现了刘主任猜测到曾明是盲人，然后又通过问方式而不是“看”来确认。</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“曾明愣了一下，摇了摇头。刘主任又问一遍：‘你失明以后，做梦吗？’”暗示他是一个盲人，因为曾明在回答第一次的问题时，是用的摇头这一肢体语言，刘主任“看”不到，所以又问了一遍。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“我想也是，只是盲人不做梦，这是事实呀”暗示他是一个盲人，因为曾明是盲人，他失明后没做过梦，然而刘主任也知道盲人不做梦是事实。</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r>
        <w:rPr>
          <w:rFonts w:ascii="宋体" w:eastAsia="宋体" w:hAnsi="宋体" w:cs="宋体" w:hint="eastAsia"/>
          <w:color w:val="8063C2"/>
          <w:sz w:val="30"/>
          <w:szCs w:val="30"/>
          <w:bdr w:val="none" w:sz="0" w:space="0" w:color="auto"/>
        </w:rPr>
        <w:t>“也许吧……我问你一个问题，你说，在盲人中，是先天的盲人更痛苦呢，还是后天的失明更痛苦？”“这个问题我总是想不明白”暗示他是一个盲人，因为两人讨论“是先天的盲人更痛苦呢，还是后天的失明更痛苦”这一问题是，刘主任发出“这个问题我总是想不明白”的感慨。</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https://d.book118.com/335323124122011044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ind w:left="0" w:right="0"/>
        <w:jc w:val="both"/>
        <w:textAlignment w:val="center"/>
      </w:pPr>
    </w:p>
    <w:sectPr>
      <w:headerReference w:type="default" r:id="rId38"/>
      <w:footerReference w:type="default" r:id="rId39"/>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282116473"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71904629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4133160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2983336"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0261009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96162017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63815000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30718861"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9</w:t>
                    </w:r>
                    <w: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693900982"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81921636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11</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934470387"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12</w:t>
                    </w:r>
                    <w:r>
                      <w:fldChar w:fldCharType="end"/>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5281459"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strokeweight="0.5pt">
              <v:textbox style="mso-fit-shape-to-text:t" inset="0,0,0,0">
                <w:txbxContent>
                  <w:p>
                    <w:pPr>
                      <w:pStyle w:val="Footer"/>
                    </w:pPr>
                    <w:r>
                      <w:fldChar w:fldCharType="begin"/>
                    </w:r>
                    <w:r>
                      <w:instrText xml:space="preserve"> PAGE  \* MERGEFORMAT </w:instrText>
                    </w:r>
                    <w:r>
                      <w:fldChar w:fldCharType="separate"/>
                    </w:r>
                    <w:r>
                      <w:t>13</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04565805"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strokeweight="0.5pt">
              <v:textbox style="mso-fit-shape-to-text:t" inset="0,0,0,0">
                <w:txbxContent>
                  <w:p>
                    <w:pPr>
                      <w:pStyle w:val="Footer"/>
                    </w:pPr>
                    <w:r>
                      <w:fldChar w:fldCharType="begin"/>
                    </w:r>
                    <w:r>
                      <w:instrText xml:space="preserve"> PAGE  \* MERGEFORMAT </w:instrText>
                    </w:r>
                    <w:r>
                      <w:fldChar w:fldCharType="separate"/>
                    </w:r>
                    <w:r>
                      <w:t>14</w:t>
                    </w:r>
                    <w:r>
                      <w:fldChar w:fldCharType="end"/>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6352760"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strokeweight="0.5pt">
              <v:textbox style="mso-fit-shape-to-text:t" inset="0,0,0,0">
                <w:txbxContent>
                  <w:p>
                    <w:pPr>
                      <w:pStyle w:val="Footer"/>
                    </w:pPr>
                    <w:r>
                      <w:fldChar w:fldCharType="begin"/>
                    </w:r>
                    <w:r>
                      <w:instrText xml:space="preserve"> PAGE  \* MERGEFORMAT </w:instrText>
                    </w:r>
                    <w:r>
                      <w:fldChar w:fldCharType="separate"/>
                    </w:r>
                    <w:r>
                      <w:t>15</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84267204"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strokeweight="0.5pt">
              <v:textbox style="mso-fit-shape-to-text:t" inset="0,0,0,0">
                <w:txbxContent>
                  <w:p>
                    <w:pPr>
                      <w:pStyle w:val="Footer"/>
                    </w:pPr>
                    <w:r>
                      <w:fldChar w:fldCharType="begin"/>
                    </w:r>
                    <w:r>
                      <w:instrText xml:space="preserve"> PAGE  \* MERGEFORMAT </w:instrText>
                    </w:r>
                    <w:r>
                      <w:fldChar w:fldCharType="separate"/>
                    </w:r>
                    <w:r>
                      <w:t>16</w:t>
                    </w:r>
                    <w:r>
                      <w:fldChar w:fldCharType="end"/>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89392848" name="文本框 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xtLst>
                        <a:ext xmlns:a="http://schemas.openxmlformats.org/drawingml/2006/main" uri="{909E8E84-426E-40DD-AFC4-6F175D3DCCD1}">
                          <a14:hiddenFill xmlns:a14="http://schemas.microsoft.com/office/drawing/2010/main">
                            <a:solidFill>
                              <a:schemeClr val="lt1"/>
                            </a:solidFill>
                          </a14:hiddenFill>
                        </a:ext>
                        <a:ext xmlns:a="http://schemas.openxmlformats.org/drawingml/2006/main"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strokeweight="0.5pt">
              <v:textbox style="mso-fit-shape-to-text:t" inset="0,0,0,0">
                <w:txbxContent>
                  <w:p>
                    <w:pPr>
                      <w:pStyle w:val="Footer"/>
                    </w:pPr>
                    <w:r>
                      <w:fldChar w:fldCharType="begin"/>
                    </w:r>
                    <w:r>
                      <w:instrText xml:space="preserve"> PAGE  \* MERGEFORMAT </w:instrText>
                    </w:r>
                    <w:r>
                      <w:fldChar w:fldCharType="separate"/>
                    </w:r>
                    <w:r>
                      <w:t>17</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5B006BD1"/>
  </w:rsids>
  <w:docVars>
    <w:docVar w:name="commondata" w:val="eyJoZGlkIjoiMmM1ZDg2YTllYTZmZmU0ODY3NDQzOGZiNmZjN2FmNjc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Emphasis">
    <w:name w:val="Emphasis"/>
    <w:basedOn w:val="DefaultParagraphFont"/>
    <w:qFormat/>
    <w:rPr>
      <w:i/>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footer" Target="footer16.xml" /><Relationship Id="rId37" Type="http://schemas.openxmlformats.org/officeDocument/2006/relationships/hyperlink" Target="https://d.book118.com/335323124122011044" TargetMode="Externa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WPS_1559716994</cp:lastModifiedBy>
  <cp:revision>0</cp:revision>
  <dcterms:created xsi:type="dcterms:W3CDTF">2024-01-22T08:02:05Z</dcterms:created>
  <dcterms:modified xsi:type="dcterms:W3CDTF">2024-01-22T08:03:26Z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16E09E72C2904BB285E6B925D1B08DBD_12</vt:lpwstr>
  </property>
  <property fmtid="{D5CDD505-2E9C-101B-9397-08002B2CF9AE}" pid="3" name="KSOProductBuildVer">
    <vt:lpwstr>2052-12.1.0.16250</vt:lpwstr>
  </property>
</Properties>
</file>