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442" w:lineRule="auto"/>
        <w:rPr>
          <w:rFonts w:ascii="Arial"/>
          <w:sz w:val="21"/>
        </w:rPr>
      </w:pPr>
    </w:p>
    <w:p>
      <w:pPr>
        <w:spacing w:before="101" w:line="222" w:lineRule="auto"/>
        <w:ind w:left="2914"/>
        <w:outlineLvl w:val="0"/>
        <w:rPr>
          <w:rFonts w:ascii="SimHei" w:eastAsia="SimHei" w:hAnsi="SimHei" w:cs="SimHei"/>
          <w:sz w:val="31"/>
          <w:szCs w:val="31"/>
        </w:rPr>
      </w:pPr>
      <w:r>
        <w:rPr>
          <w:rFonts w:ascii="SimHei" w:eastAsia="SimHei" w:hAnsi="SimHei" w:cs="SimHei"/>
          <w:b/>
          <w:bCs/>
          <w:spacing w:val="-3"/>
          <w:sz w:val="31"/>
          <w:szCs w:val="31"/>
        </w:rPr>
        <w:t>高强螺栓检测仪校准规范</w:t>
      </w:r>
    </w:p>
    <w:p>
      <w:pPr>
        <w:spacing w:line="254" w:lineRule="auto"/>
        <w:rPr>
          <w:rFonts w:ascii="Arial"/>
          <w:sz w:val="21"/>
        </w:rPr>
      </w:pPr>
    </w:p>
    <w:p>
      <w:pPr>
        <w:spacing w:line="255" w:lineRule="auto"/>
        <w:rPr>
          <w:rFonts w:ascii="Arial"/>
          <w:sz w:val="21"/>
        </w:rPr>
      </w:pPr>
    </w:p>
    <w:p>
      <w:pPr>
        <w:spacing w:before="75" w:line="223" w:lineRule="auto"/>
        <w:ind w:left="23"/>
        <w:rPr>
          <w:rFonts w:ascii="SimHei" w:eastAsia="SimHei" w:hAnsi="SimHei" w:cs="SimHei"/>
          <w:sz w:val="23"/>
          <w:szCs w:val="23"/>
        </w:rPr>
      </w:pPr>
      <w:r>
        <w:rPr>
          <w:rFonts w:ascii="SimHei" w:eastAsia="SimHei" w:hAnsi="SimHei" w:cs="SimHei"/>
          <w:b/>
          <w:bCs/>
          <w:spacing w:val="-4"/>
          <w:sz w:val="23"/>
          <w:szCs w:val="23"/>
        </w:rPr>
        <w:t>1</w:t>
      </w:r>
      <w:r>
        <w:rPr>
          <w:rFonts w:ascii="SimHei" w:eastAsia="SimHei" w:hAnsi="SimHei" w:cs="SimHei"/>
          <w:spacing w:val="7"/>
          <w:sz w:val="23"/>
          <w:szCs w:val="23"/>
        </w:rPr>
        <w:t xml:space="preserve">  </w:t>
      </w:r>
      <w:r>
        <w:rPr>
          <w:rFonts w:ascii="SimHei" w:eastAsia="SimHei" w:hAnsi="SimHei" w:cs="SimHei"/>
          <w:b/>
          <w:bCs/>
          <w:spacing w:val="-4"/>
          <w:sz w:val="23"/>
          <w:szCs w:val="23"/>
        </w:rPr>
        <w:t>范围</w:t>
      </w:r>
    </w:p>
    <w:p>
      <w:pPr>
        <w:pStyle w:val="BodyText"/>
        <w:spacing w:before="253" w:line="271" w:lineRule="auto"/>
        <w:ind w:left="20" w:right="32" w:firstLine="490"/>
        <w:jc w:val="both"/>
      </w:pPr>
      <w:r>
        <w:rPr>
          <w:spacing w:val="14"/>
        </w:rPr>
        <w:t xml:space="preserve">本规范适用于试验力不大于500 </w:t>
      </w:r>
      <w:r>
        <w:rPr>
          <w:rFonts w:ascii="Times New Roman" w:eastAsia="Times New Roman" w:hAnsi="Times New Roman" w:cs="Times New Roman"/>
        </w:rPr>
        <w:t>kN</w:t>
      </w:r>
      <w:r>
        <w:rPr>
          <w:rFonts w:ascii="Times New Roman" w:eastAsia="Times New Roman" w:hAnsi="Times New Roman" w:cs="Times New Roman"/>
          <w:spacing w:val="-32"/>
        </w:rPr>
        <w:t xml:space="preserve"> </w:t>
      </w:r>
      <w:r>
        <w:rPr>
          <w:spacing w:val="14"/>
        </w:rPr>
        <w:t>、试验扭矩不大于2</w:t>
      </w:r>
      <w:r>
        <w:rPr>
          <w:spacing w:val="-59"/>
        </w:rPr>
        <w:t xml:space="preserve"> </w:t>
      </w:r>
      <w:r>
        <w:rPr>
          <w:rFonts w:ascii="Times New Roman" w:eastAsia="Times New Roman" w:hAnsi="Times New Roman" w:cs="Times New Roman"/>
        </w:rPr>
        <w:t>kNm</w:t>
      </w:r>
      <w:r>
        <w:rPr>
          <w:rFonts w:ascii="Times New Roman" w:eastAsia="Times New Roman" w:hAnsi="Times New Roman" w:cs="Times New Roman"/>
          <w:spacing w:val="14"/>
        </w:rPr>
        <w:t xml:space="preserve"> </w:t>
      </w:r>
      <w:r>
        <w:rPr>
          <w:rFonts w:ascii="Times New Roman" w:eastAsia="Times New Roman" w:hAnsi="Times New Roman" w:cs="Times New Roman"/>
          <w:spacing w:val="13"/>
        </w:rPr>
        <w:t xml:space="preserve"> </w:t>
      </w:r>
      <w:r>
        <w:rPr>
          <w:spacing w:val="13"/>
        </w:rPr>
        <w:t>的高强螺栓检测仪的</w:t>
      </w:r>
      <w:r>
        <w:t xml:space="preserve"> </w:t>
      </w:r>
      <w:r>
        <w:rPr>
          <w:spacing w:val="11"/>
        </w:rPr>
        <w:t>校准，该检测仪主要用于测量高强度大六角头螺栓连接副扭矩系数或扭剪型高强度螺栓</w:t>
      </w:r>
      <w:r>
        <w:rPr>
          <w:spacing w:val="1"/>
        </w:rPr>
        <w:t xml:space="preserve"> </w:t>
      </w:r>
      <w:r>
        <w:rPr>
          <w:spacing w:val="4"/>
        </w:rPr>
        <w:t>连接副紧固轴力。</w:t>
      </w:r>
    </w:p>
    <w:p>
      <w:pPr>
        <w:spacing w:before="293" w:line="222" w:lineRule="auto"/>
        <w:ind w:left="23"/>
        <w:rPr>
          <w:rFonts w:ascii="SimHei" w:eastAsia="SimHei" w:hAnsi="SimHei" w:cs="SimHei"/>
          <w:sz w:val="23"/>
          <w:szCs w:val="23"/>
        </w:rPr>
      </w:pPr>
      <w:r>
        <w:rPr>
          <w:rFonts w:ascii="SimHei" w:eastAsia="SimHei" w:hAnsi="SimHei" w:cs="SimHei"/>
          <w:b/>
          <w:bCs/>
          <w:spacing w:val="3"/>
          <w:sz w:val="23"/>
          <w:szCs w:val="23"/>
        </w:rPr>
        <w:t>2</w:t>
      </w:r>
      <w:r>
        <w:rPr>
          <w:rFonts w:ascii="SimHei" w:eastAsia="SimHei" w:hAnsi="SimHei" w:cs="SimHei"/>
          <w:spacing w:val="11"/>
          <w:sz w:val="23"/>
          <w:szCs w:val="23"/>
        </w:rPr>
        <w:t xml:space="preserve">  </w:t>
      </w:r>
      <w:r>
        <w:rPr>
          <w:rFonts w:ascii="SimHei" w:eastAsia="SimHei" w:hAnsi="SimHei" w:cs="SimHei"/>
          <w:b/>
          <w:bCs/>
          <w:spacing w:val="3"/>
          <w:sz w:val="23"/>
          <w:szCs w:val="23"/>
        </w:rPr>
        <w:t>引用文件</w:t>
      </w:r>
    </w:p>
    <w:p>
      <w:pPr>
        <w:pStyle w:val="BodyText"/>
        <w:spacing w:before="257" w:line="372" w:lineRule="exact"/>
        <w:ind w:left="510"/>
      </w:pPr>
      <w:r>
        <w:rPr>
          <w:spacing w:val="7"/>
          <w:position w:val="10"/>
        </w:rPr>
        <w:t>本规范引用了下列文件：</w:t>
      </w:r>
    </w:p>
    <w:p>
      <w:pPr>
        <w:pStyle w:val="BodyText"/>
        <w:spacing w:line="220" w:lineRule="auto"/>
        <w:ind w:left="510"/>
      </w:pPr>
      <w:r>
        <w:rPr>
          <w:rFonts w:ascii="Times New Roman" w:eastAsia="Times New Roman" w:hAnsi="Times New Roman" w:cs="Times New Roman"/>
        </w:rPr>
        <w:t>JJG</w:t>
      </w:r>
      <w:r>
        <w:rPr>
          <w:rFonts w:ascii="Times New Roman" w:eastAsia="Times New Roman" w:hAnsi="Times New Roman" w:cs="Times New Roman"/>
          <w:spacing w:val="9"/>
        </w:rPr>
        <w:t xml:space="preserve">  </w:t>
      </w:r>
      <w:r>
        <w:rPr>
          <w:rFonts w:ascii="Times New Roman" w:eastAsia="Times New Roman" w:hAnsi="Times New Roman" w:cs="Times New Roman"/>
          <w:spacing w:val="5"/>
        </w:rPr>
        <w:t>707</w:t>
      </w:r>
      <w:r>
        <w:rPr>
          <w:rFonts w:ascii="Times New Roman" w:eastAsia="Times New Roman" w:hAnsi="Times New Roman" w:cs="Times New Roman"/>
          <w:spacing w:val="19"/>
          <w:w w:val="101"/>
        </w:rPr>
        <w:t xml:space="preserve">   </w:t>
      </w:r>
      <w:r>
        <w:rPr>
          <w:spacing w:val="5"/>
        </w:rPr>
        <w:t>扭矩扳子</w:t>
      </w:r>
    </w:p>
    <w:p>
      <w:pPr>
        <w:pStyle w:val="BodyText"/>
        <w:spacing w:before="83" w:line="219" w:lineRule="auto"/>
        <w:ind w:left="510"/>
      </w:pPr>
      <w:r>
        <w:t>GB</w:t>
      </w:r>
      <w:r>
        <w:rPr>
          <w:spacing w:val="9"/>
        </w:rPr>
        <w:t>/T1231    钢结构用高强度大六角头螺栓、大六角头螺母、垫圈</w:t>
      </w:r>
      <w:r>
        <w:rPr>
          <w:spacing w:val="8"/>
        </w:rPr>
        <w:t>技术条件</w:t>
      </w:r>
    </w:p>
    <w:p>
      <w:pPr>
        <w:pStyle w:val="BodyText"/>
        <w:spacing w:before="99" w:line="370" w:lineRule="exact"/>
        <w:ind w:left="510"/>
      </w:pPr>
      <w:r>
        <w:rPr>
          <w:position w:val="10"/>
        </w:rPr>
        <w:t>GB</w:t>
      </w:r>
      <w:r>
        <w:rPr>
          <w:spacing w:val="8"/>
          <w:position w:val="10"/>
        </w:rPr>
        <w:t>/T  3632  钢结构用扭剪型高强度螺栓连接副</w:t>
      </w:r>
    </w:p>
    <w:p>
      <w:pPr>
        <w:pStyle w:val="BodyText"/>
        <w:spacing w:line="219" w:lineRule="auto"/>
        <w:ind w:left="510"/>
      </w:pPr>
      <w:r>
        <w:t>GB</w:t>
      </w:r>
      <w:r>
        <w:rPr>
          <w:spacing w:val="108"/>
        </w:rPr>
        <w:t xml:space="preserve"> </w:t>
      </w:r>
      <w:r>
        <w:rPr>
          <w:spacing w:val="6"/>
        </w:rPr>
        <w:t>50205</w:t>
      </w:r>
      <w:r>
        <w:rPr>
          <w:spacing w:val="3"/>
        </w:rPr>
        <w:t xml:space="preserve">  </w:t>
      </w:r>
      <w:r>
        <w:rPr>
          <w:spacing w:val="6"/>
        </w:rPr>
        <w:t>钢结构工程施工质量验收规范</w:t>
      </w:r>
    </w:p>
    <w:p>
      <w:pPr>
        <w:pStyle w:val="BodyText"/>
        <w:spacing w:before="86" w:line="390" w:lineRule="exact"/>
        <w:ind w:right="37"/>
        <w:jc w:val="right"/>
      </w:pPr>
      <w:r>
        <w:rPr>
          <w:spacing w:val="18"/>
          <w:position w:val="11"/>
        </w:rPr>
        <w:t>凡是注日期的引用文件，仅注日期的版本适用于本规范；凡</w:t>
      </w:r>
      <w:r>
        <w:rPr>
          <w:spacing w:val="17"/>
          <w:position w:val="11"/>
        </w:rPr>
        <w:t>是不注日期的引用文</w:t>
      </w:r>
    </w:p>
    <w:p>
      <w:pPr>
        <w:pStyle w:val="BodyText"/>
        <w:spacing w:before="1" w:line="218" w:lineRule="auto"/>
        <w:ind w:left="20"/>
      </w:pPr>
      <w:r>
        <w:rPr>
          <w:spacing w:val="9"/>
        </w:rPr>
        <w:t>件，其最新版本(包括所有的修改单)适用于本</w:t>
      </w:r>
      <w:r>
        <w:rPr>
          <w:spacing w:val="8"/>
        </w:rPr>
        <w:t>规范。</w:t>
      </w:r>
    </w:p>
    <w:p>
      <w:pPr>
        <w:spacing w:before="265" w:line="222" w:lineRule="auto"/>
        <w:ind w:left="23"/>
        <w:rPr>
          <w:rFonts w:ascii="SimHei" w:eastAsia="SimHei" w:hAnsi="SimHei" w:cs="SimHei"/>
          <w:sz w:val="23"/>
          <w:szCs w:val="23"/>
        </w:rPr>
      </w:pPr>
      <w:r>
        <w:rPr>
          <w:rFonts w:ascii="SimHei" w:eastAsia="SimHei" w:hAnsi="SimHei" w:cs="SimHei"/>
          <w:b/>
          <w:bCs/>
          <w:spacing w:val="8"/>
          <w:sz w:val="23"/>
          <w:szCs w:val="23"/>
        </w:rPr>
        <w:t>3</w:t>
      </w:r>
      <w:r>
        <w:rPr>
          <w:rFonts w:ascii="SimHei" w:eastAsia="SimHei" w:hAnsi="SimHei" w:cs="SimHei"/>
          <w:spacing w:val="2"/>
          <w:sz w:val="23"/>
          <w:szCs w:val="23"/>
        </w:rPr>
        <w:t xml:space="preserve">  </w:t>
      </w:r>
      <w:r>
        <w:rPr>
          <w:rFonts w:ascii="SimHei" w:eastAsia="SimHei" w:hAnsi="SimHei" w:cs="SimHei"/>
          <w:b/>
          <w:bCs/>
          <w:spacing w:val="8"/>
          <w:sz w:val="23"/>
          <w:szCs w:val="23"/>
        </w:rPr>
        <w:t>术语和计量单位</w:t>
      </w:r>
    </w:p>
    <w:p>
      <w:pPr>
        <w:pStyle w:val="BodyText"/>
        <w:spacing w:before="287" w:line="219" w:lineRule="auto"/>
        <w:ind w:left="20"/>
      </w:pPr>
      <w:r>
        <w:rPr>
          <w:spacing w:val="-1"/>
        </w:rPr>
        <w:t>3.1</w:t>
      </w:r>
      <w:r>
        <w:rPr>
          <w:spacing w:val="14"/>
        </w:rPr>
        <w:t xml:space="preserve">  </w:t>
      </w:r>
      <w:r>
        <w:rPr>
          <w:spacing w:val="-1"/>
        </w:rPr>
        <w:t>术语</w:t>
      </w:r>
    </w:p>
    <w:p>
      <w:pPr>
        <w:pStyle w:val="BodyText"/>
        <w:spacing w:before="71" w:line="212" w:lineRule="auto"/>
        <w:ind w:left="20"/>
        <w:rPr>
          <w:rFonts w:ascii="Times New Roman" w:eastAsia="Times New Roman" w:hAnsi="Times New Roman" w:cs="Times New Roman"/>
        </w:rPr>
      </w:pPr>
      <w:r>
        <w:rPr>
          <w:spacing w:val="2"/>
        </w:rPr>
        <w:t xml:space="preserve">3.1.1  扭矩系数  </w:t>
      </w:r>
      <w:r>
        <w:rPr>
          <w:rFonts w:ascii="Times New Roman" w:eastAsia="Times New Roman" w:hAnsi="Times New Roman" w:cs="Times New Roman"/>
        </w:rPr>
        <w:t>torque</w:t>
      </w:r>
      <w:r>
        <w:rPr>
          <w:rFonts w:ascii="Times New Roman" w:eastAsia="Times New Roman" w:hAnsi="Times New Roman" w:cs="Times New Roman"/>
          <w:spacing w:val="2"/>
        </w:rPr>
        <w:t xml:space="preserve">    </w:t>
      </w:r>
      <w:r>
        <w:rPr>
          <w:rFonts w:ascii="Times New Roman" w:eastAsia="Times New Roman" w:hAnsi="Times New Roman" w:cs="Times New Roman"/>
        </w:rPr>
        <w:t>coefficient</w:t>
      </w:r>
    </w:p>
    <w:p>
      <w:pPr>
        <w:pStyle w:val="BodyText"/>
        <w:spacing w:before="102" w:line="258" w:lineRule="auto"/>
        <w:ind w:left="20" w:right="39" w:firstLine="490"/>
      </w:pPr>
      <w:r>
        <w:rPr>
          <w:spacing w:val="11"/>
        </w:rPr>
        <w:t>作用于高强度大六角头螺栓连接副上的施拧扭矩与螺栓预拉力及螺</w:t>
      </w:r>
      <w:r>
        <w:rPr>
          <w:spacing w:val="10"/>
        </w:rPr>
        <w:t>栓的螺纹公称直</w:t>
      </w:r>
      <w:r>
        <w:t xml:space="preserve"> </w:t>
      </w:r>
      <w:r>
        <w:rPr>
          <w:spacing w:val="6"/>
        </w:rPr>
        <w:t>径之间的比例系数。</w:t>
      </w:r>
    </w:p>
    <w:p>
      <w:pPr>
        <w:pStyle w:val="BodyText"/>
        <w:spacing w:before="91" w:line="212" w:lineRule="auto"/>
        <w:ind w:left="20"/>
        <w:rPr>
          <w:rFonts w:ascii="Times New Roman" w:eastAsia="Times New Roman" w:hAnsi="Times New Roman" w:cs="Times New Roman"/>
        </w:rPr>
      </w:pPr>
      <w:r>
        <w:rPr>
          <w:spacing w:val="4"/>
        </w:rPr>
        <w:t>3.1.2  紧固轴力</w:t>
      </w:r>
      <w:r>
        <w:rPr>
          <w:spacing w:val="5"/>
        </w:rPr>
        <w:t xml:space="preserve">  </w:t>
      </w:r>
      <w:r>
        <w:rPr>
          <w:rFonts w:ascii="Times New Roman" w:eastAsia="Times New Roman" w:hAnsi="Times New Roman" w:cs="Times New Roman"/>
        </w:rPr>
        <w:t>tightening</w:t>
      </w:r>
      <w:r>
        <w:rPr>
          <w:rFonts w:ascii="Times New Roman" w:eastAsia="Times New Roman" w:hAnsi="Times New Roman" w:cs="Times New Roman"/>
          <w:spacing w:val="5"/>
        </w:rPr>
        <w:t xml:space="preserve">    </w:t>
      </w:r>
      <w:r>
        <w:rPr>
          <w:rFonts w:ascii="Times New Roman" w:eastAsia="Times New Roman" w:hAnsi="Times New Roman" w:cs="Times New Roman"/>
        </w:rPr>
        <w:t>force</w:t>
      </w:r>
    </w:p>
    <w:p>
      <w:pPr>
        <w:pStyle w:val="BodyText"/>
        <w:spacing w:before="112" w:line="258" w:lineRule="auto"/>
        <w:ind w:left="20" w:right="1524" w:firstLine="490"/>
      </w:pPr>
      <w:r>
        <w:rPr>
          <w:spacing w:val="9"/>
        </w:rPr>
        <w:t>扭剪型高强度螺栓连接副螺栓梅花头被拧断时所达到的最大试验力。</w:t>
      </w:r>
      <w:r>
        <w:rPr>
          <w:spacing w:val="14"/>
        </w:rPr>
        <w:t xml:space="preserve"> </w:t>
      </w:r>
      <w:r>
        <w:rPr>
          <w:spacing w:val="7"/>
        </w:rPr>
        <w:t>3.2  量的符号、单位与定义</w:t>
      </w:r>
    </w:p>
    <w:p>
      <w:pPr>
        <w:pStyle w:val="BodyText"/>
        <w:spacing w:before="86" w:line="219" w:lineRule="auto"/>
        <w:ind w:left="510"/>
      </w:pPr>
      <w:r>
        <w:rPr>
          <w:spacing w:val="11"/>
        </w:rPr>
        <w:t>本规范所使用量的符号、单位与定义见表1。</w:t>
      </w:r>
    </w:p>
    <w:p>
      <w:pPr>
        <w:spacing w:before="84" w:line="222" w:lineRule="auto"/>
        <w:ind w:left="3603"/>
        <w:rPr>
          <w:rFonts w:ascii="SimHei" w:eastAsia="SimHei" w:hAnsi="SimHei" w:cs="SimHei"/>
          <w:sz w:val="23"/>
          <w:szCs w:val="23"/>
        </w:rPr>
      </w:pPr>
      <w:r>
        <w:rPr>
          <w:rFonts w:ascii="SimHei" w:eastAsia="SimHei" w:hAnsi="SimHei" w:cs="SimHei"/>
          <w:b/>
          <w:bCs/>
          <w:spacing w:val="-19"/>
          <w:sz w:val="23"/>
          <w:szCs w:val="23"/>
        </w:rPr>
        <w:t>表</w:t>
      </w:r>
      <w:r>
        <w:rPr>
          <w:rFonts w:ascii="SimHei" w:eastAsia="SimHei" w:hAnsi="SimHei" w:cs="SimHei"/>
          <w:spacing w:val="-37"/>
          <w:sz w:val="23"/>
          <w:szCs w:val="23"/>
        </w:rPr>
        <w:t xml:space="preserve"> </w:t>
      </w:r>
      <w:r>
        <w:rPr>
          <w:rFonts w:ascii="SimHei" w:eastAsia="SimHei" w:hAnsi="SimHei" w:cs="SimHei"/>
          <w:b/>
          <w:bCs/>
          <w:spacing w:val="-19"/>
          <w:sz w:val="23"/>
          <w:szCs w:val="23"/>
        </w:rPr>
        <w:t>1</w:t>
      </w:r>
      <w:r>
        <w:rPr>
          <w:rFonts w:ascii="SimHei" w:eastAsia="SimHei" w:hAnsi="SimHei" w:cs="SimHei"/>
          <w:spacing w:val="65"/>
          <w:sz w:val="23"/>
          <w:szCs w:val="23"/>
        </w:rPr>
        <w:t xml:space="preserve"> </w:t>
      </w:r>
      <w:r>
        <w:rPr>
          <w:rFonts w:ascii="SimHei" w:eastAsia="SimHei" w:hAnsi="SimHei" w:cs="SimHei"/>
          <w:b/>
          <w:bCs/>
          <w:spacing w:val="-19"/>
          <w:sz w:val="23"/>
          <w:szCs w:val="23"/>
        </w:rPr>
        <w:t>量的定义与符号</w:t>
      </w:r>
    </w:p>
    <w:tbl>
      <w:tblPr>
        <w:tblStyle w:val="TableNormal"/>
        <w:tblW w:w="915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4"/>
        <w:gridCol w:w="1058"/>
        <w:gridCol w:w="7067"/>
      </w:tblGrid>
      <w:tr>
        <w:tblPrEx>
          <w:tblW w:w="915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1034" w:type="dxa"/>
            <w:vAlign w:val="top"/>
          </w:tcPr>
          <w:p>
            <w:pPr>
              <w:pStyle w:val="TableText"/>
              <w:spacing w:before="103" w:line="219" w:lineRule="auto"/>
              <w:ind w:left="194"/>
            </w:pPr>
            <w:r>
              <w:rPr>
                <w:spacing w:val="-5"/>
              </w:rPr>
              <w:t>符</w:t>
            </w:r>
            <w:r>
              <w:rPr>
                <w:spacing w:val="18"/>
              </w:rPr>
              <w:t xml:space="preserve">  </w:t>
            </w:r>
            <w:r>
              <w:rPr>
                <w:spacing w:val="-5"/>
              </w:rPr>
              <w:t>号</w:t>
            </w:r>
          </w:p>
        </w:tc>
        <w:tc>
          <w:tcPr>
            <w:tcW w:w="1058" w:type="dxa"/>
            <w:vAlign w:val="top"/>
          </w:tcPr>
          <w:p>
            <w:pPr>
              <w:pStyle w:val="TableText"/>
              <w:spacing w:before="104" w:line="220" w:lineRule="auto"/>
              <w:ind w:left="200"/>
            </w:pPr>
            <w:r>
              <w:rPr>
                <w:spacing w:val="-5"/>
              </w:rPr>
              <w:t>单</w:t>
            </w:r>
            <w:r>
              <w:rPr>
                <w:spacing w:val="18"/>
              </w:rPr>
              <w:t xml:space="preserve">  </w:t>
            </w:r>
            <w:r>
              <w:rPr>
                <w:spacing w:val="-5"/>
              </w:rPr>
              <w:t>位</w:t>
            </w:r>
          </w:p>
        </w:tc>
        <w:tc>
          <w:tcPr>
            <w:tcW w:w="7067" w:type="dxa"/>
            <w:vAlign w:val="top"/>
          </w:tcPr>
          <w:p>
            <w:pPr>
              <w:pStyle w:val="TableText"/>
              <w:spacing w:before="104" w:line="220" w:lineRule="auto"/>
              <w:ind w:left="3213"/>
            </w:pPr>
            <w:r>
              <w:rPr>
                <w:spacing w:val="-7"/>
              </w:rPr>
              <w:t>定</w:t>
            </w:r>
            <w:r>
              <w:rPr>
                <w:spacing w:val="17"/>
              </w:rPr>
              <w:t xml:space="preserve">  </w:t>
            </w:r>
            <w:r>
              <w:rPr>
                <w:spacing w:val="-7"/>
              </w:rPr>
              <w:t>义</w:t>
            </w:r>
          </w:p>
        </w:tc>
      </w:tr>
      <w:tr>
        <w:tblPrEx>
          <w:tblW w:w="9159" w:type="dxa"/>
          <w:tblInd w:w="50" w:type="dxa"/>
          <w:tblLayout w:type="fixed"/>
        </w:tblPrEx>
        <w:trPr>
          <w:trHeight w:val="419"/>
        </w:trPr>
        <w:tc>
          <w:tcPr>
            <w:tcW w:w="1034" w:type="dxa"/>
            <w:vAlign w:val="top"/>
          </w:tcPr>
          <w:p>
            <w:pPr>
              <w:pStyle w:val="TableText"/>
              <w:spacing w:before="147" w:line="182" w:lineRule="auto"/>
              <w:ind w:left="404"/>
            </w:pPr>
            <w:r>
              <w:rPr>
                <w:spacing w:val="-2"/>
              </w:rPr>
              <w:t>F;</w:t>
            </w:r>
          </w:p>
        </w:tc>
        <w:tc>
          <w:tcPr>
            <w:tcW w:w="1058" w:type="dxa"/>
            <w:vAlign w:val="top"/>
          </w:tcPr>
          <w:p>
            <w:pPr>
              <w:pStyle w:val="TableText"/>
              <w:spacing w:before="165" w:line="182" w:lineRule="auto"/>
              <w:ind w:left="461"/>
            </w:pPr>
            <w:r>
              <w:t>N</w:t>
            </w:r>
          </w:p>
        </w:tc>
        <w:tc>
          <w:tcPr>
            <w:tcW w:w="7067" w:type="dxa"/>
            <w:vAlign w:val="top"/>
          </w:tcPr>
          <w:p>
            <w:pPr>
              <w:pStyle w:val="TableText"/>
              <w:spacing w:before="110" w:line="219" w:lineRule="auto"/>
              <w:ind w:left="143"/>
            </w:pPr>
            <w:r>
              <w:rPr>
                <w:spacing w:val="-1"/>
              </w:rPr>
              <w:t>第i次试验力指示值</w:t>
            </w:r>
          </w:p>
        </w:tc>
      </w:tr>
    </w:tbl>
    <w:p>
      <w:pPr>
        <w:sectPr>
          <w:headerReference w:type="default" r:id="rId4"/>
          <w:footerReference w:type="default" r:id="rId5"/>
          <w:pgSz w:w="11920" w:h="16850"/>
          <w:pgMar w:top="1720" w:right="1320" w:bottom="1115" w:left="1379" w:header="1383" w:footer="966" w:gutter="0"/>
          <w:cols w:space="708"/>
        </w:sectPr>
      </w:pPr>
    </w:p>
    <w:tbl>
      <w:tblPr>
        <w:tblStyle w:val="TableNormal0"/>
        <w:tblW w:w="915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34"/>
        <w:gridCol w:w="1058"/>
        <w:gridCol w:w="7067"/>
      </w:tblGrid>
      <w:tr>
        <w:tblPrEx>
          <w:tblW w:w="9159" w:type="dxa"/>
          <w:tblInd w:w="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9"/>
        </w:trPr>
        <w:tc>
          <w:tcPr>
            <w:tcW w:w="1034" w:type="dxa"/>
            <w:vAlign w:val="top"/>
          </w:tcPr>
          <w:p>
            <w:pPr>
              <w:pStyle w:val="TableText"/>
              <w:spacing w:before="156" w:line="182" w:lineRule="auto"/>
              <w:ind w:left="454"/>
            </w:pPr>
            <w:r>
              <w:t>F</w:t>
            </w:r>
          </w:p>
        </w:tc>
        <w:tc>
          <w:tcPr>
            <w:tcW w:w="1058" w:type="dxa"/>
            <w:vAlign w:val="top"/>
          </w:tcPr>
          <w:p>
            <w:pPr>
              <w:pStyle w:val="TableText"/>
              <w:spacing w:before="156" w:line="182" w:lineRule="auto"/>
              <w:ind w:left="461"/>
            </w:pPr>
            <w:r>
              <w:t>N</w:t>
            </w:r>
          </w:p>
        </w:tc>
        <w:tc>
          <w:tcPr>
            <w:tcW w:w="7067" w:type="dxa"/>
            <w:vAlign w:val="top"/>
          </w:tcPr>
          <w:p>
            <w:pPr>
              <w:pStyle w:val="TableText"/>
              <w:spacing w:before="101" w:line="219" w:lineRule="auto"/>
              <w:ind w:left="143"/>
            </w:pPr>
            <w:r>
              <w:rPr>
                <w:spacing w:val="-2"/>
              </w:rPr>
              <w:t>试验力标准值</w:t>
            </w:r>
          </w:p>
        </w:tc>
      </w:tr>
      <w:tr>
        <w:tblPrEx>
          <w:tblW w:w="9159" w:type="dxa"/>
          <w:tblInd w:w="50" w:type="dxa"/>
          <w:tblLayout w:type="fixed"/>
        </w:tblPrEx>
        <w:trPr>
          <w:trHeight w:val="399"/>
        </w:trPr>
        <w:tc>
          <w:tcPr>
            <w:tcW w:w="1034" w:type="dxa"/>
            <w:vAlign w:val="top"/>
          </w:tcPr>
          <w:p>
            <w:pPr>
              <w:pStyle w:val="TableText"/>
              <w:spacing w:before="139" w:line="182" w:lineRule="auto"/>
              <w:ind w:left="404"/>
            </w:pPr>
            <w:r>
              <w:rPr>
                <w:spacing w:val="-2"/>
              </w:rPr>
              <w:t>F;</w:t>
            </w:r>
          </w:p>
        </w:tc>
        <w:tc>
          <w:tcPr>
            <w:tcW w:w="1058" w:type="dxa"/>
            <w:vAlign w:val="top"/>
          </w:tcPr>
          <w:p>
            <w:pPr>
              <w:pStyle w:val="TableText"/>
              <w:spacing w:before="157" w:line="182" w:lineRule="auto"/>
              <w:ind w:left="461"/>
            </w:pPr>
            <w:r>
              <w:t>N</w:t>
            </w:r>
          </w:p>
        </w:tc>
        <w:tc>
          <w:tcPr>
            <w:tcW w:w="7067" w:type="dxa"/>
            <w:vAlign w:val="top"/>
          </w:tcPr>
          <w:p>
            <w:pPr>
              <w:pStyle w:val="TableText"/>
              <w:spacing w:before="102" w:line="219" w:lineRule="auto"/>
              <w:ind w:left="143"/>
            </w:pPr>
            <w:r>
              <w:t>同一测量点3次试验力测量示值F;的算术平均值</w:t>
            </w:r>
          </w:p>
        </w:tc>
      </w:tr>
      <w:tr>
        <w:tblPrEx>
          <w:tblW w:w="9159" w:type="dxa"/>
          <w:tblInd w:w="50" w:type="dxa"/>
          <w:tblLayout w:type="fixed"/>
        </w:tblPrEx>
        <w:trPr>
          <w:trHeight w:val="419"/>
        </w:trPr>
        <w:tc>
          <w:tcPr>
            <w:tcW w:w="1034" w:type="dxa"/>
            <w:vAlign w:val="top"/>
          </w:tcPr>
          <w:p>
            <w:pPr>
              <w:pStyle w:val="TableText"/>
              <w:spacing w:before="167" w:line="183" w:lineRule="auto"/>
              <w:ind w:left="244"/>
            </w:pPr>
            <w:r>
              <w:rPr>
                <w:spacing w:val="-1"/>
              </w:rPr>
              <w:t>Fimax</w:t>
            </w:r>
          </w:p>
        </w:tc>
        <w:tc>
          <w:tcPr>
            <w:tcW w:w="1058" w:type="dxa"/>
            <w:vAlign w:val="top"/>
          </w:tcPr>
          <w:p>
            <w:pPr>
              <w:pStyle w:val="TableText"/>
              <w:spacing w:before="168" w:line="182" w:lineRule="auto"/>
              <w:ind w:left="461"/>
            </w:pPr>
            <w:r>
              <w:t>N</w:t>
            </w:r>
          </w:p>
        </w:tc>
        <w:tc>
          <w:tcPr>
            <w:tcW w:w="7067" w:type="dxa"/>
            <w:vAlign w:val="top"/>
          </w:tcPr>
          <w:p>
            <w:pPr>
              <w:pStyle w:val="TableText"/>
              <w:spacing w:before="113" w:line="219" w:lineRule="auto"/>
              <w:ind w:left="143"/>
            </w:pPr>
            <w:r>
              <w:t>同一测量点试验力示值F;的最大值</w:t>
            </w:r>
          </w:p>
        </w:tc>
      </w:tr>
      <w:tr>
        <w:tblPrEx>
          <w:tblW w:w="9159" w:type="dxa"/>
          <w:tblInd w:w="50" w:type="dxa"/>
          <w:tblLayout w:type="fixed"/>
        </w:tblPrEx>
        <w:trPr>
          <w:trHeight w:val="408"/>
        </w:trPr>
        <w:tc>
          <w:tcPr>
            <w:tcW w:w="1034" w:type="dxa"/>
            <w:vAlign w:val="top"/>
          </w:tcPr>
          <w:p>
            <w:pPr>
              <w:pStyle w:val="TableText"/>
              <w:spacing w:before="158" w:line="183" w:lineRule="auto"/>
              <w:ind w:left="244"/>
            </w:pPr>
            <w:r>
              <w:rPr>
                <w:spacing w:val="-1"/>
              </w:rPr>
              <w:t>Fimin</w:t>
            </w:r>
          </w:p>
        </w:tc>
        <w:tc>
          <w:tcPr>
            <w:tcW w:w="1058" w:type="dxa"/>
            <w:vAlign w:val="top"/>
          </w:tcPr>
          <w:p>
            <w:pPr>
              <w:pStyle w:val="TableText"/>
              <w:spacing w:before="159" w:line="182" w:lineRule="auto"/>
              <w:ind w:left="461"/>
            </w:pPr>
            <w:r>
              <w:t>N</w:t>
            </w:r>
          </w:p>
        </w:tc>
        <w:tc>
          <w:tcPr>
            <w:tcW w:w="7067" w:type="dxa"/>
            <w:vAlign w:val="top"/>
          </w:tcPr>
          <w:p>
            <w:pPr>
              <w:pStyle w:val="TableText"/>
              <w:spacing w:before="104" w:line="219" w:lineRule="auto"/>
              <w:ind w:left="143"/>
            </w:pPr>
            <w:r>
              <w:t>同一测量点试验力示值F;的最小值</w:t>
            </w:r>
          </w:p>
        </w:tc>
      </w:tr>
      <w:tr>
        <w:tblPrEx>
          <w:tblW w:w="9159" w:type="dxa"/>
          <w:tblInd w:w="50" w:type="dxa"/>
          <w:tblLayout w:type="fixed"/>
        </w:tblPrEx>
        <w:trPr>
          <w:trHeight w:val="409"/>
        </w:trPr>
        <w:tc>
          <w:tcPr>
            <w:tcW w:w="1034" w:type="dxa"/>
            <w:vAlign w:val="top"/>
          </w:tcPr>
          <w:p>
            <w:pPr>
              <w:pStyle w:val="TableText"/>
              <w:spacing w:before="127" w:line="237" w:lineRule="auto"/>
              <w:ind w:left="344"/>
            </w:pPr>
            <w:r>
              <w:rPr>
                <w:spacing w:val="-5"/>
              </w:rPr>
              <w:t>△F</w:t>
            </w:r>
          </w:p>
        </w:tc>
        <w:tc>
          <w:tcPr>
            <w:tcW w:w="1058" w:type="dxa"/>
            <w:vAlign w:val="top"/>
          </w:tcPr>
          <w:p>
            <w:pPr>
              <w:pStyle w:val="TableText"/>
              <w:spacing w:before="161" w:line="182" w:lineRule="auto"/>
              <w:ind w:left="461"/>
            </w:pPr>
            <w:r>
              <w:t>N</w:t>
            </w:r>
          </w:p>
        </w:tc>
        <w:tc>
          <w:tcPr>
            <w:tcW w:w="7067" w:type="dxa"/>
            <w:vAlign w:val="top"/>
          </w:tcPr>
          <w:p>
            <w:pPr>
              <w:pStyle w:val="TableText"/>
              <w:spacing w:before="106" w:line="219" w:lineRule="auto"/>
              <w:ind w:left="143"/>
            </w:pPr>
            <w:r>
              <w:rPr>
                <w:spacing w:val="-2"/>
              </w:rPr>
              <w:t>试验力示值误差</w:t>
            </w:r>
          </w:p>
        </w:tc>
      </w:tr>
      <w:tr>
        <w:tblPrEx>
          <w:tblW w:w="9159" w:type="dxa"/>
          <w:tblInd w:w="50" w:type="dxa"/>
          <w:tblLayout w:type="fixed"/>
        </w:tblPrEx>
        <w:trPr>
          <w:trHeight w:val="403"/>
        </w:trPr>
        <w:tc>
          <w:tcPr>
            <w:tcW w:w="1034" w:type="dxa"/>
            <w:vAlign w:val="top"/>
          </w:tcPr>
          <w:p>
            <w:pPr>
              <w:pStyle w:val="TableText"/>
              <w:spacing w:before="163" w:line="182" w:lineRule="auto"/>
              <w:ind w:left="404"/>
            </w:pPr>
            <w:r>
              <w:rPr>
                <w:spacing w:val="-1"/>
              </w:rPr>
              <w:t>M:</w:t>
            </w:r>
          </w:p>
        </w:tc>
        <w:tc>
          <w:tcPr>
            <w:tcW w:w="1058" w:type="dxa"/>
            <w:vAlign w:val="top"/>
          </w:tcPr>
          <w:p>
            <w:pPr>
              <w:pStyle w:val="TableText"/>
              <w:spacing w:before="162" w:line="182" w:lineRule="auto"/>
              <w:ind w:left="410"/>
            </w:pPr>
            <w:r>
              <w:rPr>
                <w:spacing w:val="-1"/>
              </w:rPr>
              <w:t>Nm</w:t>
            </w:r>
          </w:p>
        </w:tc>
        <w:tc>
          <w:tcPr>
            <w:tcW w:w="7067" w:type="dxa"/>
            <w:vAlign w:val="top"/>
          </w:tcPr>
          <w:p>
            <w:pPr>
              <w:pStyle w:val="TableText"/>
              <w:spacing w:before="107" w:line="219" w:lineRule="auto"/>
              <w:ind w:left="143"/>
            </w:pPr>
            <w:r>
              <w:rPr>
                <w:spacing w:val="-1"/>
              </w:rPr>
              <w:t>第i次试验扭矩指示值</w:t>
            </w:r>
          </w:p>
        </w:tc>
      </w:tr>
    </w:tbl>
    <w:p>
      <w:pPr>
        <w:spacing w:line="160" w:lineRule="exact"/>
        <w:rPr>
          <w:rFonts w:ascii="Arial"/>
          <w:sz w:val="13"/>
        </w:rPr>
      </w:pPr>
    </w:p>
    <w:p>
      <w:pPr>
        <w:spacing w:line="160" w:lineRule="exact"/>
        <w:rPr>
          <w:rFonts w:ascii="Arial" w:eastAsia="Arial" w:hAnsi="Arial" w:cs="Arial"/>
          <w:sz w:val="13"/>
          <w:szCs w:val="13"/>
        </w:rPr>
        <w:sectPr>
          <w:headerReference w:type="default" r:id="rId6"/>
          <w:footerReference w:type="default" r:id="rId7"/>
          <w:type w:val="nextPage"/>
          <w:pgSz w:w="11920" w:h="16850"/>
          <w:pgMar w:top="1720" w:right="1320" w:bottom="1115" w:left="1379" w:header="1383" w:footer="966" w:gutter="0"/>
          <w:pgNumType w:start="2"/>
          <w:cols w:space="708"/>
          <w:titlePg w:val="0"/>
        </w:sectPr>
      </w:pPr>
    </w:p>
    <w:p>
      <w:pPr>
        <w:spacing w:before="210" w:line="223" w:lineRule="auto"/>
        <w:ind w:left="4179"/>
        <w:rPr>
          <w:rFonts w:ascii="SimHei" w:eastAsia="SimHei" w:hAnsi="SimHei" w:cs="SimHei"/>
          <w:sz w:val="23"/>
          <w:szCs w:val="23"/>
        </w:rPr>
      </w:pPr>
      <w:r>
        <w:rPr>
          <w:rFonts w:ascii="SimHei" w:eastAsia="SimHei" w:hAnsi="SimHei" w:cs="SimHei"/>
          <w:spacing w:val="19"/>
          <w:sz w:val="23"/>
          <w:szCs w:val="23"/>
        </w:rPr>
        <w:t>表1(续)</w:t>
      </w:r>
    </w:p>
    <w:p>
      <w:pPr>
        <w:spacing w:line="97" w:lineRule="exact"/>
      </w:pPr>
    </w:p>
    <w:tbl>
      <w:tblPr>
        <w:tblStyle w:val="TableNormal1"/>
        <w:tblW w:w="915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054"/>
        <w:gridCol w:w="1039"/>
        <w:gridCol w:w="7057"/>
      </w:tblGrid>
      <w:tr>
        <w:tblPrEx>
          <w:tblW w:w="915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13"/>
        </w:trPr>
        <w:tc>
          <w:tcPr>
            <w:tcW w:w="1054" w:type="dxa"/>
            <w:vAlign w:val="top"/>
          </w:tcPr>
          <w:p>
            <w:pPr>
              <w:pStyle w:val="TableText"/>
              <w:spacing w:before="103" w:line="219" w:lineRule="auto"/>
              <w:ind w:left="205"/>
            </w:pPr>
            <w:r>
              <w:rPr>
                <w:spacing w:val="-5"/>
              </w:rPr>
              <w:t>符</w:t>
            </w:r>
            <w:r>
              <w:rPr>
                <w:spacing w:val="18"/>
              </w:rPr>
              <w:t xml:space="preserve">  </w:t>
            </w:r>
            <w:r>
              <w:rPr>
                <w:spacing w:val="-5"/>
              </w:rPr>
              <w:t>号</w:t>
            </w:r>
          </w:p>
        </w:tc>
        <w:tc>
          <w:tcPr>
            <w:tcW w:w="1039" w:type="dxa"/>
            <w:vAlign w:val="top"/>
          </w:tcPr>
          <w:p>
            <w:pPr>
              <w:pStyle w:val="TableText"/>
              <w:spacing w:before="104" w:line="220" w:lineRule="auto"/>
              <w:ind w:left="191"/>
            </w:pPr>
            <w:r>
              <w:rPr>
                <w:spacing w:val="-5"/>
              </w:rPr>
              <w:t>单</w:t>
            </w:r>
            <w:r>
              <w:rPr>
                <w:spacing w:val="4"/>
              </w:rPr>
              <w:t xml:space="preserve">  </w:t>
            </w:r>
            <w:r>
              <w:rPr>
                <w:spacing w:val="-5"/>
              </w:rPr>
              <w:t>位</w:t>
            </w:r>
          </w:p>
        </w:tc>
        <w:tc>
          <w:tcPr>
            <w:tcW w:w="7057" w:type="dxa"/>
            <w:vAlign w:val="top"/>
          </w:tcPr>
          <w:p>
            <w:pPr>
              <w:pStyle w:val="TableText"/>
              <w:spacing w:before="104" w:line="220" w:lineRule="auto"/>
              <w:ind w:left="3222"/>
            </w:pPr>
            <w:r>
              <w:rPr>
                <w:spacing w:val="-7"/>
              </w:rPr>
              <w:t>定</w:t>
            </w:r>
            <w:r>
              <w:rPr>
                <w:spacing w:val="17"/>
              </w:rPr>
              <w:t xml:space="preserve">  </w:t>
            </w:r>
            <w:r>
              <w:rPr>
                <w:spacing w:val="-7"/>
              </w:rPr>
              <w:t>义</w:t>
            </w:r>
          </w:p>
        </w:tc>
      </w:tr>
      <w:tr>
        <w:tblPrEx>
          <w:tblW w:w="9150" w:type="dxa"/>
          <w:tblInd w:w="19" w:type="dxa"/>
          <w:tblLayout w:type="fixed"/>
        </w:tblPrEx>
        <w:trPr>
          <w:trHeight w:val="409"/>
        </w:trPr>
        <w:tc>
          <w:tcPr>
            <w:tcW w:w="1054" w:type="dxa"/>
            <w:vAlign w:val="top"/>
          </w:tcPr>
          <w:p>
            <w:pPr>
              <w:pStyle w:val="TableText"/>
              <w:spacing w:before="155" w:line="182" w:lineRule="auto"/>
              <w:ind w:left="465"/>
            </w:pPr>
            <w:r>
              <w:t>M</w:t>
            </w:r>
          </w:p>
        </w:tc>
        <w:tc>
          <w:tcPr>
            <w:tcW w:w="1039" w:type="dxa"/>
            <w:vAlign w:val="top"/>
          </w:tcPr>
          <w:p>
            <w:pPr>
              <w:pStyle w:val="TableText"/>
              <w:spacing w:before="155" w:line="182" w:lineRule="auto"/>
              <w:ind w:left="401"/>
            </w:pPr>
            <w:r>
              <w:rPr>
                <w:spacing w:val="-1"/>
              </w:rPr>
              <w:t>Nm</w:t>
            </w:r>
          </w:p>
        </w:tc>
        <w:tc>
          <w:tcPr>
            <w:tcW w:w="7057" w:type="dxa"/>
            <w:vAlign w:val="top"/>
          </w:tcPr>
          <w:p>
            <w:pPr>
              <w:pStyle w:val="TableText"/>
              <w:spacing w:before="100" w:line="219" w:lineRule="auto"/>
              <w:ind w:left="122"/>
            </w:pPr>
            <w:r>
              <w:rPr>
                <w:spacing w:val="-2"/>
              </w:rPr>
              <w:t>试验扭矩标准值</w:t>
            </w:r>
          </w:p>
        </w:tc>
      </w:tr>
      <w:tr>
        <w:tblPrEx>
          <w:tblW w:w="9150" w:type="dxa"/>
          <w:tblInd w:w="19" w:type="dxa"/>
          <w:tblLayout w:type="fixed"/>
        </w:tblPrEx>
        <w:trPr>
          <w:trHeight w:val="399"/>
        </w:trPr>
        <w:tc>
          <w:tcPr>
            <w:tcW w:w="1054" w:type="dxa"/>
            <w:vAlign w:val="top"/>
          </w:tcPr>
          <w:p>
            <w:pPr>
              <w:pStyle w:val="TableText"/>
              <w:spacing w:before="138" w:line="182" w:lineRule="auto"/>
              <w:ind w:left="415"/>
            </w:pPr>
            <w:r>
              <w:rPr>
                <w:spacing w:val="-1"/>
              </w:rPr>
              <w:t>M;</w:t>
            </w:r>
          </w:p>
        </w:tc>
        <w:tc>
          <w:tcPr>
            <w:tcW w:w="1039" w:type="dxa"/>
            <w:vAlign w:val="top"/>
          </w:tcPr>
          <w:p>
            <w:pPr>
              <w:pStyle w:val="TableText"/>
              <w:spacing w:before="156" w:line="182" w:lineRule="auto"/>
              <w:ind w:left="401"/>
            </w:pPr>
            <w:r>
              <w:rPr>
                <w:spacing w:val="-1"/>
              </w:rPr>
              <w:t>Nm</w:t>
            </w:r>
          </w:p>
        </w:tc>
        <w:tc>
          <w:tcPr>
            <w:tcW w:w="7057" w:type="dxa"/>
            <w:vAlign w:val="top"/>
          </w:tcPr>
          <w:p>
            <w:pPr>
              <w:pStyle w:val="TableText"/>
              <w:spacing w:before="101" w:line="219" w:lineRule="auto"/>
              <w:ind w:left="122"/>
            </w:pPr>
            <w:r>
              <w:t>同一测量点3次试验扭矩测量示值M;的算术平均值</w:t>
            </w:r>
          </w:p>
        </w:tc>
      </w:tr>
      <w:tr>
        <w:tblPrEx>
          <w:tblW w:w="9150" w:type="dxa"/>
          <w:tblInd w:w="19" w:type="dxa"/>
          <w:tblLayout w:type="fixed"/>
        </w:tblPrEx>
        <w:trPr>
          <w:trHeight w:val="419"/>
        </w:trPr>
        <w:tc>
          <w:tcPr>
            <w:tcW w:w="1054" w:type="dxa"/>
            <w:vAlign w:val="top"/>
          </w:tcPr>
          <w:p>
            <w:pPr>
              <w:pStyle w:val="TableText"/>
              <w:spacing w:before="149" w:line="182" w:lineRule="auto"/>
              <w:ind w:left="255"/>
            </w:pPr>
            <w:r>
              <w:rPr>
                <w:spacing w:val="-1"/>
              </w:rPr>
              <w:t>M;max</w:t>
            </w:r>
          </w:p>
        </w:tc>
        <w:tc>
          <w:tcPr>
            <w:tcW w:w="1039" w:type="dxa"/>
            <w:vAlign w:val="top"/>
          </w:tcPr>
          <w:p>
            <w:pPr>
              <w:pStyle w:val="TableText"/>
              <w:spacing w:before="167" w:line="182" w:lineRule="auto"/>
              <w:ind w:left="401"/>
            </w:pPr>
            <w:r>
              <w:rPr>
                <w:spacing w:val="-1"/>
              </w:rPr>
              <w:t>Nm</w:t>
            </w:r>
          </w:p>
        </w:tc>
        <w:tc>
          <w:tcPr>
            <w:tcW w:w="7057" w:type="dxa"/>
            <w:vAlign w:val="top"/>
          </w:tcPr>
          <w:p>
            <w:pPr>
              <w:pStyle w:val="TableText"/>
              <w:spacing w:before="112" w:line="219" w:lineRule="auto"/>
              <w:ind w:left="122"/>
            </w:pPr>
            <w:r>
              <w:t>同一测量点试验扭矩示值M;的最大值</w:t>
            </w:r>
          </w:p>
        </w:tc>
      </w:tr>
      <w:tr>
        <w:tblPrEx>
          <w:tblW w:w="9150" w:type="dxa"/>
          <w:tblInd w:w="19" w:type="dxa"/>
          <w:tblLayout w:type="fixed"/>
        </w:tblPrEx>
        <w:trPr>
          <w:trHeight w:val="409"/>
        </w:trPr>
        <w:tc>
          <w:tcPr>
            <w:tcW w:w="1054" w:type="dxa"/>
            <w:vAlign w:val="top"/>
          </w:tcPr>
          <w:p>
            <w:pPr>
              <w:pStyle w:val="TableText"/>
              <w:spacing w:before="138" w:line="183" w:lineRule="auto"/>
              <w:ind w:left="255"/>
            </w:pPr>
            <w:r>
              <w:rPr>
                <w:spacing w:val="-1"/>
              </w:rPr>
              <w:t>M;min</w:t>
            </w:r>
          </w:p>
        </w:tc>
        <w:tc>
          <w:tcPr>
            <w:tcW w:w="1039" w:type="dxa"/>
            <w:vAlign w:val="top"/>
          </w:tcPr>
          <w:p>
            <w:pPr>
              <w:pStyle w:val="TableText"/>
              <w:spacing w:before="158" w:line="182" w:lineRule="auto"/>
              <w:ind w:left="401"/>
            </w:pPr>
            <w:r>
              <w:rPr>
                <w:spacing w:val="-1"/>
              </w:rPr>
              <w:t>Nm</w:t>
            </w:r>
          </w:p>
        </w:tc>
        <w:tc>
          <w:tcPr>
            <w:tcW w:w="7057" w:type="dxa"/>
            <w:vAlign w:val="top"/>
          </w:tcPr>
          <w:p>
            <w:pPr>
              <w:pStyle w:val="TableText"/>
              <w:spacing w:before="103" w:line="219" w:lineRule="auto"/>
              <w:ind w:left="122"/>
            </w:pPr>
            <w:r>
              <w:t>同一测量点试验扭矩示值M;的最小值</w:t>
            </w:r>
          </w:p>
        </w:tc>
      </w:tr>
      <w:tr>
        <w:tblPrEx>
          <w:tblW w:w="9150" w:type="dxa"/>
          <w:tblInd w:w="19" w:type="dxa"/>
          <w:tblLayout w:type="fixed"/>
        </w:tblPrEx>
        <w:trPr>
          <w:trHeight w:val="399"/>
        </w:trPr>
        <w:tc>
          <w:tcPr>
            <w:tcW w:w="1054" w:type="dxa"/>
            <w:vAlign w:val="top"/>
          </w:tcPr>
          <w:p>
            <w:pPr>
              <w:pStyle w:val="TableText"/>
              <w:spacing w:before="125" w:line="232" w:lineRule="auto"/>
              <w:ind w:left="355"/>
            </w:pPr>
            <w:r>
              <w:rPr>
                <w:spacing w:val="-5"/>
              </w:rPr>
              <w:t>△M</w:t>
            </w:r>
          </w:p>
        </w:tc>
        <w:tc>
          <w:tcPr>
            <w:tcW w:w="1039" w:type="dxa"/>
            <w:vAlign w:val="top"/>
          </w:tcPr>
          <w:p>
            <w:pPr>
              <w:pStyle w:val="TableText"/>
              <w:spacing w:before="159" w:line="182" w:lineRule="auto"/>
              <w:ind w:left="401"/>
            </w:pPr>
            <w:r>
              <w:rPr>
                <w:spacing w:val="-1"/>
              </w:rPr>
              <w:t>Nm</w:t>
            </w:r>
          </w:p>
        </w:tc>
        <w:tc>
          <w:tcPr>
            <w:tcW w:w="7057" w:type="dxa"/>
            <w:vAlign w:val="top"/>
          </w:tcPr>
          <w:p>
            <w:pPr>
              <w:pStyle w:val="TableText"/>
              <w:spacing w:before="104" w:line="219" w:lineRule="auto"/>
              <w:ind w:left="122"/>
            </w:pPr>
            <w:r>
              <w:rPr>
                <w:spacing w:val="-1"/>
              </w:rPr>
              <w:t>试验扭矩示值误差</w:t>
            </w:r>
          </w:p>
        </w:tc>
      </w:tr>
      <w:tr>
        <w:tblPrEx>
          <w:tblW w:w="9150" w:type="dxa"/>
          <w:tblInd w:w="19" w:type="dxa"/>
          <w:tblLayout w:type="fixed"/>
        </w:tblPrEx>
        <w:trPr>
          <w:trHeight w:val="419"/>
        </w:trPr>
        <w:tc>
          <w:tcPr>
            <w:tcW w:w="1054" w:type="dxa"/>
            <w:vAlign w:val="top"/>
          </w:tcPr>
          <w:p>
            <w:pPr>
              <w:pStyle w:val="TableText"/>
              <w:spacing w:before="141" w:line="184" w:lineRule="auto"/>
              <w:ind w:left="415"/>
            </w:pPr>
            <w:r>
              <w:rPr>
                <w:spacing w:val="-3"/>
              </w:rPr>
              <w:t>q1</w:t>
            </w:r>
          </w:p>
        </w:tc>
        <w:tc>
          <w:tcPr>
            <w:tcW w:w="1039" w:type="dxa"/>
            <w:vAlign w:val="top"/>
          </w:tcPr>
          <w:p>
            <w:pPr>
              <w:pStyle w:val="TableText"/>
              <w:spacing w:before="136"/>
              <w:ind w:left="451"/>
            </w:pPr>
            <w:r>
              <w:t>%</w:t>
            </w:r>
          </w:p>
        </w:tc>
        <w:tc>
          <w:tcPr>
            <w:tcW w:w="7057" w:type="dxa"/>
            <w:vAlign w:val="top"/>
          </w:tcPr>
          <w:p>
            <w:pPr>
              <w:pStyle w:val="TableText"/>
              <w:spacing w:before="115" w:line="219" w:lineRule="auto"/>
              <w:ind w:left="122"/>
            </w:pPr>
            <w:r>
              <w:rPr>
                <w:spacing w:val="-1"/>
              </w:rPr>
              <w:t>试验力示值相对误差</w:t>
            </w:r>
          </w:p>
        </w:tc>
      </w:tr>
      <w:tr>
        <w:tblPrEx>
          <w:tblW w:w="9150" w:type="dxa"/>
          <w:tblInd w:w="19" w:type="dxa"/>
          <w:tblLayout w:type="fixed"/>
        </w:tblPrEx>
        <w:trPr>
          <w:trHeight w:val="399"/>
        </w:trPr>
        <w:tc>
          <w:tcPr>
            <w:tcW w:w="1054" w:type="dxa"/>
            <w:vAlign w:val="top"/>
          </w:tcPr>
          <w:p>
            <w:pPr>
              <w:pStyle w:val="TableText"/>
              <w:spacing w:before="106" w:line="219" w:lineRule="auto"/>
              <w:ind w:left="355"/>
              <w:rPr>
                <w:rFonts w:ascii="Calibri" w:eastAsia="Calibri" w:hAnsi="Calibri" w:cs="Calibri"/>
              </w:rPr>
            </w:pPr>
            <w:r>
              <w:rPr>
                <w:spacing w:val="-3"/>
              </w:rPr>
              <w:t>b</w:t>
            </w:r>
            <w:r>
              <w:rPr>
                <w:rFonts w:ascii="Calibri" w:eastAsia="Calibri" w:hAnsi="Calibri" w:cs="Calibri"/>
                <w:spacing w:val="-3"/>
              </w:rPr>
              <w:t>₁</w:t>
            </w:r>
          </w:p>
        </w:tc>
        <w:tc>
          <w:tcPr>
            <w:tcW w:w="1039" w:type="dxa"/>
            <w:vAlign w:val="top"/>
          </w:tcPr>
          <w:p>
            <w:pPr>
              <w:pStyle w:val="TableText"/>
              <w:spacing w:before="127" w:line="230" w:lineRule="auto"/>
              <w:ind w:left="451"/>
            </w:pPr>
            <w:r>
              <w:t>%</w:t>
            </w:r>
          </w:p>
        </w:tc>
        <w:tc>
          <w:tcPr>
            <w:tcW w:w="7057" w:type="dxa"/>
            <w:vAlign w:val="top"/>
          </w:tcPr>
          <w:p>
            <w:pPr>
              <w:pStyle w:val="TableText"/>
              <w:spacing w:before="106" w:line="219" w:lineRule="auto"/>
              <w:ind w:left="122"/>
            </w:pPr>
            <w:r>
              <w:rPr>
                <w:spacing w:val="-1"/>
              </w:rPr>
              <w:t>试验力示值重复性</w:t>
            </w:r>
          </w:p>
        </w:tc>
      </w:tr>
      <w:tr>
        <w:tblPrEx>
          <w:tblW w:w="9150" w:type="dxa"/>
          <w:tblInd w:w="19" w:type="dxa"/>
          <w:tblLayout w:type="fixed"/>
        </w:tblPrEx>
        <w:trPr>
          <w:trHeight w:val="409"/>
        </w:trPr>
        <w:tc>
          <w:tcPr>
            <w:tcW w:w="1054" w:type="dxa"/>
            <w:vAlign w:val="top"/>
          </w:tcPr>
          <w:p>
            <w:pPr>
              <w:pStyle w:val="TableText"/>
              <w:spacing w:before="190" w:line="113" w:lineRule="exact"/>
              <w:ind w:left="405"/>
              <w:rPr>
                <w:rFonts w:ascii="Calibri" w:eastAsia="Calibri" w:hAnsi="Calibri" w:cs="Calibri"/>
                <w:sz w:val="15"/>
                <w:szCs w:val="15"/>
              </w:rPr>
            </w:pPr>
            <w:r>
              <w:rPr>
                <w:spacing w:val="-4"/>
                <w:position w:val="1"/>
                <w:sz w:val="15"/>
                <w:szCs w:val="15"/>
              </w:rPr>
              <w:t>q</w:t>
            </w:r>
            <w:r>
              <w:rPr>
                <w:rFonts w:ascii="Calibri" w:eastAsia="Calibri" w:hAnsi="Calibri" w:cs="Calibri"/>
                <w:spacing w:val="-4"/>
                <w:position w:val="1"/>
                <w:sz w:val="15"/>
                <w:szCs w:val="15"/>
              </w:rPr>
              <w:t>₂</w:t>
            </w:r>
          </w:p>
        </w:tc>
        <w:tc>
          <w:tcPr>
            <w:tcW w:w="1039" w:type="dxa"/>
            <w:vAlign w:val="top"/>
          </w:tcPr>
          <w:p>
            <w:pPr>
              <w:pStyle w:val="TableText"/>
              <w:spacing w:before="128" w:line="238" w:lineRule="auto"/>
              <w:ind w:left="451"/>
            </w:pPr>
            <w:r>
              <w:t>%</w:t>
            </w:r>
          </w:p>
        </w:tc>
        <w:tc>
          <w:tcPr>
            <w:tcW w:w="7057" w:type="dxa"/>
            <w:vAlign w:val="top"/>
          </w:tcPr>
          <w:p>
            <w:pPr>
              <w:pStyle w:val="TableText"/>
              <w:spacing w:before="107" w:line="219" w:lineRule="auto"/>
              <w:ind w:left="122"/>
            </w:pPr>
            <w:r>
              <w:rPr>
                <w:spacing w:val="-1"/>
              </w:rPr>
              <w:t>试验扭矩示值相对误差</w:t>
            </w:r>
          </w:p>
        </w:tc>
      </w:tr>
      <w:tr>
        <w:tblPrEx>
          <w:tblW w:w="9150" w:type="dxa"/>
          <w:tblInd w:w="19" w:type="dxa"/>
          <w:tblLayout w:type="fixed"/>
        </w:tblPrEx>
        <w:trPr>
          <w:trHeight w:val="414"/>
        </w:trPr>
        <w:tc>
          <w:tcPr>
            <w:tcW w:w="1054" w:type="dxa"/>
            <w:vAlign w:val="top"/>
          </w:tcPr>
          <w:p>
            <w:pPr>
              <w:pStyle w:val="TableText"/>
              <w:spacing w:before="108" w:line="220" w:lineRule="auto"/>
              <w:ind w:left="355"/>
              <w:rPr>
                <w:rFonts w:ascii="Calibri" w:eastAsia="Calibri" w:hAnsi="Calibri" w:cs="Calibri"/>
              </w:rPr>
            </w:pPr>
            <w:r>
              <w:rPr>
                <w:spacing w:val="-3"/>
              </w:rPr>
              <w:t>b</w:t>
            </w:r>
            <w:r>
              <w:rPr>
                <w:rFonts w:ascii="Calibri" w:eastAsia="Calibri" w:hAnsi="Calibri" w:cs="Calibri"/>
                <w:spacing w:val="-3"/>
              </w:rPr>
              <w:t>₂</w:t>
            </w:r>
          </w:p>
        </w:tc>
        <w:tc>
          <w:tcPr>
            <w:tcW w:w="1039" w:type="dxa"/>
            <w:vAlign w:val="top"/>
          </w:tcPr>
          <w:p>
            <w:pPr>
              <w:pStyle w:val="TableText"/>
              <w:spacing w:before="128"/>
              <w:ind w:left="451"/>
            </w:pPr>
            <w:r>
              <w:t>%</w:t>
            </w:r>
          </w:p>
        </w:tc>
        <w:tc>
          <w:tcPr>
            <w:tcW w:w="7057" w:type="dxa"/>
            <w:vAlign w:val="top"/>
          </w:tcPr>
          <w:p>
            <w:pPr>
              <w:pStyle w:val="TableText"/>
              <w:spacing w:before="108" w:line="219" w:lineRule="auto"/>
              <w:ind w:left="122"/>
            </w:pPr>
            <w:r>
              <w:rPr>
                <w:spacing w:val="-1"/>
              </w:rPr>
              <w:t>试验扭矩示值重复性</w:t>
            </w:r>
          </w:p>
        </w:tc>
      </w:tr>
    </w:tbl>
    <w:p>
      <w:pPr>
        <w:spacing w:before="289" w:line="221" w:lineRule="auto"/>
        <w:ind w:left="23"/>
        <w:rPr>
          <w:rFonts w:ascii="SimHei" w:eastAsia="SimHei" w:hAnsi="SimHei" w:cs="SimHei"/>
          <w:sz w:val="23"/>
          <w:szCs w:val="23"/>
        </w:rPr>
      </w:pPr>
      <w:r>
        <w:rPr>
          <w:rFonts w:ascii="SimHei" w:eastAsia="SimHei" w:hAnsi="SimHei" w:cs="SimHei"/>
          <w:b/>
          <w:bCs/>
          <w:spacing w:val="-5"/>
          <w:sz w:val="23"/>
          <w:szCs w:val="23"/>
        </w:rPr>
        <w:t>4</w:t>
      </w:r>
      <w:r>
        <w:rPr>
          <w:rFonts w:ascii="SimHei" w:eastAsia="SimHei" w:hAnsi="SimHei" w:cs="SimHei"/>
          <w:spacing w:val="4"/>
          <w:sz w:val="23"/>
          <w:szCs w:val="23"/>
        </w:rPr>
        <w:t xml:space="preserve">  </w:t>
      </w:r>
      <w:r>
        <w:rPr>
          <w:rFonts w:ascii="SimHei" w:eastAsia="SimHei" w:hAnsi="SimHei" w:cs="SimHei"/>
          <w:b/>
          <w:bCs/>
          <w:spacing w:val="-5"/>
          <w:sz w:val="23"/>
          <w:szCs w:val="23"/>
        </w:rPr>
        <w:t>概述</w:t>
      </w:r>
    </w:p>
    <w:p>
      <w:pPr>
        <w:pStyle w:val="BodyText"/>
        <w:spacing w:before="298" w:line="266" w:lineRule="auto"/>
        <w:ind w:left="19" w:right="35" w:firstLine="490"/>
        <w:jc w:val="both"/>
      </w:pPr>
      <w:r>
        <w:rPr>
          <w:spacing w:val="10"/>
        </w:rPr>
        <w:t>高强螺栓检测仪是用于测量高强度大六角头螺栓连接副扭矩系数或扭剪型高强度螺</w:t>
      </w:r>
      <w:r>
        <w:rPr>
          <w:spacing w:val="3"/>
        </w:rPr>
        <w:t xml:space="preserve"> </w:t>
      </w:r>
      <w:r>
        <w:rPr>
          <w:spacing w:val="10"/>
        </w:rPr>
        <w:t>栓连接副紧固轴力的一种检测装置；高强螺栓检测仪通常由机架、力传感器、扭矩传感</w:t>
      </w:r>
      <w:r>
        <w:rPr>
          <w:spacing w:val="9"/>
        </w:rPr>
        <w:t xml:space="preserve"> </w:t>
      </w:r>
      <w:r>
        <w:rPr>
          <w:spacing w:val="7"/>
        </w:rPr>
        <w:t>器或扭矩扳子、指示装置等部分组成。</w:t>
      </w:r>
    </w:p>
    <w:p>
      <w:pPr>
        <w:spacing w:before="272" w:line="222" w:lineRule="auto"/>
        <w:ind w:left="23"/>
        <w:rPr>
          <w:rFonts w:ascii="SimHei" w:eastAsia="SimHei" w:hAnsi="SimHei" w:cs="SimHei"/>
          <w:sz w:val="23"/>
          <w:szCs w:val="23"/>
        </w:rPr>
      </w:pPr>
      <w:r>
        <w:rPr>
          <w:rFonts w:ascii="SimHei" w:eastAsia="SimHei" w:hAnsi="SimHei" w:cs="SimHei"/>
          <w:b/>
          <w:bCs/>
          <w:spacing w:val="8"/>
          <w:sz w:val="23"/>
          <w:szCs w:val="23"/>
        </w:rPr>
        <w:t>5</w:t>
      </w:r>
      <w:r>
        <w:rPr>
          <w:rFonts w:ascii="SimHei" w:eastAsia="SimHei" w:hAnsi="SimHei" w:cs="SimHei"/>
          <w:spacing w:val="113"/>
          <w:sz w:val="23"/>
          <w:szCs w:val="23"/>
        </w:rPr>
        <w:t xml:space="preserve"> </w:t>
      </w:r>
      <w:r>
        <w:rPr>
          <w:rFonts w:ascii="SimHei" w:eastAsia="SimHei" w:hAnsi="SimHei" w:cs="SimHei"/>
          <w:b/>
          <w:bCs/>
          <w:spacing w:val="8"/>
          <w:sz w:val="23"/>
          <w:szCs w:val="23"/>
        </w:rPr>
        <w:t>计量特性</w:t>
      </w:r>
    </w:p>
    <w:p>
      <w:pPr>
        <w:pStyle w:val="BodyText"/>
        <w:spacing w:before="248" w:line="262" w:lineRule="auto"/>
        <w:ind w:left="19" w:right="40" w:firstLine="490"/>
      </w:pPr>
      <w:r>
        <w:rPr>
          <w:spacing w:val="10"/>
        </w:rPr>
        <w:t>高强螺栓检测仪的试验力示值误差、试验力示值重复性、试验扭矩示值误差、试验</w:t>
      </w:r>
      <w:r>
        <w:t xml:space="preserve"> </w:t>
      </w:r>
      <w:r>
        <w:rPr>
          <w:spacing w:val="11"/>
        </w:rPr>
        <w:t>扭矩示值重复性技术指标见表2。</w:t>
      </w:r>
    </w:p>
    <w:p>
      <w:pPr>
        <w:spacing w:before="82" w:line="222" w:lineRule="auto"/>
        <w:ind w:left="3183"/>
        <w:rPr>
          <w:rFonts w:ascii="SimHei" w:eastAsia="SimHei" w:hAnsi="SimHei" w:cs="SimHei"/>
          <w:sz w:val="23"/>
          <w:szCs w:val="23"/>
        </w:rPr>
      </w:pPr>
      <w:r>
        <w:rPr>
          <w:rFonts w:ascii="SimHei" w:eastAsia="SimHei" w:hAnsi="SimHei" w:cs="SimHei"/>
          <w:b/>
          <w:bCs/>
          <w:spacing w:val="-18"/>
          <w:sz w:val="23"/>
          <w:szCs w:val="23"/>
        </w:rPr>
        <w:t>表2</w:t>
      </w:r>
      <w:r>
        <w:rPr>
          <w:rFonts w:ascii="SimHei" w:eastAsia="SimHei" w:hAnsi="SimHei" w:cs="SimHei"/>
          <w:spacing w:val="102"/>
          <w:sz w:val="23"/>
          <w:szCs w:val="23"/>
        </w:rPr>
        <w:t xml:space="preserve"> </w:t>
      </w:r>
      <w:r>
        <w:rPr>
          <w:rFonts w:ascii="SimHei" w:eastAsia="SimHei" w:hAnsi="SimHei" w:cs="SimHei"/>
          <w:b/>
          <w:bCs/>
          <w:spacing w:val="-18"/>
          <w:sz w:val="23"/>
          <w:szCs w:val="23"/>
        </w:rPr>
        <w:t>高强螺栓检测仪技术指标</w:t>
      </w:r>
    </w:p>
    <w:p>
      <w:pPr>
        <w:spacing w:line="93" w:lineRule="exact"/>
      </w:pPr>
    </w:p>
    <w:tbl>
      <w:tblPr>
        <w:tblStyle w:val="TableNormal1"/>
        <w:tblW w:w="915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1683"/>
        <w:gridCol w:w="1888"/>
        <w:gridCol w:w="1868"/>
        <w:gridCol w:w="1898"/>
        <w:gridCol w:w="1813"/>
      </w:tblGrid>
      <w:tr>
        <w:tblPrEx>
          <w:tblW w:w="9150"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1"/>
        </w:trPr>
        <w:tc>
          <w:tcPr>
            <w:tcW w:w="1683" w:type="dxa"/>
            <w:vMerge w:val="restart"/>
            <w:tcBorders>
              <w:bottom w:val="nil"/>
            </w:tcBorders>
            <w:vAlign w:val="top"/>
          </w:tcPr>
          <w:p>
            <w:pPr>
              <w:spacing w:line="244" w:lineRule="auto"/>
              <w:rPr>
                <w:rFonts w:ascii="Arial"/>
                <w:sz w:val="21"/>
              </w:rPr>
            </w:pPr>
          </w:p>
          <w:p>
            <w:pPr>
              <w:pStyle w:val="TableText"/>
              <w:spacing w:before="68" w:line="220" w:lineRule="auto"/>
              <w:ind w:left="625"/>
            </w:pPr>
            <w:r>
              <w:rPr>
                <w:spacing w:val="-6"/>
              </w:rPr>
              <w:t>项 目</w:t>
            </w:r>
          </w:p>
        </w:tc>
        <w:tc>
          <w:tcPr>
            <w:tcW w:w="3756" w:type="dxa"/>
            <w:gridSpan w:val="2"/>
            <w:vAlign w:val="top"/>
          </w:tcPr>
          <w:p>
            <w:pPr>
              <w:pStyle w:val="TableText"/>
              <w:spacing w:before="103" w:line="219" w:lineRule="auto"/>
              <w:ind w:left="1561"/>
            </w:pPr>
            <w:r>
              <w:rPr>
                <w:spacing w:val="6"/>
              </w:rPr>
              <w:t>试验力</w:t>
            </w:r>
          </w:p>
        </w:tc>
        <w:tc>
          <w:tcPr>
            <w:tcW w:w="3711" w:type="dxa"/>
            <w:gridSpan w:val="2"/>
            <w:vAlign w:val="top"/>
          </w:tcPr>
          <w:p>
            <w:pPr>
              <w:pStyle w:val="TableText"/>
              <w:spacing w:before="104" w:line="221" w:lineRule="auto"/>
              <w:ind w:left="1456"/>
            </w:pPr>
            <w:r>
              <w:rPr>
                <w:spacing w:val="-2"/>
              </w:rPr>
              <w:t>试验扭矩</w:t>
            </w:r>
          </w:p>
        </w:tc>
      </w:tr>
      <w:tr>
        <w:tblPrEx>
          <w:tblW w:w="9150" w:type="dxa"/>
          <w:tblInd w:w="19" w:type="dxa"/>
          <w:tblLayout w:type="fixed"/>
        </w:tblPrEx>
        <w:trPr>
          <w:trHeight w:val="407"/>
        </w:trPr>
        <w:tc>
          <w:tcPr>
            <w:tcW w:w="1683" w:type="dxa"/>
            <w:vMerge/>
            <w:tcBorders>
              <w:top w:val="nil"/>
            </w:tcBorders>
            <w:vAlign w:val="top"/>
          </w:tcPr>
          <w:p>
            <w:pPr>
              <w:rPr>
                <w:rFonts w:ascii="Arial"/>
                <w:sz w:val="21"/>
              </w:rPr>
            </w:pPr>
          </w:p>
        </w:tc>
        <w:tc>
          <w:tcPr>
            <w:tcW w:w="1888" w:type="dxa"/>
            <w:vAlign w:val="top"/>
          </w:tcPr>
          <w:p>
            <w:pPr>
              <w:pStyle w:val="TableText"/>
              <w:spacing w:before="97" w:line="214" w:lineRule="auto"/>
              <w:ind w:left="252"/>
            </w:pPr>
            <w:r>
              <w:rPr>
                <w:spacing w:val="13"/>
              </w:rPr>
              <w:t>示值误差q</w:t>
            </w:r>
            <w:r>
              <w:rPr>
                <w:rFonts w:ascii="Calibri" w:eastAsia="Calibri" w:hAnsi="Calibri" w:cs="Calibri"/>
                <w:spacing w:val="13"/>
              </w:rPr>
              <w:t>₁</w:t>
            </w:r>
            <w:r>
              <w:rPr>
                <w:spacing w:val="13"/>
              </w:rPr>
              <w:t>/%</w:t>
            </w:r>
          </w:p>
        </w:tc>
        <w:tc>
          <w:tcPr>
            <w:tcW w:w="1868" w:type="dxa"/>
            <w:vAlign w:val="top"/>
          </w:tcPr>
          <w:p>
            <w:pPr>
              <w:pStyle w:val="TableText"/>
              <w:spacing w:before="102" w:line="219" w:lineRule="auto"/>
              <w:ind w:left="134"/>
            </w:pPr>
            <w:r>
              <w:rPr>
                <w:spacing w:val="13"/>
              </w:rPr>
              <w:t>示值重复性b</w:t>
            </w:r>
            <w:r>
              <w:rPr>
                <w:rFonts w:ascii="Calibri" w:eastAsia="Calibri" w:hAnsi="Calibri" w:cs="Calibri"/>
                <w:spacing w:val="13"/>
              </w:rPr>
              <w:t>₁</w:t>
            </w:r>
            <w:r>
              <w:rPr>
                <w:spacing w:val="13"/>
              </w:rPr>
              <w:t>/%</w:t>
            </w:r>
          </w:p>
        </w:tc>
        <w:tc>
          <w:tcPr>
            <w:tcW w:w="1898" w:type="dxa"/>
            <w:vAlign w:val="top"/>
          </w:tcPr>
          <w:p>
            <w:pPr>
              <w:pStyle w:val="TableText"/>
              <w:spacing w:before="97" w:line="214" w:lineRule="auto"/>
              <w:ind w:left="256"/>
            </w:pPr>
            <w:r>
              <w:rPr>
                <w:spacing w:val="12"/>
              </w:rPr>
              <w:t>示值误差q</w:t>
            </w:r>
            <w:r>
              <w:rPr>
                <w:rFonts w:ascii="Calibri" w:eastAsia="Calibri" w:hAnsi="Calibri" w:cs="Calibri"/>
                <w:spacing w:val="12"/>
              </w:rPr>
              <w:t>₂</w:t>
            </w:r>
            <w:r>
              <w:rPr>
                <w:spacing w:val="12"/>
              </w:rPr>
              <w:t>/%</w:t>
            </w:r>
          </w:p>
        </w:tc>
        <w:tc>
          <w:tcPr>
            <w:tcW w:w="1813" w:type="dxa"/>
            <w:vAlign w:val="top"/>
          </w:tcPr>
          <w:p>
            <w:pPr>
              <w:pStyle w:val="TableText"/>
              <w:spacing w:before="99" w:line="216" w:lineRule="auto"/>
              <w:ind w:left="168"/>
            </w:pPr>
            <w:r>
              <w:rPr>
                <w:spacing w:val="-1"/>
              </w:rPr>
              <w:t>示值重复性b,/%</w:t>
            </w:r>
          </w:p>
        </w:tc>
      </w:tr>
      <w:tr>
        <w:tblPrEx>
          <w:tblW w:w="9150" w:type="dxa"/>
          <w:tblInd w:w="19" w:type="dxa"/>
          <w:tblLayout w:type="fixed"/>
        </w:tblPrEx>
        <w:trPr>
          <w:trHeight w:val="411"/>
        </w:trPr>
        <w:tc>
          <w:tcPr>
            <w:tcW w:w="1683" w:type="dxa"/>
            <w:vAlign w:val="top"/>
          </w:tcPr>
          <w:p>
            <w:pPr>
              <w:pStyle w:val="TableText"/>
              <w:spacing w:before="105" w:line="219" w:lineRule="auto"/>
              <w:ind w:left="415"/>
            </w:pPr>
            <w:r>
              <w:rPr>
                <w:spacing w:val="-2"/>
              </w:rPr>
              <w:t>技术指标</w:t>
            </w:r>
          </w:p>
        </w:tc>
        <w:tc>
          <w:tcPr>
            <w:tcW w:w="1888" w:type="dxa"/>
            <w:vAlign w:val="top"/>
          </w:tcPr>
          <w:p>
            <w:pPr>
              <w:pStyle w:val="TableText"/>
              <w:spacing w:before="123" w:line="234" w:lineRule="auto"/>
              <w:ind w:left="772"/>
            </w:pPr>
            <w:r>
              <w:rPr>
                <w:spacing w:val="9"/>
              </w:rPr>
              <w:t>士2</w:t>
            </w:r>
          </w:p>
        </w:tc>
        <w:tc>
          <w:tcPr>
            <w:tcW w:w="1868" w:type="dxa"/>
            <w:vAlign w:val="top"/>
          </w:tcPr>
          <w:p>
            <w:pPr>
              <w:pStyle w:val="TableText"/>
              <w:spacing w:before="159" w:line="183" w:lineRule="auto"/>
              <w:ind w:left="874"/>
            </w:pPr>
            <w:r>
              <w:t>2</w:t>
            </w:r>
          </w:p>
        </w:tc>
        <w:tc>
          <w:tcPr>
            <w:tcW w:w="1898" w:type="dxa"/>
            <w:vAlign w:val="top"/>
          </w:tcPr>
          <w:p>
            <w:pPr>
              <w:pStyle w:val="TableText"/>
              <w:spacing w:before="123" w:line="235" w:lineRule="auto"/>
              <w:ind w:left="785"/>
            </w:pPr>
            <w:r>
              <w:rPr>
                <w:spacing w:val="-11"/>
              </w:rPr>
              <w:t>±2</w:t>
            </w:r>
          </w:p>
        </w:tc>
        <w:tc>
          <w:tcPr>
            <w:tcW w:w="1813" w:type="dxa"/>
            <w:vAlign w:val="top"/>
          </w:tcPr>
          <w:p>
            <w:pPr>
              <w:pStyle w:val="TableText"/>
              <w:spacing w:before="159" w:line="183" w:lineRule="auto"/>
              <w:ind w:left="847"/>
            </w:pPr>
            <w:r>
              <w:t>2</w:t>
            </w:r>
          </w:p>
        </w:tc>
      </w:tr>
    </w:tbl>
    <w:p>
      <w:pPr>
        <w:spacing w:before="130" w:line="220" w:lineRule="auto"/>
        <w:ind w:left="509"/>
        <w:rPr>
          <w:rFonts w:ascii="FangSong" w:eastAsia="FangSong" w:hAnsi="FangSong" w:cs="FangSong"/>
          <w:sz w:val="23"/>
          <w:szCs w:val="23"/>
        </w:rPr>
      </w:pPr>
      <w:r>
        <w:rPr>
          <w:rFonts w:ascii="FangSong" w:eastAsia="FangSong" w:hAnsi="FangSong" w:cs="FangSong"/>
          <w:spacing w:val="-21"/>
          <w:sz w:val="23"/>
          <w:szCs w:val="23"/>
        </w:rPr>
        <w:t>注：以上指标不是用于合格性判别，仅供参考。</w:t>
      </w:r>
    </w:p>
    <w:p>
      <w:pPr>
        <w:spacing w:before="258" w:line="222" w:lineRule="auto"/>
        <w:ind w:left="23"/>
        <w:rPr>
          <w:rFonts w:ascii="SimHei" w:eastAsia="SimHei" w:hAnsi="SimHei" w:cs="SimHei"/>
          <w:sz w:val="23"/>
          <w:szCs w:val="23"/>
        </w:rPr>
      </w:pPr>
      <w:r>
        <w:rPr>
          <w:rFonts w:ascii="SimHei" w:eastAsia="SimHei" w:hAnsi="SimHei" w:cs="SimHei"/>
          <w:b/>
          <w:bCs/>
          <w:spacing w:val="5"/>
          <w:sz w:val="23"/>
          <w:szCs w:val="23"/>
        </w:rPr>
        <w:t>6</w:t>
      </w:r>
      <w:r>
        <w:rPr>
          <w:rFonts w:ascii="SimHei" w:eastAsia="SimHei" w:hAnsi="SimHei" w:cs="SimHei"/>
          <w:spacing w:val="5"/>
          <w:sz w:val="23"/>
          <w:szCs w:val="23"/>
        </w:rPr>
        <w:t xml:space="preserve">  </w:t>
      </w:r>
      <w:r>
        <w:rPr>
          <w:rFonts w:ascii="SimHei" w:eastAsia="SimHei" w:hAnsi="SimHei" w:cs="SimHei"/>
          <w:b/>
          <w:bCs/>
          <w:spacing w:val="5"/>
          <w:sz w:val="23"/>
          <w:szCs w:val="23"/>
        </w:rPr>
        <w:t>校准条件</w:t>
      </w:r>
    </w:p>
    <w:p>
      <w:pPr>
        <w:pStyle w:val="BodyText"/>
        <w:spacing w:before="286" w:line="219" w:lineRule="auto"/>
        <w:ind w:left="19"/>
        <w:sectPr>
          <w:headerReference w:type="default" r:id="rId8"/>
          <w:footerReference w:type="default" r:id="rId9"/>
          <w:pgSz w:w="11920" w:h="16850"/>
          <w:pgMar w:top="1759" w:right="1389" w:bottom="1102" w:left="1340" w:header="1439" w:footer="943" w:gutter="0"/>
          <w:pgNumType w:start="3"/>
          <w:cols w:space="708"/>
        </w:sectPr>
      </w:pPr>
      <w:r>
        <w:rPr>
          <w:spacing w:val="7"/>
        </w:rPr>
        <w:t>6.1</w:t>
      </w:r>
      <w:r>
        <w:rPr>
          <w:spacing w:val="2"/>
        </w:rPr>
        <w:t xml:space="preserve">  </w:t>
      </w:r>
      <w:r>
        <w:rPr>
          <w:spacing w:val="7"/>
        </w:rPr>
        <w:t>环境条件</w:t>
      </w:r>
    </w:p>
    <w:p>
      <w:pPr>
        <w:pStyle w:val="BodyText"/>
        <w:spacing w:before="88" w:line="370" w:lineRule="exact"/>
        <w:ind w:left="509"/>
      </w:pPr>
      <w:r>
        <w:rPr>
          <w:spacing w:val="7"/>
          <w:position w:val="10"/>
        </w:rPr>
        <w:t>环境温度：(10～35)℃</w:t>
      </w:r>
    </w:p>
    <w:p>
      <w:pPr>
        <w:pStyle w:val="BodyText"/>
        <w:spacing w:line="220" w:lineRule="auto"/>
        <w:ind w:left="509"/>
        <w:rPr>
          <w:rFonts w:ascii="Arial" w:eastAsia="Arial" w:hAnsi="Arial" w:cs="Arial"/>
        </w:rPr>
      </w:pPr>
      <w:r>
        <w:rPr>
          <w:spacing w:val="2"/>
        </w:rPr>
        <w:t>相对湿度：</w:t>
      </w:r>
      <w:r>
        <w:rPr>
          <w:rFonts w:ascii="Arial" w:eastAsia="Arial" w:hAnsi="Arial" w:cs="Arial"/>
          <w:spacing w:val="2"/>
        </w:rPr>
        <w:t>≤80%</w:t>
      </w:r>
    </w:p>
    <w:p>
      <w:pPr>
        <w:pStyle w:val="BodyText"/>
        <w:spacing w:before="74" w:line="362" w:lineRule="exact"/>
        <w:ind w:left="509"/>
      </w:pPr>
      <w:r>
        <w:rPr>
          <w:spacing w:val="8"/>
          <w:position w:val="9"/>
        </w:rPr>
        <w:t>其他条件：校准时不得有影响校准结果的干扰源。</w:t>
      </w:r>
    </w:p>
    <w:p>
      <w:pPr>
        <w:pStyle w:val="BodyText"/>
        <w:spacing w:line="220" w:lineRule="auto"/>
        <w:ind w:left="19"/>
      </w:pPr>
      <w:r>
        <w:rPr>
          <w:spacing w:val="8"/>
        </w:rPr>
        <w:t>6.2</w:t>
      </w:r>
      <w:r>
        <w:rPr>
          <w:spacing w:val="111"/>
        </w:rPr>
        <w:t xml:space="preserve"> </w:t>
      </w:r>
      <w:r>
        <w:rPr>
          <w:spacing w:val="8"/>
        </w:rPr>
        <w:t>校准装置</w:t>
      </w:r>
    </w:p>
    <w:p>
      <w:pPr>
        <w:pStyle w:val="BodyText"/>
        <w:spacing w:before="104" w:line="219" w:lineRule="auto"/>
        <w:ind w:left="509"/>
      </w:pPr>
      <w:r>
        <w:rPr>
          <w:spacing w:val="8"/>
        </w:rPr>
        <w:t>校准高强螺栓检测仪时可采用整机法和部件法。</w:t>
      </w:r>
    </w:p>
    <w:p>
      <w:pPr>
        <w:pStyle w:val="BodyText"/>
        <w:spacing w:before="69" w:line="262" w:lineRule="auto"/>
        <w:ind w:left="19" w:right="38" w:firstLine="3"/>
      </w:pPr>
      <w:r>
        <w:rPr>
          <w:b/>
          <w:bCs/>
          <w:spacing w:val="12"/>
        </w:rPr>
        <w:t>6.2.1</w:t>
      </w:r>
      <w:r>
        <w:rPr>
          <w:spacing w:val="12"/>
        </w:rPr>
        <w:t xml:space="preserve">  整机法校准时，可采用标准测力仪校准试验力，标准扭矩仪或检定</w:t>
      </w:r>
      <w:r>
        <w:rPr>
          <w:spacing w:val="11"/>
        </w:rPr>
        <w:t>杠杆加力值</w:t>
      </w:r>
      <w:r>
        <w:t xml:space="preserve"> </w:t>
      </w:r>
      <w:r>
        <w:rPr>
          <w:spacing w:val="10"/>
        </w:rPr>
        <w:t>砝码校准试验扭矩。标准测力仪的允许误差应不超过被校高强螺栓检测仪试验力允许误</w:t>
      </w:r>
    </w:p>
    <w:p>
      <w:pPr>
        <w:spacing w:line="262" w:lineRule="auto"/>
        <w:sectPr>
          <w:headerReference w:type="default" r:id="rId10"/>
          <w:footerReference w:type="default" r:id="rId11"/>
          <w:type w:val="nextPage"/>
          <w:pgSz w:w="11920" w:h="16850"/>
          <w:pgMar w:top="1759" w:right="1389" w:bottom="1102" w:left="1340" w:header="1439" w:footer="943" w:gutter="0"/>
          <w:pgNumType w:start="4"/>
          <w:cols w:space="708"/>
          <w:titlePg w:val="0"/>
        </w:sectPr>
      </w:pPr>
    </w:p>
    <w:p>
      <w:pPr>
        <w:pStyle w:val="BodyText"/>
        <w:spacing w:before="239" w:line="251" w:lineRule="auto"/>
        <w:ind w:left="30" w:right="127" w:firstLine="10"/>
      </w:pPr>
      <w:r>
        <w:rPr>
          <w:spacing w:val="23"/>
        </w:rPr>
        <w:t>差的1/3;标准扭矩仪的允许误差应不超过被校高强螺栓检测仪试验</w:t>
      </w:r>
      <w:r>
        <w:rPr>
          <w:spacing w:val="22"/>
        </w:rPr>
        <w:t>扭矩允许误差的</w:t>
      </w:r>
      <w:r>
        <w:t xml:space="preserve"> </w:t>
      </w:r>
      <w:r>
        <w:rPr>
          <w:spacing w:val="19"/>
        </w:rPr>
        <w:t>1/3;检定杠杆最大允许误差不超过±0.2%,力值砝码最大允许误差不超过±0.1%。</w:t>
      </w:r>
    </w:p>
    <w:p>
      <w:pPr>
        <w:pStyle w:val="BodyText"/>
        <w:spacing w:before="91" w:line="277" w:lineRule="auto"/>
        <w:ind w:left="30" w:right="106" w:firstLine="20"/>
      </w:pPr>
      <w:r>
        <w:rPr>
          <w:spacing w:val="13"/>
        </w:rPr>
        <w:t>6.2.2  部件法校准时，可采用力标准机校准试验力，扭矩标准机、检定杠杆加力值砝</w:t>
      </w:r>
      <w:r>
        <w:t xml:space="preserve"> </w:t>
      </w:r>
      <w:r>
        <w:rPr>
          <w:spacing w:val="11"/>
        </w:rPr>
        <w:t xml:space="preserve">码或扭矩扳子检定仪校准试验扭矩。力标准机的允许误差应不超过被校高强螺栓检测仪 </w:t>
      </w:r>
      <w:r>
        <w:rPr>
          <w:spacing w:val="17"/>
        </w:rPr>
        <w:t>试验力允许误差的1/3,扭矩标准机、扭矩扳子检定仪的允许误差应不超过被校高强螺</w:t>
      </w:r>
      <w:r>
        <w:rPr>
          <w:spacing w:val="1"/>
        </w:rPr>
        <w:t xml:space="preserve"> </w:t>
      </w:r>
      <w:r>
        <w:rPr>
          <w:spacing w:val="25"/>
        </w:rPr>
        <w:t>栓检测仪试验扭矩允许误差的1/3;检定杠杆最大允许误差不超过±0.2%</w:t>
      </w:r>
      <w:r>
        <w:rPr>
          <w:spacing w:val="24"/>
        </w:rPr>
        <w:t>,力值砝码</w:t>
      </w:r>
      <w:r>
        <w:t xml:space="preserve"> </w:t>
      </w:r>
      <w:r>
        <w:rPr>
          <w:spacing w:val="16"/>
        </w:rPr>
        <w:t>最大允许误差不超过±0.1%。</w:t>
      </w:r>
    </w:p>
    <w:p>
      <w:pPr>
        <w:spacing w:before="254" w:line="221" w:lineRule="auto"/>
        <w:ind w:left="40"/>
        <w:rPr>
          <w:rFonts w:ascii="SimHei" w:eastAsia="SimHei" w:hAnsi="SimHei" w:cs="SimHei"/>
          <w:sz w:val="23"/>
          <w:szCs w:val="23"/>
        </w:rPr>
      </w:pPr>
      <w:r>
        <w:rPr>
          <w:rFonts w:ascii="SimHei" w:eastAsia="SimHei" w:hAnsi="SimHei" w:cs="SimHei"/>
          <w:spacing w:val="7"/>
          <w:sz w:val="23"/>
          <w:szCs w:val="23"/>
        </w:rPr>
        <w:t>7</w:t>
      </w:r>
      <w:r>
        <w:rPr>
          <w:rFonts w:ascii="SimHei" w:eastAsia="SimHei" w:hAnsi="SimHei" w:cs="SimHei"/>
          <w:spacing w:val="22"/>
          <w:sz w:val="23"/>
          <w:szCs w:val="23"/>
        </w:rPr>
        <w:t xml:space="preserve">  </w:t>
      </w:r>
      <w:r>
        <w:rPr>
          <w:rFonts w:ascii="SimHei" w:eastAsia="SimHei" w:hAnsi="SimHei" w:cs="SimHei"/>
          <w:spacing w:val="7"/>
          <w:sz w:val="23"/>
          <w:szCs w:val="23"/>
        </w:rPr>
        <w:t>校准项目和校准方法</w:t>
      </w:r>
    </w:p>
    <w:p>
      <w:pPr>
        <w:pStyle w:val="BodyText"/>
        <w:spacing w:before="267" w:line="219" w:lineRule="auto"/>
        <w:ind w:left="50"/>
      </w:pPr>
      <w:r>
        <w:rPr>
          <w:spacing w:val="4"/>
        </w:rPr>
        <w:t>7.1</w:t>
      </w:r>
      <w:r>
        <w:rPr>
          <w:spacing w:val="104"/>
        </w:rPr>
        <w:t xml:space="preserve"> </w:t>
      </w:r>
      <w:r>
        <w:rPr>
          <w:spacing w:val="4"/>
        </w:rPr>
        <w:t>试验力</w:t>
      </w:r>
    </w:p>
    <w:p>
      <w:pPr>
        <w:pStyle w:val="BodyText"/>
        <w:spacing w:before="95" w:line="219" w:lineRule="auto"/>
        <w:ind w:left="50"/>
      </w:pPr>
      <w:r>
        <w:rPr>
          <w:spacing w:val="6"/>
        </w:rPr>
        <w:t>7.1.1  采用标准测力仪校准(整机法)*</w:t>
      </w:r>
    </w:p>
    <w:p>
      <w:pPr>
        <w:pStyle w:val="BodyText"/>
        <w:spacing w:before="108" w:line="254" w:lineRule="auto"/>
        <w:ind w:left="59" w:right="96" w:hanging="9"/>
      </w:pPr>
      <w:hyperlink r:id="rId12" w:history="1">
        <w:r>
          <w:rPr>
            <w:spacing w:val="13"/>
          </w:rPr>
          <w:t>7.1.1.1</w:t>
        </w:r>
      </w:hyperlink>
      <w:r>
        <w:rPr>
          <w:spacing w:val="13"/>
        </w:rPr>
        <w:t xml:space="preserve">  采用合适的校准用附件，将标准测力仪安装在高强螺栓检测仪上，</w:t>
      </w:r>
      <w:r>
        <w:rPr>
          <w:spacing w:val="12"/>
        </w:rPr>
        <w:t>使标准测</w:t>
      </w:r>
      <w:r>
        <w:t xml:space="preserve"> </w:t>
      </w:r>
      <w:r>
        <w:rPr>
          <w:spacing w:val="10"/>
        </w:rPr>
        <w:t>力仪与被测高强螺栓检测仪上的力传感器串联，并使两</w:t>
      </w:r>
      <w:r>
        <w:rPr>
          <w:spacing w:val="9"/>
        </w:rPr>
        <w:t>者保持同轴。</w:t>
      </w:r>
    </w:p>
    <w:p>
      <w:pPr>
        <w:pStyle w:val="BodyText"/>
        <w:spacing w:before="78" w:line="219" w:lineRule="auto"/>
        <w:ind w:left="59"/>
      </w:pPr>
      <w:hyperlink r:id="rId13" w:history="1">
        <w:r>
          <w:rPr>
            <w:spacing w:val="7"/>
          </w:rPr>
          <w:t>7.1.1.2</w:t>
        </w:r>
      </w:hyperlink>
      <w:r>
        <w:rPr>
          <w:spacing w:val="7"/>
        </w:rPr>
        <w:t xml:space="preserve">  将指示装置预热30 </w:t>
      </w:r>
      <w:r>
        <w:rPr>
          <w:rFonts w:ascii="Times New Roman" w:eastAsia="Times New Roman" w:hAnsi="Times New Roman" w:cs="Times New Roman"/>
        </w:rPr>
        <w:t>min</w:t>
      </w:r>
      <w:r>
        <w:rPr>
          <w:rFonts w:ascii="Times New Roman" w:eastAsia="Times New Roman" w:hAnsi="Times New Roman" w:cs="Times New Roman"/>
          <w:spacing w:val="7"/>
        </w:rPr>
        <w:t xml:space="preserve"> </w:t>
      </w:r>
      <w:r>
        <w:rPr>
          <w:spacing w:val="7"/>
        </w:rPr>
        <w:t>后置零。</w:t>
      </w:r>
    </w:p>
    <w:p>
      <w:pPr>
        <w:pStyle w:val="BodyText"/>
        <w:spacing w:before="99" w:line="268" w:lineRule="auto"/>
        <w:ind w:left="40" w:right="104" w:firstLine="19"/>
      </w:pPr>
      <w:hyperlink r:id="rId14" w:history="1">
        <w:r>
          <w:rPr>
            <w:spacing w:val="23"/>
          </w:rPr>
          <w:t>7.1.1.3</w:t>
        </w:r>
      </w:hyperlink>
      <w:r>
        <w:rPr>
          <w:spacing w:val="9"/>
        </w:rPr>
        <w:t xml:space="preserve">  </w:t>
      </w:r>
      <w:r>
        <w:rPr>
          <w:spacing w:val="23"/>
        </w:rPr>
        <w:t>在测量范围上限的20%～100%范围内，大致均匀选择5个负荷点作为试验</w:t>
      </w:r>
      <w:r>
        <w:t xml:space="preserve"> </w:t>
      </w:r>
      <w:r>
        <w:rPr>
          <w:spacing w:val="14"/>
        </w:rPr>
        <w:t>力校准点；驱动螺母对力传感器加荷，逐级递增施加试验力到各校准点(以标准测力仪</w:t>
      </w:r>
      <w:r>
        <w:rPr>
          <w:spacing w:val="12"/>
        </w:rPr>
        <w:t xml:space="preserve"> </w:t>
      </w:r>
      <w:r>
        <w:rPr>
          <w:spacing w:val="8"/>
        </w:rPr>
        <w:t>示值为准)并记录指示器读数后回零。</w:t>
      </w:r>
    </w:p>
    <w:p>
      <w:pPr>
        <w:pStyle w:val="BodyText"/>
        <w:spacing w:before="77" w:line="219" w:lineRule="auto"/>
        <w:ind w:left="59"/>
      </w:pPr>
      <w:hyperlink r:id="rId15" w:history="1">
        <w:r>
          <w:rPr>
            <w:spacing w:val="15"/>
          </w:rPr>
          <w:t>7.1.1.4</w:t>
        </w:r>
      </w:hyperlink>
      <w:r>
        <w:rPr>
          <w:spacing w:val="15"/>
        </w:rPr>
        <w:t xml:space="preserve">  重复</w:t>
      </w:r>
      <w:hyperlink r:id="rId14" w:history="1">
        <w:r>
          <w:rPr>
            <w:spacing w:val="15"/>
          </w:rPr>
          <w:t>7.1.1.3</w:t>
        </w:r>
      </w:hyperlink>
      <w:r>
        <w:rPr>
          <w:spacing w:val="15"/>
        </w:rPr>
        <w:t>共测量3次。</w:t>
      </w:r>
    </w:p>
    <w:p>
      <w:pPr>
        <w:pStyle w:val="BodyText"/>
        <w:spacing w:before="85" w:line="219" w:lineRule="auto"/>
        <w:ind w:left="59"/>
      </w:pPr>
      <w:r>
        <w:rPr>
          <w:spacing w:val="9"/>
        </w:rPr>
        <w:t>7.1.2</w:t>
      </w:r>
      <w:r>
        <w:rPr>
          <w:spacing w:val="117"/>
        </w:rPr>
        <w:t xml:space="preserve"> </w:t>
      </w:r>
      <w:r>
        <w:rPr>
          <w:spacing w:val="9"/>
        </w:rPr>
        <w:t>采用力标准机校准(部件法)</w:t>
      </w:r>
    </w:p>
    <w:p>
      <w:pPr>
        <w:pStyle w:val="BodyText"/>
        <w:spacing w:before="107" w:line="254" w:lineRule="auto"/>
        <w:ind w:left="50" w:right="106"/>
      </w:pPr>
      <w:hyperlink r:id="rId16" w:history="1">
        <w:r>
          <w:rPr>
            <w:spacing w:val="13"/>
          </w:rPr>
          <w:t>7.1.2.1</w:t>
        </w:r>
      </w:hyperlink>
      <w:r>
        <w:rPr>
          <w:spacing w:val="13"/>
        </w:rPr>
        <w:t xml:space="preserve">  将高强螺栓检测仪上的力传感器及指示装置取</w:t>
      </w:r>
      <w:r>
        <w:rPr>
          <w:spacing w:val="12"/>
        </w:rPr>
        <w:t>下放置到力标准机上，当连接</w:t>
      </w:r>
      <w:r>
        <w:t xml:space="preserve"> </w:t>
      </w:r>
      <w:r>
        <w:rPr>
          <w:spacing w:val="10"/>
        </w:rPr>
        <w:t>件可能影响到力传感器的测试性能时，应当将连接件一同安装到力标准机上。</w:t>
      </w:r>
    </w:p>
    <w:p>
      <w:pPr>
        <w:pStyle w:val="BodyText"/>
        <w:spacing w:before="79" w:line="219" w:lineRule="auto"/>
        <w:ind w:left="59"/>
      </w:pPr>
      <w:hyperlink r:id="rId17" w:history="1">
        <w:r>
          <w:rPr>
            <w:spacing w:val="5"/>
          </w:rPr>
          <w:t>7.1.2.2</w:t>
        </w:r>
      </w:hyperlink>
      <w:r>
        <w:rPr>
          <w:spacing w:val="5"/>
        </w:rPr>
        <w:t xml:space="preserve">  将仪器预热30</w:t>
      </w:r>
      <w:r>
        <w:rPr>
          <w:spacing w:val="41"/>
        </w:rPr>
        <w:t xml:space="preserve"> </w:t>
      </w:r>
      <w:r>
        <w:rPr>
          <w:rFonts w:ascii="Times New Roman" w:eastAsia="Times New Roman" w:hAnsi="Times New Roman" w:cs="Times New Roman"/>
        </w:rPr>
        <w:t>min</w:t>
      </w:r>
      <w:r>
        <w:rPr>
          <w:rFonts w:ascii="Times New Roman" w:eastAsia="Times New Roman" w:hAnsi="Times New Roman" w:cs="Times New Roman"/>
          <w:spacing w:val="27"/>
          <w:w w:val="101"/>
        </w:rPr>
        <w:t xml:space="preserve"> </w:t>
      </w:r>
      <w:r>
        <w:rPr>
          <w:spacing w:val="5"/>
        </w:rPr>
        <w:t>后置零。</w:t>
      </w:r>
    </w:p>
    <w:p>
      <w:pPr>
        <w:pStyle w:val="BodyText"/>
        <w:spacing w:before="96" w:line="266" w:lineRule="auto"/>
        <w:ind w:left="50" w:right="94" w:firstLine="9"/>
      </w:pPr>
      <w:hyperlink r:id="rId18" w:history="1">
        <w:r>
          <w:rPr>
            <w:spacing w:val="23"/>
          </w:rPr>
          <w:t>7.1.2.3</w:t>
        </w:r>
      </w:hyperlink>
      <w:r>
        <w:rPr>
          <w:spacing w:val="23"/>
        </w:rPr>
        <w:t xml:space="preserve">  在测量上限的20%～100%范</w:t>
      </w:r>
      <w:r>
        <w:rPr>
          <w:spacing w:val="22"/>
        </w:rPr>
        <w:t>围内，大致均匀选择5个负荷点作为试验力校</w:t>
      </w:r>
      <w:r>
        <w:t xml:space="preserve"> </w:t>
      </w:r>
      <w:r>
        <w:rPr>
          <w:spacing w:val="11"/>
        </w:rPr>
        <w:t xml:space="preserve">准点；用力标准机对力传感器加荷，逐级递增施加试验力到各校准点并记录指示器读数 </w:t>
      </w:r>
      <w:r>
        <w:rPr>
          <w:spacing w:val="-3"/>
        </w:rPr>
        <w:t>后回零。</w:t>
      </w:r>
    </w:p>
    <w:p>
      <w:pPr>
        <w:pStyle w:val="BodyText"/>
        <w:spacing w:before="87" w:line="219" w:lineRule="auto"/>
        <w:ind w:left="69"/>
      </w:pPr>
      <w:hyperlink r:id="rId19" w:history="1">
        <w:r>
          <w:rPr>
            <w:spacing w:val="14"/>
          </w:rPr>
          <w:t>7.1.2.4</w:t>
        </w:r>
      </w:hyperlink>
      <w:r>
        <w:rPr>
          <w:spacing w:val="10"/>
        </w:rPr>
        <w:t xml:space="preserve">  </w:t>
      </w:r>
      <w:r>
        <w:rPr>
          <w:spacing w:val="14"/>
        </w:rPr>
        <w:t>重复</w:t>
      </w:r>
      <w:hyperlink r:id="rId18" w:history="1">
        <w:r>
          <w:rPr>
            <w:spacing w:val="14"/>
          </w:rPr>
          <w:t>7.1.2.3</w:t>
        </w:r>
      </w:hyperlink>
      <w:r>
        <w:rPr>
          <w:spacing w:val="14"/>
        </w:rPr>
        <w:t>共测量3次。</w:t>
      </w:r>
    </w:p>
    <w:sdt>
      <w:sdtPr>
        <w:rPr>
          <w:rFonts w:ascii="SimSun" w:eastAsia="SimSun" w:hAnsi="SimSun" w:cs="SimSun"/>
          <w:sz w:val="23"/>
          <w:szCs w:val="23"/>
        </w:rPr>
        <w:id w:val="76194120"/>
        <w:docPartObj>
          <w:docPartGallery w:val="Table of Contents"/>
          <w:docPartUnique/>
        </w:docPartObj>
      </w:sdtPr>
      <w:sdtEndPr>
        <w:rPr>
          <w:rFonts w:ascii="SimSun" w:eastAsia="SimSun" w:hAnsi="SimSun" w:cs="SimSun"/>
          <w:sz w:val="23"/>
          <w:szCs w:val="23"/>
        </w:rPr>
      </w:sdtEndPr>
      <w:sdtContent>
        <w:p>
          <w:pPr>
            <w:pStyle w:val="BodyText"/>
            <w:spacing w:before="87" w:line="219" w:lineRule="auto"/>
            <w:ind w:left="50"/>
          </w:pPr>
          <w:r>
            <w:rPr>
              <w:spacing w:val="13"/>
            </w:rPr>
            <w:t>7.1.3  高强螺栓检测仪试验力示值误差、试验力示值重复性分别按公式(1)和公式(</w:t>
          </w:r>
          <w:hyperlink w:anchor="bookmark1" w:history="1">
            <w:r>
              <w:rPr>
                <w:spacing w:val="13"/>
              </w:rPr>
              <w:t>2)</w:t>
            </w:r>
          </w:hyperlink>
        </w:p>
        <w:p>
          <w:pPr>
            <w:pStyle w:val="BodyText"/>
            <w:spacing w:before="108" w:line="219" w:lineRule="auto"/>
            <w:ind w:left="69"/>
          </w:pPr>
          <w:r>
            <w:rPr>
              <w:spacing w:val="13"/>
            </w:rPr>
            <w:t>计算；其结果应符合表2的要求。</w:t>
          </w:r>
        </w:p>
        <w:p>
          <w:pPr>
            <w:pStyle w:val="BodyText"/>
            <w:spacing w:before="17"/>
            <w:ind w:left="3529"/>
          </w:pPr>
          <w:r>
            <w:rPr>
              <w:position w:val="-15"/>
            </w:rPr>
            <w:drawing>
              <wp:inline distT="0" distB="0" distL="0" distR="0">
                <wp:extent cx="1409688" cy="361972"/>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20"/>
                        <a:stretch>
                          <a:fillRect/>
                        </a:stretch>
                      </pic:blipFill>
                      <pic:spPr>
                        <a:xfrm>
                          <a:off x="0" y="0"/>
                          <a:ext cx="1409688" cy="361972"/>
                        </a:xfrm>
                        <a:prstGeom prst="rect">
                          <a:avLst/>
                        </a:prstGeom>
                      </pic:spPr>
                    </pic:pic>
                  </a:graphicData>
                </a:graphic>
              </wp:inline>
            </w:drawing>
          </w:r>
          <w:r>
            <w:rPr>
              <w:spacing w:val="1"/>
            </w:rPr>
            <w:t xml:space="preserve">                         </w:t>
          </w:r>
          <w:r>
            <w:t xml:space="preserve">  </w:t>
          </w:r>
          <w:r>
            <w:rPr>
              <w:spacing w:val="-13"/>
            </w:rPr>
            <w:t>(</w:t>
          </w:r>
          <w:hyperlink w:anchor="bookmark2" w:history="1">
            <w:r>
              <w:rPr>
                <w:spacing w:val="-13"/>
              </w:rPr>
              <w:t>1)</w:t>
            </w:r>
          </w:hyperlink>
        </w:p>
        <w:p>
          <w:pPr>
            <w:pStyle w:val="BodyText"/>
            <w:spacing w:before="150"/>
            <w:ind w:left="3249"/>
          </w:pPr>
          <w:r>
            <w:rPr>
              <w:position w:val="-23"/>
            </w:rPr>
            <w:drawing>
              <wp:inline distT="0" distB="0" distL="0" distR="0">
                <wp:extent cx="1752648" cy="38733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21"/>
                        <a:stretch>
                          <a:fillRect/>
                        </a:stretch>
                      </pic:blipFill>
                      <pic:spPr>
                        <a:xfrm>
                          <a:off x="0" y="0"/>
                          <a:ext cx="1752648" cy="387331"/>
                        </a:xfrm>
                        <a:prstGeom prst="rect">
                          <a:avLst/>
                        </a:prstGeom>
                      </pic:spPr>
                    </pic:pic>
                  </a:graphicData>
                </a:graphic>
              </wp:inline>
            </w:drawing>
          </w:r>
          <w:r>
            <w:rPr>
              <w:spacing w:val="4"/>
            </w:rPr>
            <w:t xml:space="preserve">                        </w:t>
          </w:r>
          <w:r>
            <w:rPr>
              <w:spacing w:val="-17"/>
            </w:rPr>
            <w:t>(</w:t>
          </w:r>
          <w:hyperlink w:anchor="bookmark3" w:history="1">
            <w:r>
              <w:rPr>
                <w:spacing w:val="-17"/>
              </w:rPr>
              <w:t>2)</w:t>
            </w:r>
          </w:hyperlink>
        </w:p>
      </w:sdtContent>
    </w:sdt>
    <w:p>
      <w:pPr>
        <w:pStyle w:val="BodyText"/>
        <w:spacing w:before="141" w:line="221" w:lineRule="auto"/>
        <w:ind w:left="69"/>
      </w:pPr>
      <w:r>
        <w:rPr>
          <w:spacing w:val="6"/>
        </w:rPr>
        <w:t>7.2</w:t>
      </w:r>
      <w:r>
        <w:rPr>
          <w:spacing w:val="107"/>
        </w:rPr>
        <w:t xml:space="preserve"> </w:t>
      </w:r>
      <w:r>
        <w:rPr>
          <w:spacing w:val="6"/>
        </w:rPr>
        <w:t>试验扭矩</w:t>
      </w:r>
    </w:p>
    <w:p>
      <w:pPr>
        <w:pStyle w:val="BodyText"/>
        <w:spacing w:before="92" w:line="219" w:lineRule="auto"/>
        <w:ind w:left="50"/>
        <w:sectPr>
          <w:headerReference w:type="default" r:id="rId22"/>
          <w:footerReference w:type="default" r:id="rId23"/>
          <w:pgSz w:w="11920" w:h="16850"/>
          <w:pgMar w:top="1720" w:right="1214" w:bottom="1115" w:left="1389" w:header="1451" w:footer="966" w:gutter="0"/>
          <w:pgNumType w:start="5"/>
          <w:cols w:space="708"/>
        </w:sectPr>
      </w:pPr>
      <w:r>
        <w:rPr>
          <w:spacing w:val="9"/>
        </w:rPr>
        <w:t>7.2.1  采用检定杠杆和力值砝码校准(整机法和部件法</w:t>
      </w:r>
      <w:r>
        <w:rPr>
          <w:spacing w:val="8"/>
        </w:rPr>
        <w:t>)*</w:t>
      </w:r>
    </w:p>
    <w:p>
      <w:pPr>
        <w:pStyle w:val="BodyText"/>
        <w:spacing w:before="77" w:line="219" w:lineRule="auto"/>
        <w:jc w:val="right"/>
      </w:pPr>
      <w:hyperlink r:id="rId24" w:history="1">
        <w:r>
          <w:rPr>
            <w:spacing w:val="9"/>
          </w:rPr>
          <w:t>7.2.1.1</w:t>
        </w:r>
      </w:hyperlink>
      <w:r>
        <w:rPr>
          <w:spacing w:val="9"/>
        </w:rPr>
        <w:t xml:space="preserve">  将检定杠杆与高强螺栓检测仪的扭矩传感器相连接，应使检定杠杆保持水平。</w:t>
      </w:r>
    </w:p>
    <w:p>
      <w:pPr>
        <w:pStyle w:val="BodyText"/>
        <w:spacing w:before="109" w:line="219" w:lineRule="auto"/>
        <w:ind w:left="69"/>
      </w:pPr>
      <w:hyperlink r:id="rId25" w:history="1">
        <w:r>
          <w:rPr>
            <w:spacing w:val="6"/>
          </w:rPr>
          <w:t>7.2.1.2</w:t>
        </w:r>
      </w:hyperlink>
      <w:r>
        <w:rPr>
          <w:spacing w:val="6"/>
        </w:rPr>
        <w:t xml:space="preserve">  将仪器预热30 </w:t>
      </w:r>
      <w:r>
        <w:rPr>
          <w:rFonts w:ascii="Times New Roman" w:eastAsia="Times New Roman" w:hAnsi="Times New Roman" w:cs="Times New Roman"/>
        </w:rPr>
        <w:t>min</w:t>
      </w:r>
      <w:r>
        <w:rPr>
          <w:rFonts w:ascii="Times New Roman" w:eastAsia="Times New Roman" w:hAnsi="Times New Roman" w:cs="Times New Roman"/>
          <w:spacing w:val="32"/>
          <w:w w:val="101"/>
        </w:rPr>
        <w:t xml:space="preserve"> </w:t>
      </w:r>
      <w:r>
        <w:rPr>
          <w:spacing w:val="6"/>
        </w:rPr>
        <w:t>后置零。</w:t>
      </w:r>
    </w:p>
    <w:p>
      <w:pPr>
        <w:pStyle w:val="BodyText"/>
        <w:spacing w:before="75" w:line="258" w:lineRule="auto"/>
        <w:ind w:left="79" w:right="104" w:hanging="29"/>
      </w:pPr>
      <w:hyperlink r:id="rId26" w:history="1">
        <w:r>
          <w:rPr>
            <w:spacing w:val="23"/>
          </w:rPr>
          <w:t>7.2.1.3</w:t>
        </w:r>
      </w:hyperlink>
      <w:r>
        <w:rPr>
          <w:spacing w:val="23"/>
        </w:rPr>
        <w:t xml:space="preserve">  在测量上限的20%～100%范围内</w:t>
      </w:r>
      <w:r>
        <w:rPr>
          <w:spacing w:val="22"/>
        </w:rPr>
        <w:t>，大致均匀选择5个负荷点作为试验扭矩</w:t>
      </w:r>
      <w:r>
        <w:t xml:space="preserve"> </w:t>
      </w:r>
      <w:r>
        <w:rPr>
          <w:spacing w:val="9"/>
        </w:rPr>
        <w:t>校准点；对扭矩传感器加荷，逐级递增施加扭矩到各校准点并记录指示器读数后回零。</w:t>
      </w:r>
    </w:p>
    <w:p>
      <w:pPr>
        <w:spacing w:line="258" w:lineRule="auto"/>
        <w:sectPr>
          <w:headerReference w:type="default" r:id="rId27"/>
          <w:footerReference w:type="default" r:id="rId28"/>
          <w:type w:val="nextPage"/>
          <w:pgSz w:w="11920" w:h="16850"/>
          <w:pgMar w:top="1720" w:right="1214" w:bottom="1115" w:left="1389" w:header="1451" w:footer="966" w:gutter="0"/>
          <w:pgNumType w:start="6"/>
          <w:cols w:space="708"/>
          <w:titlePg w:val="0"/>
        </w:sectPr>
      </w:pPr>
    </w:p>
    <w:p>
      <w:pPr>
        <w:pStyle w:val="BodyText"/>
        <w:spacing w:before="229" w:line="219" w:lineRule="auto"/>
        <w:ind w:left="40"/>
      </w:pPr>
      <w:r>
        <w:pict>
          <v:rect id="_x0000_s1025" style="width:17pt;height:0.55pt;margin-top:494.5pt;margin-left:267.5pt;mso-position-horizontal-relative:page;mso-position-vertical-relative:page;position:absolute;z-index:251658240" o:allowincell="f" filled="t" fillcolor="black" stroked="f"/>
        </w:pict>
      </w:r>
      <w:hyperlink r:id="rId29" w:history="1">
        <w:r>
          <w:rPr>
            <w:spacing w:val="12"/>
          </w:rPr>
          <w:t>7.2.1.4</w:t>
        </w:r>
      </w:hyperlink>
      <w:r>
        <w:rPr>
          <w:spacing w:val="12"/>
        </w:rPr>
        <w:t xml:space="preserve">  重复</w:t>
      </w:r>
      <w:hyperlink r:id="rId26" w:history="1">
        <w:r>
          <w:rPr>
            <w:spacing w:val="12"/>
          </w:rPr>
          <w:t>7.2.</w:t>
        </w:r>
        <w:r>
          <w:rPr>
            <w:spacing w:val="-44"/>
          </w:rPr>
          <w:t xml:space="preserve"> </w:t>
        </w:r>
        <w:r>
          <w:rPr>
            <w:spacing w:val="12"/>
          </w:rPr>
          <w:t>1.3</w:t>
        </w:r>
      </w:hyperlink>
      <w:r>
        <w:rPr>
          <w:spacing w:val="12"/>
        </w:rPr>
        <w:t>共测量3次。</w:t>
      </w:r>
    </w:p>
    <w:p>
      <w:pPr>
        <w:pStyle w:val="BodyText"/>
        <w:spacing w:before="105" w:line="219" w:lineRule="auto"/>
        <w:ind w:left="40"/>
      </w:pPr>
      <w:r>
        <w:rPr>
          <w:spacing w:val="6"/>
        </w:rPr>
        <w:t>7.2.2  采用标准扭矩仪校准(整机法)*</w:t>
      </w:r>
    </w:p>
    <w:p>
      <w:pPr>
        <w:pStyle w:val="BodyText"/>
        <w:spacing w:before="87" w:line="254" w:lineRule="auto"/>
        <w:ind w:left="20" w:right="41"/>
      </w:pPr>
      <w:hyperlink r:id="rId30" w:history="1">
        <w:r>
          <w:rPr>
            <w:spacing w:val="13"/>
          </w:rPr>
          <w:t>7.2.2.1</w:t>
        </w:r>
      </w:hyperlink>
      <w:r>
        <w:rPr>
          <w:spacing w:val="13"/>
        </w:rPr>
        <w:t xml:space="preserve">  采用合适的校准用附件，将标准扭矩仪安装</w:t>
      </w:r>
      <w:r>
        <w:rPr>
          <w:spacing w:val="12"/>
        </w:rPr>
        <w:t>在高强螺栓检测仪上，使标准扭</w:t>
      </w:r>
      <w:r>
        <w:t xml:space="preserve"> </w:t>
      </w:r>
      <w:r>
        <w:rPr>
          <w:spacing w:val="9"/>
        </w:rPr>
        <w:t>矩仪与被测扭矩传感器串联，并使两者保持同轴。</w:t>
      </w:r>
    </w:p>
    <w:p>
      <w:pPr>
        <w:pStyle w:val="BodyText"/>
        <w:spacing w:before="88" w:line="219" w:lineRule="auto"/>
        <w:ind w:left="40"/>
      </w:pPr>
      <w:hyperlink r:id="rId31" w:history="1">
        <w:r>
          <w:rPr>
            <w:spacing w:val="7"/>
          </w:rPr>
          <w:t>7.2.2.2</w:t>
        </w:r>
      </w:hyperlink>
      <w:r>
        <w:rPr>
          <w:spacing w:val="7"/>
        </w:rPr>
        <w:t xml:space="preserve">  将指示仪预热30 </w:t>
      </w:r>
      <w:r>
        <w:rPr>
          <w:rFonts w:ascii="Times New Roman" w:eastAsia="Times New Roman" w:hAnsi="Times New Roman" w:cs="Times New Roman"/>
        </w:rPr>
        <w:t>min</w:t>
      </w:r>
      <w:r>
        <w:rPr>
          <w:rFonts w:ascii="Times New Roman" w:eastAsia="Times New Roman" w:hAnsi="Times New Roman" w:cs="Times New Roman"/>
          <w:spacing w:val="17"/>
          <w:w w:val="101"/>
        </w:rPr>
        <w:t xml:space="preserve"> </w:t>
      </w:r>
      <w:r>
        <w:rPr>
          <w:spacing w:val="7"/>
        </w:rPr>
        <w:t>后</w:t>
      </w:r>
      <w:r>
        <w:rPr>
          <w:spacing w:val="6"/>
        </w:rPr>
        <w:t>置零。</w:t>
      </w:r>
    </w:p>
    <w:p>
      <w:pPr>
        <w:pStyle w:val="BodyText"/>
        <w:spacing w:before="87" w:line="263" w:lineRule="auto"/>
        <w:ind w:left="10" w:right="39" w:firstLine="10"/>
      </w:pPr>
      <w:hyperlink r:id="rId32" w:history="1">
        <w:r>
          <w:rPr>
            <w:spacing w:val="23"/>
          </w:rPr>
          <w:t>7.2.2.3</w:t>
        </w:r>
      </w:hyperlink>
      <w:r>
        <w:rPr>
          <w:spacing w:val="23"/>
        </w:rPr>
        <w:t xml:space="preserve">  在测量上限的20%～100%范围内</w:t>
      </w:r>
      <w:r>
        <w:rPr>
          <w:spacing w:val="22"/>
        </w:rPr>
        <w:t>，大致均匀选择5个负荷点作为试验扭矩</w:t>
      </w:r>
      <w:r>
        <w:t xml:space="preserve"> </w:t>
      </w:r>
      <w:r>
        <w:rPr>
          <w:spacing w:val="11"/>
        </w:rPr>
        <w:t>校准点；驱动螺母对扭矩传感器加荷，逐级递增施加扭矩到各校准点并记录指示器读数</w:t>
      </w:r>
      <w:r>
        <w:rPr>
          <w:spacing w:val="1"/>
        </w:rPr>
        <w:t xml:space="preserve"> </w:t>
      </w:r>
      <w:r>
        <w:rPr>
          <w:spacing w:val="20"/>
        </w:rPr>
        <w:t>后回零.</w:t>
      </w:r>
    </w:p>
    <w:p>
      <w:pPr>
        <w:pStyle w:val="BodyText"/>
        <w:spacing w:before="107" w:line="219" w:lineRule="auto"/>
        <w:ind w:left="20"/>
      </w:pPr>
      <w:hyperlink r:id="rId33" w:history="1">
        <w:r>
          <w:rPr>
            <w:spacing w:val="14"/>
          </w:rPr>
          <w:t>7.2.2.4</w:t>
        </w:r>
      </w:hyperlink>
      <w:r>
        <w:rPr>
          <w:spacing w:val="14"/>
        </w:rPr>
        <w:t xml:space="preserve">  重复</w:t>
      </w:r>
      <w:hyperlink r:id="rId32" w:history="1">
        <w:r>
          <w:rPr>
            <w:spacing w:val="14"/>
          </w:rPr>
          <w:t>7.2.2.3</w:t>
        </w:r>
      </w:hyperlink>
      <w:r>
        <w:rPr>
          <w:spacing w:val="14"/>
        </w:rPr>
        <w:t>共测量3次。</w:t>
      </w:r>
    </w:p>
    <w:p>
      <w:pPr>
        <w:pStyle w:val="BodyText"/>
        <w:spacing w:before="85" w:line="219" w:lineRule="auto"/>
        <w:ind w:left="20"/>
      </w:pPr>
      <w:r>
        <w:rPr>
          <w:spacing w:val="8"/>
        </w:rPr>
        <w:t>7.2.3  采用扭矩标准机校准(部件法)</w:t>
      </w:r>
    </w:p>
    <w:p>
      <w:pPr>
        <w:pStyle w:val="BodyText"/>
        <w:spacing w:before="78" w:line="258" w:lineRule="auto"/>
        <w:ind w:right="50"/>
      </w:pPr>
      <w:hyperlink r:id="rId34" w:history="1">
        <w:r>
          <w:rPr>
            <w:spacing w:val="13"/>
          </w:rPr>
          <w:t>7.2.3.1</w:t>
        </w:r>
      </w:hyperlink>
      <w:r>
        <w:rPr>
          <w:spacing w:val="13"/>
        </w:rPr>
        <w:t xml:space="preserve">  将高强螺栓检测仪上扭矩传感器及指示装置取下安装到扭矩标准机上</w:t>
      </w:r>
      <w:r>
        <w:rPr>
          <w:spacing w:val="12"/>
        </w:rPr>
        <w:t>，当连</w:t>
      </w:r>
      <w:r>
        <w:t xml:space="preserve"> </w:t>
      </w:r>
      <w:r>
        <w:rPr>
          <w:spacing w:val="10"/>
        </w:rPr>
        <w:t>接件可能影响到扭矩传感器的测试性能时应当将连接件一同安装到扭矩标准机上。</w:t>
      </w:r>
    </w:p>
    <w:p>
      <w:pPr>
        <w:pStyle w:val="BodyText"/>
        <w:spacing w:before="78" w:line="219" w:lineRule="auto"/>
        <w:ind w:left="20"/>
      </w:pPr>
      <w:hyperlink r:id="rId35" w:history="1">
        <w:r>
          <w:rPr>
            <w:spacing w:val="5"/>
          </w:rPr>
          <w:t>7.2.3.2</w:t>
        </w:r>
      </w:hyperlink>
      <w:r>
        <w:rPr>
          <w:spacing w:val="28"/>
        </w:rPr>
        <w:t xml:space="preserve">  </w:t>
      </w:r>
      <w:r>
        <w:rPr>
          <w:spacing w:val="5"/>
        </w:rPr>
        <w:t xml:space="preserve">将仪器预热30 </w:t>
      </w:r>
      <w:r>
        <w:rPr>
          <w:rFonts w:ascii="Times New Roman" w:eastAsia="Times New Roman" w:hAnsi="Times New Roman" w:cs="Times New Roman"/>
        </w:rPr>
        <w:t>min</w:t>
      </w:r>
      <w:r>
        <w:rPr>
          <w:rFonts w:ascii="Times New Roman" w:eastAsia="Times New Roman" w:hAnsi="Times New Roman" w:cs="Times New Roman"/>
          <w:spacing w:val="27"/>
          <w:w w:val="101"/>
        </w:rPr>
        <w:t xml:space="preserve"> </w:t>
      </w:r>
      <w:r>
        <w:rPr>
          <w:spacing w:val="5"/>
        </w:rPr>
        <w:t>后置零。</w:t>
      </w:r>
    </w:p>
    <w:p>
      <w:pPr>
        <w:pStyle w:val="BodyText"/>
        <w:spacing w:before="97" w:line="263" w:lineRule="auto"/>
        <w:ind w:right="20" w:firstLine="20"/>
      </w:pPr>
      <w:hyperlink r:id="rId36" w:history="1">
        <w:r>
          <w:rPr>
            <w:spacing w:val="23"/>
          </w:rPr>
          <w:t>7.2.3.3</w:t>
        </w:r>
      </w:hyperlink>
      <w:r>
        <w:rPr>
          <w:spacing w:val="23"/>
        </w:rPr>
        <w:t xml:space="preserve">  在测量上限的20%～100%范围内，大致均匀选择5个负</w:t>
      </w:r>
      <w:r>
        <w:rPr>
          <w:spacing w:val="22"/>
        </w:rPr>
        <w:t>荷点作为试验扭矩</w:t>
      </w:r>
      <w:r>
        <w:t xml:space="preserve"> </w:t>
      </w:r>
      <w:r>
        <w:rPr>
          <w:spacing w:val="12"/>
        </w:rPr>
        <w:t>校准点；用扭矩标准机对扭矩传感器加荷，逐级递增施加扭矩到各校准点并记录指示器</w:t>
      </w:r>
      <w:r>
        <w:rPr>
          <w:spacing w:val="2"/>
        </w:rPr>
        <w:t xml:space="preserve"> </w:t>
      </w:r>
      <w:r>
        <w:rPr>
          <w:spacing w:val="2"/>
        </w:rPr>
        <w:t>读数后回零。</w:t>
      </w:r>
    </w:p>
    <w:p>
      <w:pPr>
        <w:pStyle w:val="BodyText"/>
        <w:spacing w:before="107" w:line="219" w:lineRule="auto"/>
      </w:pPr>
      <w:hyperlink r:id="rId37" w:history="1">
        <w:r>
          <w:rPr>
            <w:spacing w:val="15"/>
          </w:rPr>
          <w:t>7.2.3.4</w:t>
        </w:r>
      </w:hyperlink>
      <w:r>
        <w:rPr>
          <w:spacing w:val="15"/>
        </w:rPr>
        <w:t xml:space="preserve">  重复</w:t>
      </w:r>
      <w:hyperlink r:id="rId36" w:history="1">
        <w:r>
          <w:rPr>
            <w:spacing w:val="15"/>
          </w:rPr>
          <w:t>7.2.3.3</w:t>
        </w:r>
      </w:hyperlink>
      <w:r>
        <w:rPr>
          <w:spacing w:val="15"/>
        </w:rPr>
        <w:t>共测量3次。</w:t>
      </w:r>
    </w:p>
    <w:p>
      <w:pPr>
        <w:pStyle w:val="BodyText"/>
        <w:spacing w:before="76" w:line="219" w:lineRule="auto"/>
      </w:pPr>
      <w:r>
        <w:rPr>
          <w:spacing w:val="9"/>
        </w:rPr>
        <w:t>7.2.4  采用扭矩扳子检定仪校准(部件法)</w:t>
      </w:r>
    </w:p>
    <w:p>
      <w:pPr>
        <w:pStyle w:val="BodyText"/>
        <w:spacing w:before="86" w:line="260" w:lineRule="auto"/>
        <w:ind w:left="10" w:right="48" w:firstLine="500"/>
      </w:pPr>
      <w:r>
        <w:rPr>
          <w:spacing w:val="14"/>
        </w:rPr>
        <w:t>当高强螺栓检测仪采用扭矩扳子测量试验扭矩时，参照</w:t>
      </w:r>
      <w:r>
        <w:t>JJG</w:t>
      </w:r>
      <w:r>
        <w:rPr>
          <w:spacing w:val="61"/>
        </w:rPr>
        <w:t xml:space="preserve"> </w:t>
      </w:r>
      <w:r>
        <w:rPr>
          <w:spacing w:val="14"/>
        </w:rPr>
        <w:t>707</w:t>
      </w:r>
      <w:r>
        <w:rPr>
          <w:spacing w:val="-49"/>
        </w:rPr>
        <w:t xml:space="preserve"> </w:t>
      </w:r>
      <w:r>
        <w:rPr>
          <w:spacing w:val="14"/>
        </w:rPr>
        <w:t>中</w:t>
      </w:r>
      <w:r>
        <w:rPr>
          <w:spacing w:val="13"/>
        </w:rPr>
        <w:t>2级扭矩扳子要</w:t>
      </w:r>
      <w:r>
        <w:t xml:space="preserve"> </w:t>
      </w:r>
      <w:r>
        <w:rPr>
          <w:spacing w:val="7"/>
        </w:rPr>
        <w:t>求单独对扭矩扳子进行校准。</w:t>
      </w:r>
    </w:p>
    <w:p>
      <w:pPr>
        <w:pStyle w:val="BodyText"/>
        <w:spacing w:before="95" w:line="254" w:lineRule="auto"/>
        <w:ind w:left="10" w:right="40"/>
      </w:pPr>
      <w:r>
        <w:rPr>
          <w:spacing w:val="10"/>
        </w:rPr>
        <w:t>7.2.5  高强螺栓检测仪试验扭矩示值相对误差、试验扭矩示值重复性分别按公式(3</w:t>
      </w:r>
      <w:r>
        <w:rPr>
          <w:spacing w:val="9"/>
        </w:rPr>
        <w:t>)和</w:t>
      </w:r>
      <w:r>
        <w:t xml:space="preserve"> </w:t>
      </w:r>
      <w:r>
        <w:rPr>
          <w:spacing w:val="13"/>
        </w:rPr>
        <w:t>公式(4)计算；其结果应符合表2要求。</w:t>
      </w:r>
    </w:p>
    <w:p>
      <w:pPr>
        <w:spacing w:line="37" w:lineRule="exact"/>
      </w:pPr>
    </w:p>
    <w:p>
      <w:pPr>
        <w:spacing w:line="37" w:lineRule="exact"/>
        <w:sectPr>
          <w:headerReference w:type="default" r:id="rId38"/>
          <w:footerReference w:type="default" r:id="rId39"/>
          <w:pgSz w:w="11920" w:h="16850"/>
          <w:pgMar w:top="1739" w:right="1310" w:bottom="1125" w:left="1389" w:header="1481" w:footer="976" w:gutter="0"/>
          <w:pgNumType w:start="7"/>
          <w:cols w:num="1" w:space="708" w:equalWidth="0">
            <w:col w:w="9221" w:space="0"/>
          </w:cols>
        </w:sectPr>
      </w:pPr>
    </w:p>
    <w:p>
      <w:pPr>
        <w:spacing w:before="20" w:line="550" w:lineRule="exact"/>
        <w:ind w:firstLine="3429"/>
      </w:pPr>
      <w:r>
        <w:rPr>
          <w:position w:val="-10"/>
        </w:rPr>
        <w:drawing>
          <wp:inline distT="0" distB="0" distL="0" distR="0">
            <wp:extent cx="1473193" cy="349239"/>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40"/>
                    <a:stretch>
                      <a:fillRect/>
                    </a:stretch>
                  </pic:blipFill>
                  <pic:spPr>
                    <a:xfrm>
                      <a:off x="0" y="0"/>
                      <a:ext cx="1473193" cy="349239"/>
                    </a:xfrm>
                    <a:prstGeom prst="rect">
                      <a:avLst/>
                    </a:prstGeom>
                  </pic:spPr>
                </pic:pic>
              </a:graphicData>
            </a:graphic>
          </wp:inline>
        </w:drawing>
      </w:r>
    </w:p>
    <w:p>
      <w:pPr>
        <w:spacing w:before="140" w:line="610" w:lineRule="exact"/>
        <w:ind w:firstLine="3159"/>
      </w:pPr>
      <w:r>
        <w:rPr>
          <w:position w:val="-12"/>
        </w:rPr>
        <w:drawing>
          <wp:inline distT="0" distB="0" distL="0" distR="0">
            <wp:extent cx="1816078" cy="387331"/>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41"/>
                    <a:stretch>
                      <a:fillRect/>
                    </a:stretch>
                  </pic:blipFill>
                  <pic:spPr>
                    <a:xfrm>
                      <a:off x="0" y="0"/>
                      <a:ext cx="1816078" cy="387331"/>
                    </a:xfrm>
                    <a:prstGeom prst="rect">
                      <a:avLst/>
                    </a:prstGeom>
                  </pic:spPr>
                </pic:pic>
              </a:graphicData>
            </a:graphic>
          </wp:inline>
        </w:drawing>
      </w:r>
    </w:p>
    <w:p>
      <w:pPr>
        <w:spacing w:before="124" w:line="189" w:lineRule="auto"/>
        <w:ind w:left="529"/>
        <w:rPr>
          <w:rFonts w:ascii="FangSong" w:eastAsia="FangSong" w:hAnsi="FangSong" w:cs="FangSong"/>
          <w:sz w:val="23"/>
          <w:szCs w:val="23"/>
        </w:rPr>
      </w:pPr>
      <w:r>
        <w:rPr>
          <w:rFonts w:ascii="FangSong" w:eastAsia="FangSong" w:hAnsi="FangSong" w:cs="FangSong"/>
          <w:spacing w:val="-19"/>
          <w:sz w:val="23"/>
          <w:szCs w:val="23"/>
        </w:rPr>
        <w:t>*在具备利用整机法校准条件的情况下，推荐使用整机法。</w:t>
      </w:r>
    </w:p>
    <w:p>
      <w:pPr>
        <w:spacing w:line="14" w:lineRule="auto"/>
        <w:rPr>
          <w:rFonts w:ascii="Arial"/>
          <w:sz w:val="2"/>
        </w:rPr>
      </w:pPr>
      <w:r>
        <w:rPr>
          <w:rFonts w:ascii="Arial" w:eastAsia="Arial" w:hAnsi="Arial" w:cs="Arial"/>
          <w:sz w:val="2"/>
          <w:szCs w:val="2"/>
        </w:rPr>
        <w:br w:type="column"/>
      </w:r>
    </w:p>
    <w:p>
      <w:pPr>
        <w:pStyle w:val="BodyText"/>
        <w:spacing w:before="202" w:line="680" w:lineRule="exact"/>
        <w:ind w:left="309"/>
      </w:pPr>
      <w:r>
        <w:rPr>
          <w:spacing w:val="-11"/>
          <w:position w:val="35"/>
        </w:rPr>
        <w:t>(3)</w:t>
      </w:r>
    </w:p>
    <w:p>
      <w:pPr>
        <w:pStyle w:val="BodyText"/>
        <w:spacing w:line="222" w:lineRule="auto"/>
        <w:ind w:left="309"/>
      </w:pPr>
      <w:r>
        <w:rPr>
          <w:spacing w:val="-11"/>
        </w:rPr>
        <w:t>(4)</w:t>
      </w:r>
    </w:p>
    <w:p>
      <w:pPr>
        <w:spacing w:line="222" w:lineRule="auto"/>
        <w:sectPr>
          <w:headerReference w:type="default" r:id="rId42"/>
          <w:footerReference w:type="default" r:id="rId43"/>
          <w:type w:val="continuous"/>
          <w:pgSz w:w="11920" w:h="16850"/>
          <w:pgMar w:top="1739" w:right="1310" w:bottom="1125" w:left="1389" w:header="1481" w:footer="976" w:gutter="0"/>
          <w:pgNumType w:start="8"/>
          <w:cols w:num="2" w:space="708" w:equalWidth="0">
            <w:col w:w="8401" w:space="100"/>
            <w:col w:w="720" w:space="0"/>
          </w:cols>
        </w:sectPr>
      </w:pPr>
    </w:p>
    <w:p>
      <w:pPr>
        <w:spacing w:before="311" w:line="222" w:lineRule="auto"/>
        <w:rPr>
          <w:rFonts w:ascii="SimHei" w:eastAsia="SimHei" w:hAnsi="SimHei" w:cs="SimHei"/>
          <w:sz w:val="23"/>
          <w:szCs w:val="23"/>
        </w:rPr>
      </w:pPr>
      <w:r>
        <w:rPr>
          <w:rFonts w:ascii="SimHei" w:eastAsia="SimHei" w:hAnsi="SimHei" w:cs="SimHei"/>
          <w:spacing w:val="8"/>
          <w:sz w:val="23"/>
          <w:szCs w:val="23"/>
        </w:rPr>
        <w:t>8</w:t>
      </w:r>
      <w:r>
        <w:rPr>
          <w:rFonts w:ascii="SimHei" w:eastAsia="SimHei" w:hAnsi="SimHei" w:cs="SimHei"/>
          <w:spacing w:val="8"/>
          <w:sz w:val="23"/>
          <w:szCs w:val="23"/>
        </w:rPr>
        <w:t xml:space="preserve">  </w:t>
      </w:r>
      <w:r>
        <w:rPr>
          <w:rFonts w:ascii="SimHei" w:eastAsia="SimHei" w:hAnsi="SimHei" w:cs="SimHei"/>
          <w:spacing w:val="8"/>
          <w:sz w:val="23"/>
          <w:szCs w:val="23"/>
        </w:rPr>
        <w:t>校准结果表达</w:t>
      </w:r>
    </w:p>
    <w:p>
      <w:pPr>
        <w:pStyle w:val="BodyText"/>
        <w:spacing w:before="261" w:line="218" w:lineRule="auto"/>
        <w:ind w:left="500"/>
      </w:pPr>
      <w:r>
        <w:rPr>
          <w:spacing w:val="9"/>
        </w:rPr>
        <w:t>校准结果应在校准证书或校准报告上反映。校准证书或报告</w:t>
      </w:r>
      <w:r>
        <w:rPr>
          <w:spacing w:val="8"/>
        </w:rPr>
        <w:t>应至少包括如下信息：</w:t>
      </w:r>
    </w:p>
    <w:p>
      <w:pPr>
        <w:pStyle w:val="BodyText"/>
        <w:spacing w:before="64" w:line="212" w:lineRule="auto"/>
        <w:ind w:left="500"/>
      </w:pPr>
      <w:r>
        <w:rPr>
          <w:rFonts w:ascii="Times New Roman" w:eastAsia="Times New Roman" w:hAnsi="Times New Roman" w:cs="Times New Roman"/>
          <w:spacing w:val="-11"/>
        </w:rPr>
        <w:t>a)</w:t>
      </w:r>
      <w:r>
        <w:rPr>
          <w:rFonts w:ascii="Times New Roman" w:eastAsia="Times New Roman" w:hAnsi="Times New Roman" w:cs="Times New Roman"/>
          <w:spacing w:val="22"/>
        </w:rPr>
        <w:t xml:space="preserve">  </w:t>
      </w:r>
      <w:r>
        <w:rPr>
          <w:spacing w:val="-11"/>
        </w:rPr>
        <w:t>标题：“校准证书”;</w:t>
      </w:r>
    </w:p>
    <w:p>
      <w:pPr>
        <w:pStyle w:val="BodyText"/>
        <w:spacing w:before="96" w:line="212" w:lineRule="auto"/>
        <w:ind w:left="500"/>
      </w:pPr>
      <w:r>
        <w:rPr>
          <w:rFonts w:ascii="Times New Roman" w:eastAsia="Times New Roman" w:hAnsi="Times New Roman" w:cs="Times New Roman"/>
          <w:spacing w:val="7"/>
        </w:rPr>
        <w:t xml:space="preserve">b)  </w:t>
      </w:r>
      <w:r>
        <w:rPr>
          <w:spacing w:val="7"/>
        </w:rPr>
        <w:t>实验室名称和地址；</w:t>
      </w:r>
    </w:p>
    <w:p>
      <w:pPr>
        <w:pStyle w:val="BodyText"/>
        <w:spacing w:before="116" w:line="212" w:lineRule="auto"/>
        <w:ind w:left="500"/>
      </w:pPr>
      <w:r>
        <w:rPr>
          <w:rFonts w:ascii="Times New Roman" w:eastAsia="Times New Roman" w:hAnsi="Times New Roman" w:cs="Times New Roman"/>
          <w:spacing w:val="10"/>
        </w:rPr>
        <w:t xml:space="preserve">c)  </w:t>
      </w:r>
      <w:r>
        <w:rPr>
          <w:spacing w:val="10"/>
        </w:rPr>
        <w:t>进行校准的地点(如果与实验室的地址不同</w:t>
      </w:r>
      <w:r>
        <w:rPr>
          <w:spacing w:val="9"/>
        </w:rPr>
        <w:t>);</w:t>
      </w:r>
    </w:p>
    <w:p>
      <w:pPr>
        <w:pStyle w:val="BodyText"/>
        <w:spacing w:before="96" w:line="212" w:lineRule="auto"/>
        <w:ind w:left="500"/>
        <w:sectPr>
          <w:headerReference w:type="default" r:id="rId44"/>
          <w:footerReference w:type="default" r:id="rId45"/>
          <w:type w:val="continuous"/>
          <w:pgSz w:w="11920" w:h="16850"/>
          <w:pgMar w:top="1739" w:right="1310" w:bottom="1125" w:left="1389" w:header="1481" w:footer="976" w:gutter="0"/>
          <w:pgNumType w:start="9"/>
          <w:cols w:num="1" w:space="708" w:equalWidth="0">
            <w:col w:w="9221" w:space="0"/>
          </w:cols>
        </w:sectPr>
      </w:pPr>
      <w:r>
        <w:rPr>
          <w:rFonts w:ascii="Times New Roman" w:eastAsia="Times New Roman" w:hAnsi="Times New Roman" w:cs="Times New Roman"/>
          <w:spacing w:val="13"/>
        </w:rPr>
        <w:t xml:space="preserve">d)  </w:t>
      </w:r>
      <w:r>
        <w:rPr>
          <w:spacing w:val="13"/>
        </w:rPr>
        <w:t>证书或报告的唯一性标识(如编号)</w:t>
      </w:r>
      <w:r>
        <w:rPr>
          <w:spacing w:val="12"/>
        </w:rPr>
        <w:t>,每页及总页数的标识；</w:t>
      </w:r>
    </w:p>
    <w:p>
      <w:pPr>
        <w:pStyle w:val="BodyText"/>
        <w:spacing w:before="96" w:line="212" w:lineRule="auto"/>
        <w:ind w:left="500"/>
      </w:pPr>
      <w:r>
        <w:rPr>
          <w:rFonts w:ascii="Times New Roman" w:eastAsia="Times New Roman" w:hAnsi="Times New Roman" w:cs="Times New Roman"/>
          <w:spacing w:val="8"/>
        </w:rPr>
        <w:t xml:space="preserve">e)  </w:t>
      </w:r>
      <w:r>
        <w:rPr>
          <w:spacing w:val="8"/>
        </w:rPr>
        <w:t>送校单位的名称和地址；</w:t>
      </w:r>
    </w:p>
    <w:p>
      <w:pPr>
        <w:pStyle w:val="BodyText"/>
        <w:spacing w:before="96" w:line="212" w:lineRule="auto"/>
        <w:ind w:left="510"/>
      </w:pPr>
      <w:r>
        <w:rPr>
          <w:rFonts w:ascii="Times New Roman" w:eastAsia="Times New Roman" w:hAnsi="Times New Roman" w:cs="Times New Roman"/>
          <w:spacing w:val="7"/>
        </w:rPr>
        <w:t xml:space="preserve">f)  </w:t>
      </w:r>
      <w:r>
        <w:rPr>
          <w:spacing w:val="7"/>
        </w:rPr>
        <w:t>被校对象的描述和明确标识；</w:t>
      </w:r>
    </w:p>
    <w:p>
      <w:pPr>
        <w:pStyle w:val="BodyText"/>
        <w:spacing w:before="123" w:line="232" w:lineRule="auto"/>
        <w:ind w:right="90" w:firstLine="480"/>
      </w:pPr>
      <w:r>
        <w:rPr>
          <w:spacing w:val="13"/>
        </w:rPr>
        <w:t>g) 进行校准的日期，若与校准结果的有效性及应用有关时，应说明被校对象的接</w:t>
      </w:r>
      <w:r>
        <w:rPr>
          <w:spacing w:val="2"/>
        </w:rPr>
        <w:t xml:space="preserve"> </w:t>
      </w:r>
      <w:r>
        <w:rPr>
          <w:spacing w:val="-1"/>
        </w:rPr>
        <w:t>收日期；</w:t>
      </w:r>
    </w:p>
    <w:p>
      <w:pPr>
        <w:spacing w:line="232" w:lineRule="auto"/>
        <w:sectPr>
          <w:headerReference w:type="default" r:id="rId46"/>
          <w:footerReference w:type="default" r:id="rId47"/>
          <w:type w:val="nextPage"/>
          <w:pgSz w:w="11920" w:h="16850"/>
          <w:pgMar w:top="1739" w:right="1310" w:bottom="1125" w:left="1389" w:header="1481" w:footer="976" w:gutter="0"/>
          <w:pgNumType w:start="10"/>
          <w:cols w:num="1" w:space="708" w:equalWidth="0">
            <w:col w:w="9221" w:space="0"/>
          </w:cols>
          <w:titlePg w:val="0"/>
        </w:sectPr>
      </w:pPr>
    </w:p>
    <w:p>
      <w:pPr>
        <w:pStyle w:val="BodyText"/>
        <w:spacing w:before="192" w:line="258" w:lineRule="auto"/>
        <w:ind w:left="530" w:right="150"/>
        <w:rPr>
          <w:sz w:val="24"/>
          <w:szCs w:val="24"/>
        </w:rPr>
      </w:pPr>
      <w:r>
        <w:rPr>
          <w:rFonts w:ascii="Times New Roman" w:eastAsia="Times New Roman" w:hAnsi="Times New Roman" w:cs="Times New Roman"/>
          <w:sz w:val="24"/>
          <w:szCs w:val="24"/>
        </w:rPr>
        <w:t>h)</w:t>
      </w:r>
      <w:r>
        <w:rPr>
          <w:rFonts w:ascii="Times New Roman" w:eastAsia="Times New Roman" w:hAnsi="Times New Roman" w:cs="Times New Roman"/>
          <w:spacing w:val="24"/>
          <w:sz w:val="24"/>
          <w:szCs w:val="24"/>
        </w:rPr>
        <w:t xml:space="preserve">  </w:t>
      </w:r>
      <w:r>
        <w:rPr>
          <w:sz w:val="24"/>
          <w:szCs w:val="24"/>
        </w:rPr>
        <w:t xml:space="preserve">如果与校准结果的有效性及应用有关时，应对被校样品的抽样程序进行说明； </w:t>
      </w:r>
      <w:r>
        <w:rPr>
          <w:spacing w:val="-2"/>
          <w:sz w:val="24"/>
          <w:szCs w:val="24"/>
        </w:rPr>
        <w:t>i)</w:t>
      </w:r>
      <w:r>
        <w:rPr>
          <w:spacing w:val="-51"/>
          <w:sz w:val="24"/>
          <w:szCs w:val="24"/>
        </w:rPr>
        <w:t xml:space="preserve"> </w:t>
      </w:r>
      <w:r>
        <w:rPr>
          <w:spacing w:val="-2"/>
          <w:sz w:val="24"/>
          <w:szCs w:val="24"/>
        </w:rPr>
        <w:t>对校准所依据的技术规范的标识，包括名称及代号；</w:t>
      </w:r>
    </w:p>
    <w:p>
      <w:pPr>
        <w:pStyle w:val="BodyText"/>
        <w:spacing w:before="59" w:line="350" w:lineRule="exact"/>
        <w:ind w:left="530"/>
        <w:rPr>
          <w:sz w:val="24"/>
          <w:szCs w:val="24"/>
        </w:rPr>
      </w:pPr>
      <w:r>
        <w:rPr>
          <w:rFonts w:ascii="Times New Roman" w:eastAsia="Times New Roman" w:hAnsi="Times New Roman" w:cs="Times New Roman"/>
          <w:spacing w:val="1"/>
          <w:position w:val="8"/>
          <w:sz w:val="24"/>
          <w:szCs w:val="24"/>
        </w:rPr>
        <w:t xml:space="preserve">j)  </w:t>
      </w:r>
      <w:r>
        <w:rPr>
          <w:spacing w:val="1"/>
          <w:position w:val="8"/>
          <w:sz w:val="24"/>
          <w:szCs w:val="24"/>
        </w:rPr>
        <w:t>本次校准所用测量标准的溯源性及有效性</w:t>
      </w:r>
      <w:r>
        <w:rPr>
          <w:position w:val="8"/>
          <w:sz w:val="24"/>
          <w:szCs w:val="24"/>
        </w:rPr>
        <w:t>说明；</w:t>
      </w:r>
    </w:p>
    <w:p>
      <w:pPr>
        <w:pStyle w:val="BodyText"/>
        <w:spacing w:line="212" w:lineRule="auto"/>
        <w:ind w:left="530"/>
        <w:rPr>
          <w:sz w:val="24"/>
          <w:szCs w:val="24"/>
        </w:rPr>
      </w:pPr>
      <w:r>
        <w:rPr>
          <w:rFonts w:ascii="Times New Roman" w:eastAsia="Times New Roman" w:hAnsi="Times New Roman" w:cs="Times New Roman"/>
          <w:spacing w:val="-2"/>
          <w:sz w:val="24"/>
          <w:szCs w:val="24"/>
        </w:rPr>
        <w:t>k)</w:t>
      </w:r>
      <w:r>
        <w:rPr>
          <w:rFonts w:ascii="Times New Roman" w:eastAsia="Times New Roman" w:hAnsi="Times New Roman" w:cs="Times New Roman"/>
          <w:spacing w:val="10"/>
          <w:sz w:val="24"/>
          <w:szCs w:val="24"/>
        </w:rPr>
        <w:t xml:space="preserve">  </w:t>
      </w:r>
      <w:r>
        <w:rPr>
          <w:spacing w:val="-2"/>
          <w:sz w:val="24"/>
          <w:szCs w:val="24"/>
        </w:rPr>
        <w:t>校准环境的描述；</w:t>
      </w:r>
    </w:p>
    <w:p>
      <w:pPr>
        <w:pStyle w:val="BodyText"/>
        <w:spacing w:before="111" w:line="333" w:lineRule="exact"/>
        <w:ind w:left="530"/>
        <w:rPr>
          <w:sz w:val="24"/>
          <w:szCs w:val="24"/>
        </w:rPr>
      </w:pPr>
      <w:r>
        <w:rPr>
          <w:position w:val="6"/>
          <w:sz w:val="24"/>
          <w:szCs w:val="24"/>
        </w:rPr>
        <w:t>1)校准结果及其测量不确定度的说明；</w:t>
      </w:r>
    </w:p>
    <w:p>
      <w:pPr>
        <w:pStyle w:val="BodyText"/>
        <w:spacing w:line="212" w:lineRule="auto"/>
        <w:ind w:left="530"/>
        <w:rPr>
          <w:sz w:val="24"/>
          <w:szCs w:val="24"/>
        </w:rPr>
      </w:pPr>
      <w:r>
        <w:rPr>
          <w:rFonts w:ascii="Times New Roman" w:eastAsia="Times New Roman" w:hAnsi="Times New Roman" w:cs="Times New Roman"/>
          <w:sz w:val="24"/>
          <w:szCs w:val="24"/>
        </w:rPr>
        <w:t xml:space="preserve">m)  </w:t>
      </w:r>
      <w:r>
        <w:rPr>
          <w:sz w:val="24"/>
          <w:szCs w:val="24"/>
        </w:rPr>
        <w:t>对校准规范的偏离的说明；</w:t>
      </w:r>
    </w:p>
    <w:p>
      <w:pPr>
        <w:pStyle w:val="BodyText"/>
        <w:spacing w:before="105" w:line="244" w:lineRule="auto"/>
        <w:ind w:left="530" w:right="880"/>
        <w:rPr>
          <w:sz w:val="24"/>
          <w:szCs w:val="24"/>
        </w:rPr>
      </w:pPr>
      <w:r>
        <w:rPr>
          <w:rFonts w:ascii="Times New Roman" w:eastAsia="Times New Roman" w:hAnsi="Times New Roman" w:cs="Times New Roman"/>
          <w:spacing w:val="1"/>
          <w:sz w:val="24"/>
          <w:szCs w:val="24"/>
        </w:rPr>
        <w:t xml:space="preserve">n)  </w:t>
      </w:r>
      <w:r>
        <w:rPr>
          <w:spacing w:val="1"/>
          <w:sz w:val="24"/>
          <w:szCs w:val="24"/>
        </w:rPr>
        <w:t>校准证书或校准报告签发人的签名、职务或等效标识，以及签发日期；</w:t>
      </w:r>
      <w:r>
        <w:rPr>
          <w:spacing w:val="3"/>
          <w:sz w:val="24"/>
          <w:szCs w:val="24"/>
        </w:rPr>
        <w:t xml:space="preserve"> </w:t>
      </w:r>
      <w:r>
        <w:rPr>
          <w:rFonts w:ascii="Times New Roman" w:eastAsia="Times New Roman" w:hAnsi="Times New Roman" w:cs="Times New Roman"/>
          <w:spacing w:val="-1"/>
          <w:sz w:val="24"/>
          <w:szCs w:val="24"/>
        </w:rPr>
        <w:t xml:space="preserve">o)  </w:t>
      </w:r>
      <w:r>
        <w:rPr>
          <w:spacing w:val="-1"/>
          <w:sz w:val="24"/>
          <w:szCs w:val="24"/>
        </w:rPr>
        <w:t>校准结果仅是对被校对象有效的声明；</w:t>
      </w:r>
    </w:p>
    <w:p>
      <w:pPr>
        <w:pStyle w:val="BodyText"/>
        <w:spacing w:before="74" w:line="212" w:lineRule="auto"/>
        <w:ind w:left="530"/>
        <w:rPr>
          <w:sz w:val="24"/>
          <w:szCs w:val="24"/>
        </w:rPr>
      </w:pPr>
      <w:r>
        <w:rPr>
          <w:rFonts w:ascii="Times New Roman" w:eastAsia="Times New Roman" w:hAnsi="Times New Roman" w:cs="Times New Roman"/>
          <w:spacing w:val="1"/>
          <w:sz w:val="24"/>
          <w:szCs w:val="24"/>
        </w:rPr>
        <w:t xml:space="preserve">p)  </w:t>
      </w:r>
      <w:r>
        <w:rPr>
          <w:spacing w:val="1"/>
          <w:sz w:val="24"/>
          <w:szCs w:val="24"/>
        </w:rPr>
        <w:t>未经实验室书面批准，不得部分复</w:t>
      </w:r>
      <w:r>
        <w:rPr>
          <w:sz w:val="24"/>
          <w:szCs w:val="24"/>
        </w:rPr>
        <w:t>制证书或报告的声明。</w:t>
      </w:r>
    </w:p>
    <w:p>
      <w:pPr>
        <w:pStyle w:val="BodyText"/>
        <w:spacing w:before="119" w:line="218" w:lineRule="auto"/>
        <w:ind w:left="530"/>
        <w:rPr>
          <w:sz w:val="24"/>
          <w:szCs w:val="24"/>
        </w:rPr>
      </w:pPr>
      <w:r>
        <w:rPr>
          <w:sz w:val="24"/>
          <w:szCs w:val="24"/>
        </w:rPr>
        <w:t>经校准的高强螺栓检测仪，发给校准证书或校</w:t>
      </w:r>
      <w:r>
        <w:rPr>
          <w:spacing w:val="-1"/>
          <w:sz w:val="24"/>
          <w:szCs w:val="24"/>
        </w:rPr>
        <w:t>准报告，加盖校准印章。</w:t>
      </w:r>
    </w:p>
    <w:p>
      <w:pPr>
        <w:spacing w:before="234" w:line="222" w:lineRule="auto"/>
        <w:ind w:left="63"/>
        <w:rPr>
          <w:rFonts w:ascii="SimHei" w:eastAsia="SimHei" w:hAnsi="SimHei" w:cs="SimHei"/>
          <w:sz w:val="24"/>
          <w:szCs w:val="24"/>
        </w:rPr>
      </w:pPr>
      <w:r>
        <w:rPr>
          <w:rFonts w:ascii="SimHei" w:eastAsia="SimHei" w:hAnsi="SimHei" w:cs="SimHei"/>
          <w:b/>
          <w:bCs/>
          <w:spacing w:val="-5"/>
          <w:sz w:val="24"/>
          <w:szCs w:val="24"/>
        </w:rPr>
        <w:t>9</w:t>
      </w:r>
      <w:r>
        <w:rPr>
          <w:rFonts w:ascii="SimHei" w:eastAsia="SimHei" w:hAnsi="SimHei" w:cs="SimHei"/>
          <w:spacing w:val="116"/>
          <w:sz w:val="24"/>
          <w:szCs w:val="24"/>
        </w:rPr>
        <w:t xml:space="preserve"> </w:t>
      </w:r>
      <w:r>
        <w:rPr>
          <w:rFonts w:ascii="SimHei" w:eastAsia="SimHei" w:hAnsi="SimHei" w:cs="SimHei"/>
          <w:b/>
          <w:bCs/>
          <w:spacing w:val="-5"/>
          <w:sz w:val="24"/>
          <w:szCs w:val="24"/>
        </w:rPr>
        <w:t>复校时间间隔</w:t>
      </w:r>
    </w:p>
    <w:p>
      <w:pPr>
        <w:pStyle w:val="BodyText"/>
        <w:spacing w:before="265" w:line="258" w:lineRule="auto"/>
        <w:ind w:left="60" w:right="17" w:firstLine="470"/>
        <w:jc w:val="both"/>
        <w:rPr>
          <w:sz w:val="24"/>
          <w:szCs w:val="24"/>
        </w:rPr>
      </w:pPr>
      <w:r>
        <w:rPr>
          <w:sz w:val="24"/>
          <w:szCs w:val="24"/>
        </w:rPr>
        <w:t>由于复校时间间隔的长短是由仪器的使用情况、使用者、仪器本身质量等诸因素所</w:t>
      </w:r>
      <w:r>
        <w:rPr>
          <w:spacing w:val="17"/>
          <w:sz w:val="24"/>
          <w:szCs w:val="24"/>
        </w:rPr>
        <w:t xml:space="preserve"> </w:t>
      </w:r>
      <w:r>
        <w:rPr>
          <w:spacing w:val="8"/>
          <w:sz w:val="24"/>
          <w:szCs w:val="24"/>
        </w:rPr>
        <w:t>决定的，因此，送校单位可根据实际使用情况自主决定复校时间间隔，</w:t>
      </w:r>
      <w:r>
        <w:rPr>
          <w:spacing w:val="83"/>
          <w:sz w:val="24"/>
          <w:szCs w:val="24"/>
        </w:rPr>
        <w:t xml:space="preserve"> </w:t>
      </w:r>
      <w:r>
        <w:rPr>
          <w:spacing w:val="8"/>
          <w:sz w:val="24"/>
          <w:szCs w:val="24"/>
        </w:rPr>
        <w:t>一般建议为</w:t>
      </w:r>
      <w:r>
        <w:rPr>
          <w:sz w:val="24"/>
          <w:szCs w:val="24"/>
        </w:rPr>
        <w:t xml:space="preserve"> </w:t>
      </w:r>
      <w:r>
        <w:rPr>
          <w:spacing w:val="6"/>
          <w:sz w:val="24"/>
          <w:szCs w:val="24"/>
        </w:rPr>
        <w:t>1年。</w:t>
      </w:r>
    </w:p>
    <w:p>
      <w:pPr>
        <w:spacing w:line="258" w:lineRule="auto"/>
        <w:rPr>
          <w:sz w:val="24"/>
          <w:szCs w:val="24"/>
        </w:rPr>
      </w:pPr>
      <w:r>
        <w:rPr>
          <w:sz w:val="24"/>
          <w:szCs w:val="24"/>
        </w:rPr>
        <w:br/>
      </w:r>
      <w:r>
        <w:rPr>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8" w:history="1">
        <w:r>
          <w:rPr>
            <w:rFonts w:ascii="SimSun" w:eastAsia="SimSun" w:hAnsi="SimSun" w:cs="SimSun"/>
            <w:b/>
            <w:bCs/>
            <w:noProof w:val="0"/>
            <w:snapToGrid/>
            <w:color w:val="0000EE"/>
            <w:kern w:val="0"/>
            <w:sz w:val="30"/>
            <w:szCs w:val="30"/>
            <w:u w:val="single" w:color="0000EE"/>
          </w:rPr>
          <w:t>https://d.book118.com/336014044055010033</w:t>
        </w:r>
      </w:hyperlink>
    </w:p>
    <w:p>
      <w:pPr>
        <w:spacing w:line="258" w:lineRule="auto"/>
        <w:rPr>
          <w:sz w:val="24"/>
          <w:szCs w:val="24"/>
        </w:rPr>
      </w:pPr>
    </w:p>
    <w:sectPr>
      <w:headerReference w:type="default" r:id="rId49"/>
      <w:footerReference w:type="default" r:id="rId50"/>
      <w:pgSz w:w="11920" w:h="16850"/>
      <w:pgMar w:top="1709" w:right="1250" w:bottom="1154" w:left="1459" w:header="1394" w:footer="1006" w:gutter="0"/>
      <w:pgNumType w:start="11"/>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29"/>
      <w:rPr>
        <w:sz w:val="15"/>
        <w:szCs w:val="15"/>
      </w:rPr>
    </w:pPr>
    <w:r>
      <w:rPr>
        <w:sz w:val="15"/>
        <w:szCs w:val="15"/>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8929"/>
      <w:rPr>
        <w:sz w:val="15"/>
        <w:szCs w:val="15"/>
      </w:rPr>
    </w:pPr>
    <w:r>
      <w:rPr>
        <w:sz w:val="15"/>
        <w:szCs w:val="15"/>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59"/>
      <w:rPr>
        <w:sz w:val="16"/>
        <w:szCs w:val="16"/>
      </w:rPr>
    </w:pPr>
    <w:r>
      <w:rPr>
        <w:sz w:val="16"/>
        <w:szCs w:val="16"/>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1" w:lineRule="auto"/>
      <w:ind w:left="159"/>
      <w:rPr>
        <w:sz w:val="16"/>
        <w:szCs w:val="16"/>
      </w:rPr>
    </w:pPr>
    <w:r>
      <w:rPr>
        <w:sz w:val="16"/>
        <w:szCs w:val="16"/>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39"/>
      <w:rPr>
        <w:sz w:val="15"/>
        <w:szCs w:val="15"/>
      </w:rPr>
    </w:pPr>
    <w:r>
      <w:rPr>
        <w:sz w:val="15"/>
        <w:szCs w:val="15"/>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8939"/>
      <w:rPr>
        <w:sz w:val="15"/>
        <w:szCs w:val="15"/>
      </w:rPr>
    </w:pPr>
    <w:r>
      <w:rPr>
        <w:sz w:val="15"/>
        <w:szCs w:val="15"/>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0"/>
      <w:rPr>
        <w:sz w:val="15"/>
        <w:szCs w:val="15"/>
      </w:rPr>
    </w:pPr>
    <w:r>
      <w:rPr>
        <w:sz w:val="15"/>
        <w:szCs w:val="15"/>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8940"/>
      <w:rPr>
        <w:sz w:val="15"/>
        <w:szCs w:val="15"/>
      </w:rPr>
    </w:pPr>
    <w:r>
      <w:rPr>
        <w:sz w:val="15"/>
        <w:szCs w:val="15"/>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0"/>
    </w:pPr>
    <w:r>
      <w:rPr>
        <w:spacing w:val="-13"/>
      </w:rPr>
      <w:t>JJF</w:t>
    </w:r>
    <w:r>
      <w:rPr>
        <w:spacing w:val="13"/>
      </w:rPr>
      <w:t xml:space="preserve"> </w:t>
    </w:r>
    <w:r>
      <w:rPr>
        <w:spacing w:val="-13"/>
      </w:rPr>
      <w:t>1478—2014</w:t>
    </w:r>
  </w:p>
  <w:p>
    <w:pPr>
      <w:spacing w:before="88" w:line="10" w:lineRule="exact"/>
    </w:pPr>
    <w:r>
      <w:drawing>
        <wp:inline distT="0" distB="0" distL="0" distR="0">
          <wp:extent cx="5854701" cy="6383"/>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854701" cy="6383"/>
                  </a:xfrm>
                  <a:prstGeom prst="rect">
                    <a:avLst/>
                  </a:prstGeom>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70"/>
    </w:pPr>
    <w:r>
      <w:rPr>
        <w:spacing w:val="-13"/>
      </w:rPr>
      <w:t>JJF</w:t>
    </w:r>
    <w:r>
      <w:rPr>
        <w:spacing w:val="13"/>
      </w:rPr>
      <w:t xml:space="preserve"> </w:t>
    </w:r>
    <w:r>
      <w:rPr>
        <w:spacing w:val="-13"/>
      </w:rPr>
      <w:t>1478—2014</w:t>
    </w:r>
  </w:p>
  <w:p>
    <w:pPr>
      <w:spacing w:before="88" w:line="10" w:lineRule="exact"/>
    </w:pPr>
    <w:r>
      <w:drawing>
        <wp:inline distT="0" distB="0" distL="0" distR="0">
          <wp:extent cx="5854701" cy="6383"/>
          <wp:effectExtent l="0" t="0" r="0" b="0"/>
          <wp:docPr id="1116143025" name="IM 2"/>
          <wp:cNvGraphicFramePr/>
          <a:graphic xmlns:a="http://schemas.openxmlformats.org/drawingml/2006/main">
            <a:graphicData uri="http://schemas.openxmlformats.org/drawingml/2006/picture">
              <pic:pic xmlns:pic="http://schemas.openxmlformats.org/drawingml/2006/picture">
                <pic:nvPicPr>
                  <pic:cNvPr id="1116143025" name="IM 2"/>
                  <pic:cNvPicPr/>
                </pic:nvPicPr>
                <pic:blipFill>
                  <a:blip xmlns:r="http://schemas.openxmlformats.org/officeDocument/2006/relationships" r:embed="rId1"/>
                  <a:stretch>
                    <a:fillRect/>
                  </a:stretch>
                </pic:blipFill>
                <pic:spPr>
                  <a:xfrm>
                    <a:off x="0" y="0"/>
                    <a:ext cx="5854701" cy="6383"/>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2"/>
    </w:pPr>
    <w:r>
      <w:rPr>
        <w:b/>
        <w:bCs/>
        <w:spacing w:val="-18"/>
      </w:rPr>
      <w:t>JJF</w:t>
    </w:r>
    <w:r>
      <w:rPr>
        <w:spacing w:val="19"/>
      </w:rPr>
      <w:t xml:space="preserve"> </w:t>
    </w:r>
    <w:r>
      <w:rPr>
        <w:b/>
        <w:bCs/>
        <w:spacing w:val="-18"/>
      </w:rPr>
      <w:t>1478—2014</w:t>
    </w:r>
  </w:p>
  <w:p>
    <w:pPr>
      <w:spacing w:before="71" w:line="10" w:lineRule="exact"/>
    </w:pPr>
    <w:r>
      <w:drawing>
        <wp:inline distT="0" distB="0" distL="0" distR="0">
          <wp:extent cx="5835625" cy="638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835625" cy="6383"/>
                  </a:xfrm>
                  <a:prstGeom prst="rect">
                    <a:avLst/>
                  </a:prstGeom>
                </pic:spPr>
              </pic:pic>
            </a:graphicData>
          </a:graphic>
        </wp:inline>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892"/>
    </w:pPr>
    <w:r>
      <w:rPr>
        <w:b/>
        <w:bCs/>
        <w:spacing w:val="-18"/>
      </w:rPr>
      <w:t>JJF</w:t>
    </w:r>
    <w:r>
      <w:rPr>
        <w:spacing w:val="19"/>
      </w:rPr>
      <w:t xml:space="preserve"> </w:t>
    </w:r>
    <w:r>
      <w:rPr>
        <w:b/>
        <w:bCs/>
        <w:spacing w:val="-18"/>
      </w:rPr>
      <w:t>1478—2014</w:t>
    </w:r>
  </w:p>
  <w:p>
    <w:pPr>
      <w:spacing w:before="71" w:line="10" w:lineRule="exact"/>
    </w:pPr>
    <w:r>
      <w:drawing>
        <wp:inline distT="0" distB="0" distL="0" distR="0">
          <wp:extent cx="5835625" cy="6383"/>
          <wp:effectExtent l="0" t="0" r="0" b="0"/>
          <wp:docPr id="1235454741" name="IM 4"/>
          <wp:cNvGraphicFramePr/>
          <a:graphic xmlns:a="http://schemas.openxmlformats.org/drawingml/2006/main">
            <a:graphicData uri="http://schemas.openxmlformats.org/drawingml/2006/picture">
              <pic:pic xmlns:pic="http://schemas.openxmlformats.org/drawingml/2006/picture">
                <pic:nvPicPr>
                  <pic:cNvPr id="1235454741" name="IM 4"/>
                  <pic:cNvPicPr/>
                </pic:nvPicPr>
                <pic:blipFill>
                  <a:blip xmlns:r="http://schemas.openxmlformats.org/officeDocument/2006/relationships" r:embed="rId1"/>
                  <a:stretch>
                    <a:fillRect/>
                  </a:stretch>
                </pic:blipFill>
                <pic:spPr>
                  <a:xfrm>
                    <a:off x="0" y="0"/>
                    <a:ext cx="5835625" cy="6383"/>
                  </a:xfrm>
                  <a:prstGeom prst="rect">
                    <a:avLst/>
                  </a:prstGeom>
                </pic:spPr>
              </pic:pic>
            </a:graphicData>
          </a:graphic>
        </wp:inline>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7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1478—2014</w:t>
    </w:r>
  </w:p>
  <w:p>
    <w:pPr>
      <w:spacing w:before="95" w:line="10" w:lineRule="exact"/>
    </w:pPr>
    <w:r>
      <w:drawing>
        <wp:inline distT="0" distB="0" distL="0" distR="0">
          <wp:extent cx="5861058" cy="638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
                  <a:stretch>
                    <a:fillRect/>
                  </a:stretch>
                </pic:blipFill>
                <pic:spPr>
                  <a:xfrm>
                    <a:off x="0" y="0"/>
                    <a:ext cx="5861058" cy="6383"/>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70"/>
      <w:rPr>
        <w:rFonts w:ascii="Times New Roman" w:eastAsia="Times New Roman" w:hAnsi="Times New Roman" w:cs="Times New Roman"/>
        <w:sz w:val="17"/>
        <w:szCs w:val="17"/>
      </w:rPr>
    </w:pP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1478—2014</w:t>
    </w:r>
  </w:p>
  <w:p>
    <w:pPr>
      <w:spacing w:before="95" w:line="10" w:lineRule="exact"/>
    </w:pPr>
    <w:r>
      <w:drawing>
        <wp:inline distT="0" distB="0" distL="0" distR="0">
          <wp:extent cx="5861058" cy="6383"/>
          <wp:effectExtent l="0" t="0" r="0" b="0"/>
          <wp:docPr id="1702022665" name="IM 6"/>
          <wp:cNvGraphicFramePr/>
          <a:graphic xmlns:a="http://schemas.openxmlformats.org/drawingml/2006/main">
            <a:graphicData uri="http://schemas.openxmlformats.org/drawingml/2006/picture">
              <pic:pic xmlns:pic="http://schemas.openxmlformats.org/drawingml/2006/picture">
                <pic:nvPicPr>
                  <pic:cNvPr id="1702022665" name="IM 6"/>
                  <pic:cNvPicPr/>
                </pic:nvPicPr>
                <pic:blipFill>
                  <a:blip xmlns:r="http://schemas.openxmlformats.org/officeDocument/2006/relationships" r:embed="rId1"/>
                  <a:stretch>
                    <a:fillRect/>
                  </a:stretch>
                </pic:blipFill>
                <pic:spPr>
                  <a:xfrm>
                    <a:off x="0" y="0"/>
                    <a:ext cx="5861058" cy="6383"/>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drawing>
        <wp:anchor distT="0" distB="0" distL="0" distR="0" simplePos="0" relativeHeight="251658240" behindDoc="0" locked="0" layoutInCell="0" allowOverlap="1">
          <wp:simplePos x="0" y="0"/>
          <wp:positionH relativeFrom="page">
            <wp:posOffset>882644</wp:posOffset>
          </wp:positionH>
          <wp:positionV relativeFrom="page">
            <wp:posOffset>1092229</wp:posOffset>
          </wp:positionV>
          <wp:extent cx="5854700" cy="1262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854700" cy="12624"/>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1478—2014</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drawing>
        <wp:anchor distT="0" distB="0" distL="0" distR="0" simplePos="0" relativeHeight="251659264" behindDoc="0" locked="0" layoutInCell="0" allowOverlap="1">
          <wp:simplePos x="0" y="0"/>
          <wp:positionH relativeFrom="page">
            <wp:posOffset>882644</wp:posOffset>
          </wp:positionH>
          <wp:positionV relativeFrom="page">
            <wp:posOffset>1092229</wp:posOffset>
          </wp:positionV>
          <wp:extent cx="5854700" cy="12624"/>
          <wp:effectExtent l="0" t="0" r="0" b="0"/>
          <wp:wrapNone/>
          <wp:docPr id="158313508" name="IM 12"/>
          <wp:cNvGraphicFramePr/>
          <a:graphic xmlns:a="http://schemas.openxmlformats.org/drawingml/2006/main">
            <a:graphicData uri="http://schemas.openxmlformats.org/drawingml/2006/picture">
              <pic:pic xmlns:pic="http://schemas.openxmlformats.org/drawingml/2006/picture">
                <pic:nvPicPr>
                  <pic:cNvPr id="158313508" name="IM 12"/>
                  <pic:cNvPicPr/>
                </pic:nvPicPr>
                <pic:blipFill>
                  <a:blip xmlns:r="http://schemas.openxmlformats.org/officeDocument/2006/relationships" r:embed="rId1"/>
                  <a:stretch>
                    <a:fillRect/>
                  </a:stretch>
                </pic:blipFill>
                <pic:spPr>
                  <a:xfrm>
                    <a:off x="0" y="0"/>
                    <a:ext cx="5854700" cy="12624"/>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1478—2014</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drawing>
        <wp:anchor distT="0" distB="0" distL="0" distR="0" simplePos="0" relativeHeight="251660288" behindDoc="0" locked="0" layoutInCell="0" allowOverlap="1">
          <wp:simplePos x="0" y="0"/>
          <wp:positionH relativeFrom="page">
            <wp:posOffset>882644</wp:posOffset>
          </wp:positionH>
          <wp:positionV relativeFrom="page">
            <wp:posOffset>1092229</wp:posOffset>
          </wp:positionV>
          <wp:extent cx="5854700" cy="12624"/>
          <wp:effectExtent l="0" t="0" r="0" b="0"/>
          <wp:wrapNone/>
          <wp:docPr id="403603784" name="IM 12"/>
          <wp:cNvGraphicFramePr/>
          <a:graphic xmlns:a="http://schemas.openxmlformats.org/drawingml/2006/main">
            <a:graphicData uri="http://schemas.openxmlformats.org/drawingml/2006/picture">
              <pic:pic xmlns:pic="http://schemas.openxmlformats.org/drawingml/2006/picture">
                <pic:nvPicPr>
                  <pic:cNvPr id="403603784" name="IM 12"/>
                  <pic:cNvPicPr/>
                </pic:nvPicPr>
                <pic:blipFill>
                  <a:blip xmlns:r="http://schemas.openxmlformats.org/officeDocument/2006/relationships" r:embed="rId1"/>
                  <a:stretch>
                    <a:fillRect/>
                  </a:stretch>
                </pic:blipFill>
                <pic:spPr>
                  <a:xfrm>
                    <a:off x="0" y="0"/>
                    <a:ext cx="5854700" cy="12624"/>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1478—2014</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889"/>
      <w:rPr>
        <w:rFonts w:ascii="Times New Roman" w:eastAsia="Times New Roman" w:hAnsi="Times New Roman" w:cs="Times New Roman"/>
        <w:sz w:val="17"/>
        <w:szCs w:val="17"/>
      </w:rPr>
    </w:pPr>
    <w:r>
      <w:drawing>
        <wp:anchor distT="0" distB="0" distL="0" distR="0" simplePos="0" relativeHeight="251661312" behindDoc="0" locked="0" layoutInCell="0" allowOverlap="1">
          <wp:simplePos x="0" y="0"/>
          <wp:positionH relativeFrom="page">
            <wp:posOffset>882644</wp:posOffset>
          </wp:positionH>
          <wp:positionV relativeFrom="page">
            <wp:posOffset>1092229</wp:posOffset>
          </wp:positionV>
          <wp:extent cx="5854700" cy="12624"/>
          <wp:effectExtent l="0" t="0" r="0" b="0"/>
          <wp:wrapNone/>
          <wp:docPr id="1249040599" name="IM 12"/>
          <wp:cNvGraphicFramePr/>
          <a:graphic xmlns:a="http://schemas.openxmlformats.org/drawingml/2006/main">
            <a:graphicData uri="http://schemas.openxmlformats.org/drawingml/2006/picture">
              <pic:pic xmlns:pic="http://schemas.openxmlformats.org/drawingml/2006/picture">
                <pic:nvPicPr>
                  <pic:cNvPr id="1249040599" name="IM 12"/>
                  <pic:cNvPicPr/>
                </pic:nvPicPr>
                <pic:blipFill>
                  <a:blip xmlns:r="http://schemas.openxmlformats.org/officeDocument/2006/relationships" r:embed="rId1"/>
                  <a:stretch>
                    <a:fillRect/>
                  </a:stretch>
                </pic:blipFill>
                <pic:spPr>
                  <a:xfrm>
                    <a:off x="0" y="0"/>
                    <a:ext cx="5854700" cy="12624"/>
                  </a:xfrm>
                  <a:prstGeom prst="rect">
                    <a:avLst/>
                  </a:prstGeom>
                </pic:spPr>
              </pic:pic>
            </a:graphicData>
          </a:graphic>
        </wp:anchor>
      </w:drawing>
    </w:r>
    <w:r>
      <w:rPr>
        <w:rFonts w:ascii="Times New Roman" w:eastAsia="Times New Roman" w:hAnsi="Times New Roman" w:cs="Times New Roman"/>
        <w:spacing w:val="-2"/>
        <w:sz w:val="17"/>
        <w:szCs w:val="17"/>
      </w:rPr>
      <w:t>JJF</w:t>
    </w:r>
    <w:r>
      <w:rPr>
        <w:rFonts w:ascii="Times New Roman" w:eastAsia="Times New Roman" w:hAnsi="Times New Roman" w:cs="Times New Roman"/>
        <w:spacing w:val="2"/>
        <w:sz w:val="17"/>
        <w:szCs w:val="17"/>
      </w:rPr>
      <w:t xml:space="preserve">        </w:t>
    </w:r>
    <w:r>
      <w:rPr>
        <w:rFonts w:ascii="Times New Roman" w:eastAsia="Times New Roman" w:hAnsi="Times New Roman" w:cs="Times New Roman"/>
        <w:spacing w:val="-2"/>
        <w:sz w:val="17"/>
        <w:szCs w:val="17"/>
      </w:rPr>
      <w:t>1478—2014</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902"/>
      <w:rPr>
        <w:sz w:val="20"/>
        <w:szCs w:val="20"/>
      </w:rPr>
    </w:pPr>
    <w:r>
      <w:drawing>
        <wp:anchor distT="0" distB="0" distL="0" distR="0" simplePos="0" relativeHeight="251662336" behindDoc="0" locked="0" layoutInCell="0" allowOverlap="1">
          <wp:simplePos x="0" y="0"/>
          <wp:positionH relativeFrom="page">
            <wp:posOffset>927075</wp:posOffset>
          </wp:positionH>
          <wp:positionV relativeFrom="page">
            <wp:posOffset>1073183</wp:posOffset>
          </wp:positionV>
          <wp:extent cx="5848342" cy="12624"/>
          <wp:effectExtent l="0" t="0" r="0" b="0"/>
          <wp:wrapNone/>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1"/>
                  <a:stretch>
                    <a:fillRect/>
                  </a:stretch>
                </pic:blipFill>
                <pic:spPr>
                  <a:xfrm>
                    <a:off x="0" y="0"/>
                    <a:ext cx="5848342" cy="12624"/>
                  </a:xfrm>
                  <a:prstGeom prst="rect">
                    <a:avLst/>
                  </a:prstGeom>
                </pic:spPr>
              </pic:pic>
            </a:graphicData>
          </a:graphic>
        </wp:anchor>
      </w:drawing>
    </w:r>
    <w:r>
      <w:rPr>
        <w:b/>
        <w:bCs/>
        <w:spacing w:val="-5"/>
        <w:sz w:val="20"/>
        <w:szCs w:val="20"/>
      </w:rPr>
      <w:t>JJF</w:t>
    </w:r>
    <w:r>
      <w:rPr>
        <w:spacing w:val="65"/>
        <w:sz w:val="20"/>
        <w:szCs w:val="20"/>
      </w:rPr>
      <w:t xml:space="preserve"> </w:t>
    </w:r>
    <w:r>
      <w:rPr>
        <w:b/>
        <w:bCs/>
        <w:spacing w:val="-5"/>
        <w:sz w:val="20"/>
        <w:szCs w:val="20"/>
      </w:rPr>
      <w:t>1478—2014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3"/>
      <w:szCs w:val="23"/>
      <w:lang w:val="en-US" w:eastAsia="en-US" w:bidi="ar-SA"/>
    </w:rPr>
  </w:style>
  <w:style w:type="paragraph" w:customStyle="1" w:styleId="TableText">
    <w:name w:val="Table Text"/>
    <w:basedOn w:val="Normal"/>
    <w:semiHidden/>
    <w:qFormat/>
    <w:rPr>
      <w:rFonts w:ascii="SimSun" w:eastAsia="SimSun" w:hAnsi="SimSun" w:cs="SimSun"/>
      <w:sz w:val="21"/>
      <w:szCs w:val="21"/>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7.1.1.1" TargetMode="External" /><Relationship Id="rId13" Type="http://schemas.openxmlformats.org/officeDocument/2006/relationships/hyperlink" Target="7.1.1.2" TargetMode="External" /><Relationship Id="rId14" Type="http://schemas.openxmlformats.org/officeDocument/2006/relationships/hyperlink" Target="7.1.1.3" TargetMode="External" /><Relationship Id="rId15" Type="http://schemas.openxmlformats.org/officeDocument/2006/relationships/hyperlink" Target="7.1.1.4" TargetMode="External" /><Relationship Id="rId16" Type="http://schemas.openxmlformats.org/officeDocument/2006/relationships/hyperlink" Target="7.1.2.1" TargetMode="External" /><Relationship Id="rId17" Type="http://schemas.openxmlformats.org/officeDocument/2006/relationships/hyperlink" Target="7.1.2.2" TargetMode="External" /><Relationship Id="rId18" Type="http://schemas.openxmlformats.org/officeDocument/2006/relationships/hyperlink" Target="7.1.2.3" TargetMode="External" /><Relationship Id="rId19" Type="http://schemas.openxmlformats.org/officeDocument/2006/relationships/hyperlink" Target="7.1.2.4" TargetMode="External" /><Relationship Id="rId2" Type="http://schemas.openxmlformats.org/officeDocument/2006/relationships/webSettings" Target="webSettings.xml" /><Relationship Id="rId20" Type="http://schemas.openxmlformats.org/officeDocument/2006/relationships/image" Target="media/image3.png" /><Relationship Id="rId21" Type="http://schemas.openxmlformats.org/officeDocument/2006/relationships/image" Target="media/image4.png" /><Relationship Id="rId22" Type="http://schemas.openxmlformats.org/officeDocument/2006/relationships/header" Target="header5.xml" /><Relationship Id="rId23" Type="http://schemas.openxmlformats.org/officeDocument/2006/relationships/footer" Target="footer5.xml" /><Relationship Id="rId24" Type="http://schemas.openxmlformats.org/officeDocument/2006/relationships/hyperlink" Target="7.2.1.1" TargetMode="External" /><Relationship Id="rId25" Type="http://schemas.openxmlformats.org/officeDocument/2006/relationships/hyperlink" Target="7.2.1.2" TargetMode="External" /><Relationship Id="rId26" Type="http://schemas.openxmlformats.org/officeDocument/2006/relationships/hyperlink" Target="7.2.1.3" TargetMode="External" /><Relationship Id="rId27" Type="http://schemas.openxmlformats.org/officeDocument/2006/relationships/header" Target="header6.xml" /><Relationship Id="rId28" Type="http://schemas.openxmlformats.org/officeDocument/2006/relationships/footer" Target="footer6.xml" /><Relationship Id="rId29" Type="http://schemas.openxmlformats.org/officeDocument/2006/relationships/hyperlink" Target="7.2.1.4" TargetMode="External" /><Relationship Id="rId3" Type="http://schemas.openxmlformats.org/officeDocument/2006/relationships/fontTable" Target="fontTable.xml" /><Relationship Id="rId30" Type="http://schemas.openxmlformats.org/officeDocument/2006/relationships/hyperlink" Target="7.2.2.1" TargetMode="External" /><Relationship Id="rId31" Type="http://schemas.openxmlformats.org/officeDocument/2006/relationships/hyperlink" Target="7.2.2.2" TargetMode="External" /><Relationship Id="rId32" Type="http://schemas.openxmlformats.org/officeDocument/2006/relationships/hyperlink" Target="7.2.2.3" TargetMode="External" /><Relationship Id="rId33" Type="http://schemas.openxmlformats.org/officeDocument/2006/relationships/hyperlink" Target="7.2.2.4" TargetMode="External" /><Relationship Id="rId34" Type="http://schemas.openxmlformats.org/officeDocument/2006/relationships/hyperlink" Target="7.2.3.1" TargetMode="External" /><Relationship Id="rId35" Type="http://schemas.openxmlformats.org/officeDocument/2006/relationships/hyperlink" Target="7.2.3.2" TargetMode="External" /><Relationship Id="rId36" Type="http://schemas.openxmlformats.org/officeDocument/2006/relationships/hyperlink" Target="7.2.3.3" TargetMode="External" /><Relationship Id="rId37" Type="http://schemas.openxmlformats.org/officeDocument/2006/relationships/hyperlink" Target="7.2.3.4" TargetMode="External" /><Relationship Id="rId38" Type="http://schemas.openxmlformats.org/officeDocument/2006/relationships/header" Target="header7.xml" /><Relationship Id="rId39" Type="http://schemas.openxmlformats.org/officeDocument/2006/relationships/footer" Target="footer7.xml" /><Relationship Id="rId4" Type="http://schemas.openxmlformats.org/officeDocument/2006/relationships/header" Target="header1.xml" /><Relationship Id="rId40" Type="http://schemas.openxmlformats.org/officeDocument/2006/relationships/image" Target="media/image7.png" /><Relationship Id="rId41" Type="http://schemas.openxmlformats.org/officeDocument/2006/relationships/image" Target="media/image8.png" /><Relationship Id="rId42" Type="http://schemas.openxmlformats.org/officeDocument/2006/relationships/header" Target="header8.xml" /><Relationship Id="rId43" Type="http://schemas.openxmlformats.org/officeDocument/2006/relationships/footer" Target="footer8.xml" /><Relationship Id="rId44" Type="http://schemas.openxmlformats.org/officeDocument/2006/relationships/header" Target="header9.xml" /><Relationship Id="rId45" Type="http://schemas.openxmlformats.org/officeDocument/2006/relationships/footer" Target="footer9.xml" /><Relationship Id="rId46" Type="http://schemas.openxmlformats.org/officeDocument/2006/relationships/header" Target="header10.xml" /><Relationship Id="rId47" Type="http://schemas.openxmlformats.org/officeDocument/2006/relationships/footer" Target="footer10.xml" /><Relationship Id="rId48" Type="http://schemas.openxmlformats.org/officeDocument/2006/relationships/hyperlink" Target="https://d.book118.com/336014044055010033" TargetMode="External" /><Relationship Id="rId49" Type="http://schemas.openxmlformats.org/officeDocument/2006/relationships/header" Target="header11.xml" /><Relationship Id="rId5" Type="http://schemas.openxmlformats.org/officeDocument/2006/relationships/footer" Target="footer1.xml" /><Relationship Id="rId50" Type="http://schemas.openxmlformats.org/officeDocument/2006/relationships/footer" Target="footer11.xm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jpeg" /></Relationships>
</file>

<file path=word/_rels/header2.xml.rels><?xml version="1.0" encoding="utf-8" standalone="yes"?><Relationships xmlns="http://schemas.openxmlformats.org/package/2006/relationships"><Relationship Id="rId1" Type="http://schemas.openxmlformats.org/officeDocument/2006/relationships/image" Target="media/image1.jpeg" /></Relationships>
</file>

<file path=word/_rels/header3.xml.rels><?xml version="1.0" encoding="utf-8" standalone="yes"?><Relationships xmlns="http://schemas.openxmlformats.org/package/2006/relationships"><Relationship Id="rId1" Type="http://schemas.openxmlformats.org/officeDocument/2006/relationships/image" Target="media/image2.jpeg" /></Relationships>
</file>

<file path=word/_rels/header4.xml.rels><?xml version="1.0" encoding="utf-8" standalone="yes"?><Relationships xmlns="http://schemas.openxmlformats.org/package/2006/relationships"><Relationship Id="rId1" Type="http://schemas.openxmlformats.org/officeDocument/2006/relationships/image" Target="media/image2.jpe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6.jpeg" /></Relationships>
</file>

<file path=word/_rels/header8.xml.rels><?xml version="1.0" encoding="utf-8" standalone="yes"?><Relationships xmlns="http://schemas.openxmlformats.org/package/2006/relationships"><Relationship Id="rId1" Type="http://schemas.openxmlformats.org/officeDocument/2006/relationships/image" Target="media/image6.jpeg" /></Relationships>
</file>

<file path=word/_rels/header9.xml.rels><?xml version="1.0" encoding="utf-8" standalone="yes"?><Relationships xmlns="http://schemas.openxmlformats.org/package/2006/relationships"><Relationship Id="rId1" Type="http://schemas.openxmlformats.org/officeDocument/2006/relationships/image" Target="media/image6.jpeg" /></Relationships>
</file>

<file path=word/_rels/header10.xml.rels><?xml version="1.0" encoding="utf-8" standalone="yes"?><Relationships xmlns="http://schemas.openxmlformats.org/package/2006/relationships"><Relationship Id="rId1" Type="http://schemas.openxmlformats.org/officeDocument/2006/relationships/image" Target="media/image6.jpeg" /></Relationships>
</file>

<file path=word/_rels/header11.xml.rels><?xml version="1.0" encoding="utf-8" standalone="yes"?><Relationships xmlns="http://schemas.openxmlformats.org/package/2006/relationships"><Relationship Id="rId1" Type="http://schemas.openxmlformats.org/officeDocument/2006/relationships/image" Target="media/image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2024-01-11T17:14:03Z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2024-01-11T17:14:05Z</vt:filetime>
  </property>
  <property fmtid="{D5CDD505-2E9C-101B-9397-08002B2CF9AE}" pid="3" name="CRO">
    <vt:lpwstr>wqlLaW5nc29mdCBQREYgdG8gV1BTIDkw</vt:lpwstr>
  </property>
  <property fmtid="{D5CDD505-2E9C-101B-9397-08002B2CF9AE}" pid="4" name="UsrData">
    <vt:lpwstr>659fb157f23622001f941830wl</vt:lpwstr>
  </property>
</Properties>
</file>