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低噪音轴承项目建设总纲及方案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3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_Toc2537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47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_Toc25847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_Toc4831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_Toc19166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_Toc8428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_Toc6929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1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_Toc5219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36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_Toc6936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_Toc28971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_Toc10707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5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_Toc8935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0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_Toc4980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93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_Toc8093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1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_Toc20001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1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_Toc17481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_Toc11433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7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_Toc25397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7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_Toc16378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4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_Toc31264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_Toc9532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18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_Toc30318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_Toc11702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_Toc24565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1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_Toc30441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_Toc18216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_Toc31883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_Toc31152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_Toc15172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6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_Toc22706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0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_Toc29270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00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_Toc18000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2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_Toc17312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_Toc3112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6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_Toc11416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59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_Toc27359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_Toc26672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_Toc17151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_Toc2239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9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_Toc2469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_Toc21100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6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_Toc4062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00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_Toc25000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_Toc6557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_Toc18102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5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_Toc27055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_Toc18017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29" w:history="1">
        <w:r>
          <w:rPr>
            <w:rFonts w:ascii="仿宋" w:eastAsia="仿宋" w:hAnsi="仿宋" w:cs="仿宋" w:hint="eastAsia"/>
            <w:lang w:eastAsia="zh-CN"/>
          </w:rPr>
          <w:t>八、资金管理与财务规划</w:t>
        </w:r>
        <w:r>
          <w:tab/>
        </w:r>
        <w:r>
          <w:fldChar w:fldCharType="begin"/>
        </w:r>
        <w:r>
          <w:instrText xml:space="preserve"> PAGEREF _Toc21029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6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_Toc12606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67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_Toc5367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5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_Toc3635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05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_Toc32505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7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_Toc31267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8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_Toc14178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28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_Toc28128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8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_Toc20578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9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_Toc25819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51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_Toc18851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5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_Toc29225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9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_Toc31659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8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_Toc32468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_Toc23418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5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_Toc915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1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_Toc16341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3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_Toc24923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86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_Toc24086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_Toc22379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4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_Toc8844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34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_Toc19134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2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_Toc26782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_Toc29192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65" w:history="1">
        <w:r>
          <w:rPr>
            <w:rFonts w:ascii="仿宋" w:eastAsia="仿宋" w:hAnsi="仿宋" w:cs="仿宋" w:hint="eastAsia"/>
            <w:lang w:eastAsia="zh-CN"/>
          </w:rPr>
          <w:t>十五、企业合规与伦理</w:t>
        </w:r>
        <w:r>
          <w:tab/>
        </w:r>
        <w:r>
          <w:fldChar w:fldCharType="begin"/>
        </w:r>
        <w:r>
          <w:instrText xml:space="preserve"> PAGEREF _Toc31065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_Toc21165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9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_Toc11019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_Toc7760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8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_Toc4888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46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_Toc15846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_Toc824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2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_Toc32382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9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_Toc5549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86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_Toc13586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4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_Toc26684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0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_Toc6690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3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847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83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低噪音轴承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低噪音轴承项目还将参与当地的环保活动和计划，如资助当地的环境保护项目或与社区合作进行环保宣传活动。通过这些活动，项目不仅能够提高自身的环境表现，还能在当地社区中树立积极的环保形象。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9166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低噪音轴承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低噪音轴承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低噪音轴承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842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692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在低噪音轴承项目启动前，将进行一系列深入的地质调查，包括钻探和土壤取样，以深入了解项目区域的地层结构和土壤组成。特别是对于土壤的承载能力和地下水位的深度进行详细评估。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完成初始的地质风险评估后，低噪音轴承项目将安装长期地质监测设备，如倾斜仪、裂缝计和地下水位计，以持续监测地质条件的变化。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5219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936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8971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直接收益：假设低噪音轴承项目的产品或服务年销售收入为XX万元。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https://d.book118.com/336103045152010044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734A5C"/>
    <w:rsid w:val="21734A5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36103045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2024-02-04T22:39:00Z</dcterms:created>
  <dcterms:modified xsi:type="dcterms:W3CDTF">2024-02-04T22:39:43Z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40763C98EDD742AB96CD381EEB24006C_11</vt:lpwstr>
  </property>
  <property fmtid="{D5CDD505-2E9C-101B-9397-08002B2CF9AE}" pid="3" name="KSOProductBuildVer">
    <vt:lpwstr>2052-12.1.0.16250</vt:lpwstr>
  </property>
</Properties>
</file>