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473"/>
        </w:trPr>
        <w:tc>
          <w:tcPr>
            <w:tcW w:w="11889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59264" behindDoc="1" locked="0" layoutInCell="0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7560309" cy="10692765"/>
                      <wp:effectExtent l="0" t="0" r="0" b="0"/>
                      <wp:wrapNone/>
                      <wp:docPr id="2" name="Rec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560309" cy="10692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7F9F8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" o:spid="_x0000_s1025" style="width:595.3pt;height:841.95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f7f9f8" stroked="f"/>
                  </w:pict>
                </mc:Fallback>
              </mc:AlternateContent>
            </w:r>
            <w:r>
              <w:pict>
                <v:rect id="_x0000_s1026" style="width:42.85pt;height:70.6pt;margin-top:-0.32pt;margin-left:-594.45pt;mso-position-horizontal-relative:right-margin-area;mso-position-vertical-relative:top-margin-area;position:absolute;z-index:251660288" filled="t" fillcolor="#c0d8ed" stroked="f"/>
              </w:pict>
            </w:r>
            <w:r>
              <w:pict>
                <v:rect id="_x0000_s1027" style="width:196.6pt;height:9.25pt;margin-top:15.88pt;margin-left:-573.21pt;mso-position-horizontal-relative:right-margin-area;mso-position-vertical-relative:top-margin-area;position:absolute;z-index:251661312" filled="t" fillcolor="#629dd1" stroked="f"/>
              </w:pict>
            </w:r>
            <w:r>
              <w:pict>
                <v:rect id="_x0000_s1028" style="width:12.6pt;height:70.6pt;margin-top:-0.32pt;margin-left:-12.33pt;mso-position-horizontal-relative:right-margin-area;mso-position-vertical-relative:top-margin-area;position:absolute;z-index:251662336" filled="t" fillcolor="#e0ebf6" stroked="f"/>
              </w:pict>
            </w: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" w:right="0" w:bottom="1" w:left="0" w:header="0" w:footer="0" w:gutter="0"/>
          <w:cols w:space="708"/>
        </w:sectPr>
      </w:pPr>
    </w:p>
    <w:tbl>
      <w:tblPr>
        <w:tblStyle w:val="TableNormal0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5153"/>
        </w:trPr>
        <w:tc>
          <w:tcPr>
            <w:tcW w:w="11889" w:type="dxa"/>
            <w:tcBorders>
              <w:top w:val="nil"/>
            </w:tcBorders>
            <w:vAlign w:val="top"/>
          </w:tcPr>
          <w:sdt>
            <w:sdtPr>
              <w:rPr>
                <w:rFonts w:ascii="SimHei" w:eastAsia="SimHei" w:hAnsi="SimHei" w:cs="SimHei"/>
                <w:sz w:val="35"/>
                <w:szCs w:val="35"/>
              </w:rPr>
              <w:id w:val="1030662077"/>
              <w:docPartObj>
                <w:docPartGallery w:val="Table of Contents"/>
                <w:docPartUnique/>
              </w:docPartObj>
            </w:sdtPr>
            <w:sdtEndPr>
              <w:rPr>
                <w:rFonts w:ascii="Palatino Linotype" w:eastAsia="Palatino Linotype" w:hAnsi="Palatino Linotype" w:cs="Palatino Linotype"/>
                <w:sz w:val="28"/>
                <w:szCs w:val="28"/>
              </w:rPr>
            </w:sdtEndPr>
            <w:sdtContent>
              <w:p>
                <w:pPr>
                  <w:spacing w:before="67" w:line="227" w:lineRule="auto"/>
                  <w:ind w:left="5646"/>
                  <w:rPr>
                    <w:rFonts w:ascii="SimHei" w:eastAsia="SimHei" w:hAnsi="SimHei" w:cs="SimHei"/>
                    <w:sz w:val="35"/>
                    <w:szCs w:val="35"/>
                  </w:rPr>
                </w:pPr>
                <w:r>
                  <w:rPr>
                    <w:rFonts w:ascii="SimHei" w:eastAsia="SimHei" w:hAnsi="SimHei" w:cs="SimHei"/>
                    <w:spacing w:val="-20"/>
                    <w:sz w:val="35"/>
                    <w:szCs w:val="35"/>
                  </w:rPr>
                  <w:t>目录</w:t>
                </w:r>
              </w:p>
              <w:p>
                <w:pPr>
                  <w:spacing w:line="290" w:lineRule="auto"/>
                  <w:rPr>
                    <w:rFonts w:ascii="Arial"/>
                    <w:sz w:val="21"/>
                  </w:rPr>
                </w:pPr>
              </w:p>
              <w:p>
                <w:pPr>
                  <w:spacing w:line="291" w:lineRule="auto"/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1" w:lineRule="auto"/>
                  <w:ind w:left="181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1" w:history="1"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一、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平台建设内容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3"/>
                      <w:sz w:val="28"/>
                      <w:szCs w:val="28"/>
                    </w:rPr>
                    <w:t>1</w:t>
                  </w:r>
                </w:hyperlink>
              </w:p>
              <w:p>
                <w:pPr>
                  <w:spacing w:line="242" w:lineRule="auto"/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4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" w:history="1">
                  <w:r>
                    <w:rPr>
                      <w:rFonts w:ascii="KaiTi" w:eastAsia="KaiTi" w:hAnsi="KaiTi" w:cs="KaiTi"/>
                      <w:spacing w:val="-7"/>
                      <w:sz w:val="28"/>
                      <w:szCs w:val="28"/>
                    </w:rPr>
                    <w:t>1、</w:t>
                  </w:r>
                  <w:r>
                    <w:rPr>
                      <w:rFonts w:ascii="KaiTi" w:eastAsia="KaiTi" w:hAnsi="KaiTi" w:cs="KaiTi"/>
                      <w:spacing w:val="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7"/>
                      <w:sz w:val="28"/>
                      <w:szCs w:val="28"/>
                    </w:rPr>
                    <w:t>软件系统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1</w:t>
                  </w:r>
                </w:hyperlink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330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" w:history="1">
                  <w:r>
                    <w:rPr>
                      <w:spacing w:val="-13"/>
                    </w:rPr>
                    <w:t>(1)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-13"/>
                    </w:rPr>
                    <w:t>云平台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6"/>
                    </w:rPr>
                    <w:t>1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4" w:history="1">
                  <w:r>
                    <w:rPr>
                      <w:spacing w:val="-9"/>
                    </w:rPr>
                    <w:t>(2)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9"/>
                    </w:rPr>
                    <w:t>分布式客户端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1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5" w:history="1">
                  <w:r>
                    <w:rPr>
                      <w:spacing w:val="-13"/>
                    </w:rPr>
                    <w:t>(3)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-13"/>
                    </w:rPr>
                    <w:t>用户端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6"/>
                    </w:rPr>
                    <w:t>2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23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6" w:history="1"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>2、</w:t>
                  </w:r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>硬件设备</w:t>
                  </w:r>
                  <w:r>
                    <w:rPr>
                      <w:rFonts w:ascii="KaiTi" w:eastAsia="KaiTi" w:hAnsi="KaiTi" w:cs="KaiTi"/>
                      <w:spacing w:val="-8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2</w:t>
                  </w:r>
                </w:hyperlink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331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7" w:history="1">
                  <w:r>
                    <w:rPr>
                      <w:spacing w:val="-9"/>
                    </w:rPr>
                    <w:t>(1)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9"/>
                    </w:rPr>
                    <w:t>道路停车设备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2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8" w:history="1">
                  <w:r>
                    <w:rPr>
                      <w:spacing w:val="-8"/>
                    </w:rPr>
                    <w:t>(2)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rPr>
                      <w:spacing w:val="-8"/>
                    </w:rPr>
                    <w:t>封闭停车场设备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0"/>
                    </w:rPr>
                    <w:t>3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1" w:lineRule="auto"/>
                  <w:ind w:left="181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9" w:history="1"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二、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平台总体情况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3"/>
                      <w:sz w:val="28"/>
                      <w:szCs w:val="28"/>
                    </w:rPr>
                    <w:t>3</w:t>
                  </w:r>
                </w:hyperlink>
              </w:p>
              <w:p>
                <w:pPr>
                  <w:spacing w:line="242" w:lineRule="auto"/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6" w:line="186" w:lineRule="auto"/>
                  <w:ind w:left="224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10" w:history="1">
                  <w:r>
                    <w:rPr>
                      <w:rFonts w:ascii="KaiTi" w:eastAsia="KaiTi" w:hAnsi="KaiTi" w:cs="KaiTi"/>
                      <w:spacing w:val="-10"/>
                      <w:sz w:val="28"/>
                      <w:szCs w:val="28"/>
                    </w:rPr>
                    <w:t>1、</w:t>
                  </w:r>
                  <w:r>
                    <w:rPr>
                      <w:rFonts w:ascii="KaiTi" w:eastAsia="KaiTi" w:hAnsi="KaiTi" w:cs="KaiTi"/>
                      <w:spacing w:val="3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10"/>
                      <w:sz w:val="28"/>
                      <w:szCs w:val="28"/>
                    </w:rPr>
                    <w:t>用户情况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3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6" w:lineRule="auto"/>
                  <w:ind w:left="2223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11" w:history="1">
                  <w:r>
                    <w:rPr>
                      <w:rFonts w:ascii="KaiTi" w:eastAsia="KaiTi" w:hAnsi="KaiTi" w:cs="KaiTi"/>
                      <w:spacing w:val="-6"/>
                      <w:sz w:val="28"/>
                      <w:szCs w:val="28"/>
                    </w:rPr>
                    <w:t>2、</w:t>
                  </w:r>
                  <w:r>
                    <w:rPr>
                      <w:rFonts w:ascii="KaiTi" w:eastAsia="KaiTi" w:hAnsi="KaiTi" w:cs="KaiTi"/>
                      <w:spacing w:val="2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6"/>
                      <w:sz w:val="28"/>
                      <w:szCs w:val="28"/>
                    </w:rPr>
                    <w:t>场点情况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3</w:t>
                  </w:r>
                </w:hyperlink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331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2" w:history="1">
                  <w:r>
                    <w:rPr>
                      <w:spacing w:val="-8"/>
                    </w:rPr>
                    <w:t>(1)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rPr>
                      <w:spacing w:val="-8"/>
                    </w:rPr>
                    <w:t>专业市场停车场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0"/>
                    </w:rPr>
                    <w:t>4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3" w:history="1">
                  <w:r>
                    <w:rPr>
                      <w:spacing w:val="-10"/>
                    </w:rPr>
                    <w:t>(2)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10"/>
                    </w:rPr>
                    <w:t>景区停车场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7"/>
                    </w:rPr>
                    <w:t>4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4" w:history="1">
                  <w:r>
                    <w:rPr>
                      <w:spacing w:val="-9"/>
                    </w:rPr>
                    <w:t>(3)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9"/>
                    </w:rPr>
                    <w:t>独立式停车场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4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5" w:history="1">
                  <w:r>
                    <w:rPr>
                      <w:spacing w:val="-10"/>
                    </w:rPr>
                    <w:t>(4)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rPr>
                      <w:spacing w:val="-10"/>
                    </w:rPr>
                    <w:t>写字楼停车场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4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6" w:history="1">
                  <w:r>
                    <w:rPr>
                      <w:spacing w:val="-9"/>
                    </w:rPr>
                    <w:t>(5)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rPr>
                      <w:spacing w:val="-9"/>
                    </w:rPr>
                    <w:t>商业街区停车场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0"/>
                    </w:rPr>
                    <w:t>4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7" w:history="1">
                  <w:r>
                    <w:rPr>
                      <w:spacing w:val="-9"/>
                    </w:rPr>
                    <w:t>(6)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9"/>
                    </w:rPr>
                    <w:t>综合体停车场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5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8" w:history="1">
                  <w:r>
                    <w:rPr>
                      <w:spacing w:val="-6"/>
                    </w:rPr>
                    <w:t>(7)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rPr>
                      <w:spacing w:val="-6"/>
                    </w:rPr>
                    <w:t>酒店餐饮停车场</w:t>
                  </w:r>
                  <w:r>
                    <w:rPr>
                      <w:spacing w:val="-83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0"/>
                    </w:rPr>
                    <w:t>5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19" w:history="1">
                  <w:r>
                    <w:rPr>
                      <w:spacing w:val="-13"/>
                    </w:rPr>
                    <w:t>(8)</w:t>
                  </w:r>
                  <w:r>
                    <w:rPr>
                      <w:spacing w:val="44"/>
                    </w:rPr>
                    <w:t xml:space="preserve"> </w:t>
                  </w:r>
                  <w:r>
                    <w:rPr>
                      <w:spacing w:val="-13"/>
                    </w:rPr>
                    <w:t>医院停车场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7"/>
                    </w:rPr>
                    <w:t>5</w:t>
                  </w:r>
                </w:hyperlink>
              </w:p>
            </w:sdtContent>
          </w:sdt>
        </w:tc>
      </w:tr>
    </w:tbl>
    <w:p>
      <w:pPr>
        <w:sectPr>
          <w:headerReference w:type="default" r:id="rId6"/>
          <w:footerReference w:type="default" r:id="rId7"/>
          <w:type w:val="nextPage"/>
          <w:pgSz w:w="11906" w:h="16839"/>
          <w:pgMar w:top="1" w:right="0" w:bottom="1" w:left="0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5153"/>
        </w:trPr>
        <w:tc>
          <w:tcPr>
            <w:tcW w:w="11889" w:type="dxa"/>
            <w:tcBorders>
              <w:top w:val="nil"/>
            </w:tcBorders>
            <w:vAlign w:val="top"/>
          </w:tcPr>
          <w:sdt>
            <w:sdtPr>
              <w:rPr>
                <w:rFonts w:ascii="SimHei" w:eastAsia="SimHei" w:hAnsi="SimHei" w:cs="SimHei"/>
                <w:sz w:val="35"/>
                <w:szCs w:val="35"/>
              </w:rPr>
              <w:id w:val="1437778260"/>
              <w:docPartObj>
                <w:docPartGallery w:val="Table of Contents"/>
                <w:docPartUnique/>
              </w:docPartObj>
            </w:sdtPr>
            <w:sdtEndPr>
              <w:rPr>
                <w:rFonts w:ascii="Palatino Linotype" w:eastAsia="Palatino Linotype" w:hAnsi="Palatino Linotype" w:cs="Palatino Linotype"/>
                <w:sz w:val="28"/>
                <w:szCs w:val="28"/>
              </w:rPr>
            </w:sdtEndPr>
            <w:sdtContent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214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20" w:history="1">
                  <w:r>
                    <w:rPr>
                      <w:spacing w:val="-9"/>
                    </w:rPr>
                    <w:t>(9)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9"/>
                    </w:rPr>
                    <w:t>产业园停车场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5</w:t>
                  </w:r>
                </w:hyperlink>
              </w:p>
            </w:sdtContent>
          </w:sdt>
        </w:tc>
      </w:tr>
    </w:tbl>
    <w:p>
      <w:pPr>
        <w:spacing w:line="189" w:lineRule="exact"/>
        <w:rPr>
          <w:rFonts w:ascii="Arial"/>
          <w:sz w:val="16"/>
        </w:rPr>
      </w:pPr>
    </w:p>
    <w:p>
      <w:pPr>
        <w:spacing w:line="189" w:lineRule="exact"/>
        <w:rPr>
          <w:rFonts w:ascii="Arial" w:eastAsia="Arial" w:hAnsi="Arial" w:cs="Arial"/>
          <w:sz w:val="16"/>
          <w:szCs w:val="16"/>
        </w:rPr>
        <w:sectPr>
          <w:headerReference w:type="default" r:id="rId8"/>
          <w:footerReference w:type="default" r:id="rId9"/>
          <w:type w:val="nextPage"/>
          <w:pgSz w:w="11906" w:h="16839"/>
          <w:pgMar w:top="1" w:right="0" w:bottom="1" w:left="0" w:header="0" w:footer="0" w:gutter="0"/>
          <w:pgNumType w:start="3"/>
          <w:cols w:space="708"/>
          <w:titlePg w:val="0"/>
        </w:sectPr>
      </w:pPr>
    </w:p>
    <w:tbl>
      <w:tblPr>
        <w:tblStyle w:val="TableNormal2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419"/>
        </w:trPr>
        <w:tc>
          <w:tcPr>
            <w:tcW w:w="11889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4384" behindDoc="1" locked="0" layoutInCell="0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7560309" cy="10692765"/>
                      <wp:effectExtent l="0" t="0" r="0" b="0"/>
                      <wp:wrapNone/>
                      <wp:docPr id="4" name="Rec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560309" cy="10692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7F9F8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" o:spid="_x0000_s1029" style="width:595.3pt;height:841.95pt;margin-top:0;margin-left:0;mso-position-horizontal-relative:page;mso-position-vertical-relative:page;mso-wrap-distance-bottom:0;mso-wrap-distance-left:0;mso-wrap-distance-right:0;mso-wrap-distance-top:0;position:absolute;v-text-anchor:top;z-index:-251653120" o:allowincell="f" fillcolor="#f7f9f8" stroked="f"/>
                  </w:pict>
                </mc:Fallback>
              </mc:AlternateContent>
            </w:r>
            <w:r>
              <w:pict>
                <v:rect id="_x0000_s1030" style="width:42.85pt;height:70.6pt;margin-top:-0.32pt;margin-left:-594.45pt;mso-position-horizontal-relative:right-margin-area;mso-position-vertical-relative:top-margin-area;position:absolute;z-index:251666432" filled="t" fillcolor="#c0d8ed" stroked="f"/>
              </w:pict>
            </w:r>
            <w:r>
              <w:pict>
                <v:rect id="_x0000_s1031" style="width:196.6pt;height:9.25pt;margin-top:15.88pt;margin-left:-573.21pt;mso-position-horizontal-relative:right-margin-area;mso-position-vertical-relative:top-margin-area;position:absolute;z-index:251667456" filled="t" fillcolor="#629dd1" stroked="f"/>
              </w:pict>
            </w:r>
            <w:r>
              <w:pict>
                <v:rect id="_x0000_s1032" style="width:12.6pt;height:70.6pt;margin-top:-0.32pt;margin-left:-12.33pt;mso-position-horizontal-relative:right-margin-area;mso-position-vertical-relative:top-margin-area;position:absolute;z-index:251665408" filled="t" fillcolor="#e0ebf6" stroked="f"/>
              </w:pict>
            </w:r>
          </w:p>
        </w:tc>
      </w:tr>
    </w:tbl>
    <w:p>
      <w:pPr>
        <w:sectPr>
          <w:headerReference w:type="default" r:id="rId10"/>
          <w:footerReference w:type="default" r:id="rId11"/>
          <w:pgSz w:w="11906" w:h="16839"/>
          <w:pgMar w:top="1" w:right="0" w:bottom="200" w:left="0" w:header="0" w:footer="0" w:gutter="0"/>
          <w:pgNumType w:start="4"/>
          <w:cols w:space="708"/>
        </w:sectPr>
      </w:pPr>
    </w:p>
    <w:tbl>
      <w:tblPr>
        <w:tblStyle w:val="TableNormal3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5195"/>
        </w:trPr>
        <w:tc>
          <w:tcPr>
            <w:tcW w:w="11889" w:type="dxa"/>
            <w:tcBorders>
              <w:top w:val="nil"/>
            </w:tcBorders>
            <w:vAlign w:val="top"/>
          </w:tcPr>
          <w:sdt>
            <w:sdtPr>
              <w:rPr>
                <w:rFonts w:ascii="FangSong" w:eastAsia="FangSong" w:hAnsi="FangSong" w:cs="FangSong"/>
                <w:sz w:val="28"/>
                <w:szCs w:val="28"/>
              </w:rPr>
              <w:id w:val="1912898721"/>
              <w:docPartObj>
                <w:docPartGallery w:val="Table of Contents"/>
                <w:docPartUnique/>
              </w:docPartObj>
            </w:sdtPr>
            <w:sdtEndPr>
              <w:rPr>
                <w:rFonts w:ascii="Palatino Linotype" w:eastAsia="Palatino Linotype" w:hAnsi="Palatino Linotype" w:cs="Palatino Linotype"/>
                <w:sz w:val="28"/>
                <w:szCs w:val="28"/>
              </w:rPr>
            </w:sdtEndPr>
            <w:sdtContent>
              <w:p>
                <w:pPr>
                  <w:pStyle w:val="TableText"/>
                  <w:tabs>
                    <w:tab w:val="right" w:leader="dot" w:pos="10100"/>
                  </w:tabs>
                  <w:spacing w:before="191" w:line="183" w:lineRule="auto"/>
                  <w:ind w:left="2654"/>
                  <w:rPr>
                    <w:rFonts w:ascii="Palatino Linotype" w:eastAsia="Palatino Linotype" w:hAnsi="Palatino Linotype" w:cs="Palatino Linotype"/>
                  </w:rPr>
                </w:pPr>
                <w:hyperlink w:anchor="bookmark21" w:history="1">
                  <w:r>
                    <w:rPr>
                      <w:spacing w:val="-2"/>
                    </w:rPr>
                    <w:t>（10）交通枢纽停车场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5"/>
                    </w:rPr>
                    <w:t>5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54"/>
                  <w:rPr>
                    <w:rFonts w:ascii="Palatino Linotype" w:eastAsia="Palatino Linotype" w:hAnsi="Palatino Linotype" w:cs="Palatino Linotype"/>
                  </w:rPr>
                </w:pPr>
                <w:hyperlink w:anchor="bookmark22" w:history="1">
                  <w:r>
                    <w:rPr>
                      <w:spacing w:val="-3"/>
                    </w:rPr>
                    <w:t>（11）道路停车点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5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25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3" w:history="1"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3、</w:t>
                  </w:r>
                  <w:r>
                    <w:rPr>
                      <w:rFonts w:ascii="KaiTi" w:eastAsia="KaiTi" w:hAnsi="KaiTi" w:cs="KaiTi"/>
                      <w:spacing w:val="1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订单情况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5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6" w:lineRule="auto"/>
                  <w:ind w:left="2218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4" w:history="1"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4、</w:t>
                  </w:r>
                  <w:r>
                    <w:rPr>
                      <w:rFonts w:ascii="KaiTi" w:eastAsia="KaiTi" w:hAnsi="KaiTi" w:cs="KaiTi"/>
                      <w:spacing w:val="2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支付方式</w:t>
                  </w:r>
                  <w:r>
                    <w:rPr>
                      <w:rFonts w:ascii="KaiTi" w:eastAsia="KaiTi" w:hAnsi="KaiTi" w:cs="KaiTi"/>
                      <w:spacing w:val="-89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1" w:lineRule="auto"/>
                  <w:ind w:left="1811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5" w:history="1"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三、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道路停车情况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3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spacing w:line="242" w:lineRule="auto"/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4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6" w:history="1">
                  <w:r>
                    <w:rPr>
                      <w:rFonts w:ascii="KaiTi" w:eastAsia="KaiTi" w:hAnsi="KaiTi" w:cs="KaiTi"/>
                      <w:spacing w:val="-4"/>
                      <w:sz w:val="28"/>
                      <w:szCs w:val="28"/>
                    </w:rPr>
                    <w:t>1、</w:t>
                  </w:r>
                  <w:r>
                    <w:rPr>
                      <w:rFonts w:ascii="KaiTi" w:eastAsia="KaiTi" w:hAnsi="KaiTi" w:cs="KaiTi"/>
                      <w:spacing w:val="-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4"/>
                      <w:sz w:val="28"/>
                      <w:szCs w:val="28"/>
                    </w:rPr>
                    <w:t>周转次数</w:t>
                  </w:r>
                  <w:r>
                    <w:rPr>
                      <w:rFonts w:ascii="KaiTi" w:eastAsia="KaiTi" w:hAnsi="KaiTi" w:cs="KaiTi"/>
                      <w:spacing w:val="-8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6" w:lineRule="auto"/>
                  <w:ind w:left="2223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7" w:history="1"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2、</w:t>
                  </w:r>
                  <w:r>
                    <w:rPr>
                      <w:rFonts w:ascii="KaiTi" w:eastAsia="KaiTi" w:hAnsi="KaiTi" w:cs="KaiTi"/>
                      <w:spacing w:val="2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免费订单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6" w:lineRule="auto"/>
                  <w:ind w:left="2225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8" w:history="1"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>3、</w:t>
                  </w:r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2"/>
                      <w:sz w:val="28"/>
                      <w:szCs w:val="28"/>
                    </w:rPr>
                    <w:t>覆盖场景</w:t>
                  </w:r>
                  <w:r>
                    <w:rPr>
                      <w:rFonts w:ascii="KaiTi" w:eastAsia="KaiTi" w:hAnsi="KaiTi" w:cs="KaiTi"/>
                      <w:spacing w:val="-8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1" w:line="186" w:lineRule="auto"/>
                  <w:ind w:left="2218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29" w:history="1">
                  <w:r>
                    <w:rPr>
                      <w:rFonts w:ascii="KaiTi" w:eastAsia="KaiTi" w:hAnsi="KaiTi" w:cs="KaiTi"/>
                      <w:spacing w:val="-4"/>
                      <w:sz w:val="28"/>
                      <w:szCs w:val="28"/>
                    </w:rPr>
                    <w:t>4、</w:t>
                  </w:r>
                  <w:r>
                    <w:rPr>
                      <w:rFonts w:ascii="KaiTi" w:eastAsia="KaiTi" w:hAnsi="KaiTi" w:cs="KaiTi"/>
                      <w:spacing w:val="2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4"/>
                      <w:sz w:val="28"/>
                      <w:szCs w:val="28"/>
                    </w:rPr>
                    <w:t>收费情况</w:t>
                  </w:r>
                  <w:r>
                    <w:rPr>
                      <w:rFonts w:ascii="KaiTi" w:eastAsia="KaiTi" w:hAnsi="KaiTi" w:cs="KaiTi"/>
                      <w:spacing w:val="-89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8"/>
                      <w:sz w:val="28"/>
                      <w:szCs w:val="28"/>
                    </w:rPr>
                    <w:t>6</w:t>
                  </w:r>
                </w:hyperlink>
              </w:p>
              <w:p>
                <w:pPr>
                  <w:tabs>
                    <w:tab w:val="right" w:leader="dot" w:pos="10100"/>
                  </w:tabs>
                  <w:spacing w:before="332" w:line="181" w:lineRule="auto"/>
                  <w:ind w:left="1822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30" w:history="1">
                  <w:r>
                    <w:rPr>
                      <w:rFonts w:ascii="SimHei" w:eastAsia="SimHei" w:hAnsi="SimHei" w:cs="SimHei"/>
                      <w:spacing w:val="-3"/>
                      <w:sz w:val="28"/>
                      <w:szCs w:val="28"/>
                    </w:rPr>
                    <w:t>四、</w:t>
                  </w:r>
                  <w:r>
                    <w:rPr>
                      <w:rFonts w:ascii="SimHei" w:eastAsia="SimHei" w:hAnsi="SimHei" w:cs="SimHei"/>
                      <w:spacing w:val="-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8"/>
                      <w:szCs w:val="28"/>
                    </w:rPr>
                    <w:t>平台应用情况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3"/>
                      <w:sz w:val="28"/>
                      <w:szCs w:val="28"/>
                    </w:rPr>
                    <w:t>7</w:t>
                  </w:r>
                </w:hyperlink>
              </w:p>
              <w:p>
                <w:pPr>
                  <w:spacing w:line="242" w:lineRule="auto"/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40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31" w:history="1">
                  <w:r>
                    <w:rPr>
                      <w:rFonts w:ascii="KaiTi" w:eastAsia="KaiTi" w:hAnsi="KaiTi" w:cs="KaiTi"/>
                      <w:spacing w:val="-3"/>
                      <w:sz w:val="28"/>
                      <w:szCs w:val="28"/>
                    </w:rPr>
                    <w:t>1、</w:t>
                  </w:r>
                  <w:r>
                    <w:rPr>
                      <w:rFonts w:ascii="KaiTi" w:eastAsia="KaiTi" w:hAnsi="KaiTi" w:cs="KaiTi"/>
                      <w:spacing w:val="-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3"/>
                      <w:sz w:val="28"/>
                      <w:szCs w:val="28"/>
                    </w:rPr>
                    <w:t>政府停车治理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0"/>
                      <w:sz w:val="28"/>
                      <w:szCs w:val="28"/>
                    </w:rPr>
                    <w:t>7</w:t>
                  </w:r>
                </w:hyperlink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331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2" w:history="1">
                  <w:r>
                    <w:rPr>
                      <w:spacing w:val="-5"/>
                    </w:rPr>
                    <w:t>(1)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5"/>
                    </w:rPr>
                    <w:t>提升道路泊位周转次数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4"/>
                      <w:w w:val="145"/>
                    </w:rPr>
                    <w:t>7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3" w:history="1">
                  <w:r>
                    <w:rPr>
                      <w:spacing w:val="-10"/>
                    </w:rPr>
                    <w:t>(2)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rPr>
                      <w:spacing w:val="-10"/>
                    </w:rPr>
                    <w:t>实现快停快走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7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4" w:history="1">
                  <w:r>
                    <w:rPr>
                      <w:spacing w:val="-5"/>
                    </w:rPr>
                    <w:t>(3)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5"/>
                    </w:rPr>
                    <w:t>上线分散式道路泊位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"/>
                    </w:rPr>
                    <w:t>7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5" w:history="1">
                  <w:r>
                    <w:rPr>
                      <w:spacing w:val="-4"/>
                    </w:rPr>
                    <w:t>(4)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spacing w:val="-4"/>
                    </w:rPr>
                    <w:t>对接交警智能交通一体化平台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4"/>
                      <w:w w:val="136"/>
                    </w:rPr>
                    <w:t>7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6" w:history="1">
                  <w:r>
                    <w:rPr>
                      <w:spacing w:val="-4"/>
                    </w:rPr>
                    <w:t>(5)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spacing w:val="-4"/>
                    </w:rPr>
                    <w:t>研发机关单位共享停车管理平台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4"/>
                      <w:w w:val="133"/>
                    </w:rPr>
                    <w:t>7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7" w:history="1">
                  <w:r>
                    <w:rPr>
                      <w:spacing w:val="-5"/>
                    </w:rPr>
                    <w:t>(6)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5"/>
                    </w:rPr>
                    <w:t>延长道路免费停放时间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32"/>
                      <w:w w:val="125"/>
                    </w:rPr>
                    <w:t>8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5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8" w:history="1">
                  <w:r>
                    <w:rPr>
                      <w:spacing w:val="-5"/>
                    </w:rPr>
                    <w:t>(7)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5"/>
                    </w:rPr>
                    <w:t>提供景区决策支撑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5"/>
                    </w:rPr>
                    <w:t>8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94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39" w:history="1">
                  <w:r>
                    <w:rPr>
                      <w:spacing w:val="-10"/>
                    </w:rPr>
                    <w:t>(8)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rPr>
                      <w:spacing w:val="-10"/>
                    </w:rPr>
                    <w:t>实现线下诱导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4"/>
                    </w:rPr>
                    <w:t>8</w:t>
                  </w:r>
                </w:hyperlink>
              </w:p>
              <w:p>
                <w:pPr>
                  <w:rPr>
                    <w:rFonts w:ascii="Arial"/>
                    <w:sz w:val="21"/>
                  </w:rPr>
                </w:pPr>
              </w:p>
              <w:p>
                <w:pPr>
                  <w:tabs>
                    <w:tab w:val="right" w:leader="dot" w:pos="10100"/>
                  </w:tabs>
                  <w:spacing w:before="95" w:line="186" w:lineRule="auto"/>
                  <w:ind w:left="2223"/>
                  <w:rPr>
                    <w:rFonts w:ascii="Palatino Linotype" w:eastAsia="Palatino Linotype" w:hAnsi="Palatino Linotype" w:cs="Palatino Linotype"/>
                    <w:sz w:val="28"/>
                    <w:szCs w:val="28"/>
                  </w:rPr>
                </w:pPr>
                <w:hyperlink w:anchor="bookmark40" w:history="1"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2、</w:t>
                  </w:r>
                  <w:r>
                    <w:rPr>
                      <w:rFonts w:ascii="KaiTi" w:eastAsia="KaiTi" w:hAnsi="KaiTi" w:cs="KaiTi"/>
                      <w:spacing w:val="29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5"/>
                      <w:sz w:val="28"/>
                      <w:szCs w:val="28"/>
                    </w:rPr>
                    <w:t>车主公共服务</w:t>
                  </w:r>
                  <w:r>
                    <w:rPr>
                      <w:rFonts w:ascii="KaiTi" w:eastAsia="KaiTi" w:hAnsi="KaiTi" w:cs="KaiTi"/>
                      <w:spacing w:val="-8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8"/>
                      <w:szCs w:val="28"/>
                    </w:rP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0"/>
                      <w:sz w:val="28"/>
                      <w:szCs w:val="28"/>
                    </w:rPr>
                    <w:t>9</w:t>
                  </w:r>
                </w:hyperlink>
              </w:p>
              <w:p>
                <w:pPr>
                  <w:pStyle w:val="TableText"/>
                  <w:tabs>
                    <w:tab w:val="right" w:leader="dot" w:pos="10100"/>
                  </w:tabs>
                  <w:spacing w:before="331" w:line="183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41" w:history="1">
                  <w:r>
                    <w:rPr>
                      <w:spacing w:val="-12"/>
                    </w:rPr>
                    <w:t>(1)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12"/>
                    </w:rPr>
                    <w:t>公共信息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22"/>
                    </w:rPr>
                    <w:t>9</w:t>
                  </w:r>
                </w:hyperlink>
              </w:p>
              <w:p>
                <w:pPr>
                  <w:spacing w:line="241" w:lineRule="auto"/>
                  <w:rPr>
                    <w:rFonts w:ascii="Arial"/>
                    <w:sz w:val="21"/>
                  </w:rPr>
                </w:pPr>
              </w:p>
            </w:sdtContent>
          </w:sdt>
        </w:tc>
      </w:tr>
    </w:tbl>
    <w:p>
      <w:pPr>
        <w:sectPr>
          <w:headerReference w:type="default" r:id="rId12"/>
          <w:footerReference w:type="default" r:id="rId13"/>
          <w:type w:val="nextPage"/>
          <w:pgSz w:w="11906" w:h="16839"/>
          <w:pgMar w:top="1" w:right="0" w:bottom="200" w:left="0" w:header="0" w:footer="0" w:gutter="0"/>
          <w:pgNumType w:start="5"/>
          <w:cols w:space="708"/>
          <w:titlePg w:val="0"/>
        </w:sectPr>
      </w:pPr>
    </w:p>
    <w:tbl>
      <w:tblPr>
        <w:tblStyle w:val="TableNormal4"/>
        <w:tblW w:w="11889" w:type="dxa"/>
        <w:tblInd w:w="2" w:type="dxa"/>
        <w:tblBorders>
          <w:top w:val="single" w:sz="2" w:space="0" w:color="2F5597"/>
          <w:left w:val="single" w:sz="2" w:space="0" w:color="2F5597"/>
          <w:bottom w:val="single" w:sz="2" w:space="0" w:color="2F5597"/>
          <w:right w:val="single" w:sz="2" w:space="0" w:color="2F5597"/>
          <w:insideH w:val="single" w:sz="2" w:space="0" w:color="2F5597"/>
          <w:insideV w:val="single" w:sz="2" w:space="0" w:color="2F5597"/>
        </w:tblBorders>
        <w:tblLayout w:type="fixed"/>
      </w:tblPr>
      <w:tblGrid>
        <w:gridCol w:w="11889"/>
      </w:tblGrid>
      <w:tr>
        <w:tblPrEx>
          <w:tblW w:w="11889" w:type="dxa"/>
          <w:tblInd w:w="2" w:type="dxa"/>
          <w:tblBorders>
            <w:top w:val="single" w:sz="2" w:space="0" w:color="2F5597"/>
            <w:left w:val="single" w:sz="2" w:space="0" w:color="2F5597"/>
            <w:bottom w:val="single" w:sz="2" w:space="0" w:color="2F5597"/>
            <w:right w:val="single" w:sz="2" w:space="0" w:color="2F5597"/>
            <w:insideH w:val="single" w:sz="2" w:space="0" w:color="2F5597"/>
            <w:insideV w:val="single" w:sz="2" w:space="0" w:color="2F5597"/>
          </w:tblBorders>
          <w:tblLayout w:type="fixed"/>
        </w:tblPrEx>
        <w:trPr>
          <w:trHeight w:val="15195"/>
        </w:trPr>
        <w:tc>
          <w:tcPr>
            <w:tcW w:w="11889" w:type="dxa"/>
            <w:tcBorders>
              <w:top w:val="nil"/>
            </w:tcBorders>
            <w:vAlign w:val="top"/>
          </w:tcPr>
          <w:sdt>
            <w:sdtPr>
              <w:rPr>
                <w:rFonts w:ascii="FangSong" w:eastAsia="FangSong" w:hAnsi="FangSong" w:cs="FangSong"/>
                <w:sz w:val="28"/>
                <w:szCs w:val="28"/>
              </w:rPr>
              <w:id w:val="771665308"/>
              <w:docPartObj>
                <w:docPartGallery w:val="Table of Contents"/>
                <w:docPartUnique/>
              </w:docPartObj>
            </w:sdtPr>
            <w:sdtEndPr>
              <w:rPr>
                <w:rFonts w:ascii="Palatino Linotype" w:eastAsia="Palatino Linotype" w:hAnsi="Palatino Linotype" w:cs="Palatino Linotype"/>
                <w:sz w:val="28"/>
                <w:szCs w:val="28"/>
              </w:rPr>
            </w:sdtEndPr>
            <w:sdtContent>
              <w:p>
                <w:pPr>
                  <w:pStyle w:val="TableText"/>
                  <w:tabs>
                    <w:tab w:val="right" w:leader="dot" w:pos="10102"/>
                  </w:tabs>
                  <w:spacing w:before="94" w:line="216" w:lineRule="auto"/>
                  <w:ind w:left="2694"/>
                  <w:rPr>
                    <w:rFonts w:ascii="Palatino Linotype" w:eastAsia="Palatino Linotype" w:hAnsi="Palatino Linotype" w:cs="Palatino Linotype"/>
                  </w:rPr>
                </w:pPr>
                <w:hyperlink w:anchor="bookmark42" w:history="1">
                  <w:r>
                    <w:rPr>
                      <w:spacing w:val="-11"/>
                    </w:rPr>
                    <w:t>(2)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-11"/>
                    </w:rPr>
                    <w:t>优惠加油</w:t>
                  </w:r>
                  <w:r>
                    <w:tab/>
                  </w:r>
                  <w:r>
                    <w:rPr>
                      <w:rFonts w:ascii="Palatino Linotype" w:eastAsia="Palatino Linotype" w:hAnsi="Palatino Linotype" w:cs="Palatino Linotype"/>
                      <w:spacing w:val="11"/>
                    </w:rPr>
                    <w:t>10</w:t>
                  </w:r>
                </w:hyperlink>
              </w:p>
            </w:sdtContent>
          </w:sdt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https://d.book118.com/336115124234010043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headerReference w:type="default" r:id="rId15"/>
      <w:footerReference w:type="default" r:id="rId16"/>
      <w:type w:val="nextPage"/>
      <w:pgSz w:w="11906" w:h="16839"/>
      <w:pgMar w:top="1" w:right="0" w:bottom="200" w:left="0" w:header="0" w:footer="0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"/>
      <w:szCs w:val="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yperlink" Target="https://d.book118.com/336115124234010043" TargetMode="Externa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2024-02-04T23:18:55Z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2024-02-04T23:19:00Z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65bfaadca2a793001f5ccb65wl</vt:lpwstr>
  </property>
</Properties>
</file>