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2024年广东省普通高中学业水平选择考模拟测试（一）生物学试题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auto"/>
        <w:spacing w:line="360" w:lineRule="auto"/>
        <w:jc w:val="left"/>
        <w:textAlignment w:val="center"/>
      </w:pPr>
      <w:r>
        <w:t>1</w:t>
      </w:r>
      <w:r>
        <w:t>．中国国家版本馆是国家版本资源总库，也是中华文化种子基因库，设有广州分馆（文沁阁）等三个地方分馆。下列有关基因的叙述，正确的是（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A．基因是有遗传效应的染色体片段</w:t>
      </w:r>
    </w:p>
    <w:p>
      <w:pPr>
        <w:shd w:val="clear" w:color="auto" w:fill="auto"/>
        <w:spacing w:line="360" w:lineRule="auto"/>
        <w:ind w:left="300"/>
        <w:jc w:val="left"/>
        <w:textAlignment w:val="center"/>
      </w:pPr>
      <w:r>
        <w:t>B．基因中碱基A与G的数量相同</w:t>
      </w:r>
    </w:p>
    <w:p>
      <w:pPr>
        <w:shd w:val="clear" w:color="auto" w:fill="auto"/>
        <w:spacing w:line="360" w:lineRule="auto"/>
        <w:ind w:left="300"/>
        <w:jc w:val="left"/>
        <w:textAlignment w:val="center"/>
      </w:pPr>
      <w:r>
        <w:t>C．基因的选择性表达导致细胞分化</w:t>
      </w:r>
    </w:p>
    <w:p>
      <w:pPr>
        <w:shd w:val="clear" w:color="auto" w:fill="auto"/>
        <w:spacing w:line="360" w:lineRule="auto"/>
        <w:ind w:left="300"/>
        <w:jc w:val="left"/>
        <w:textAlignment w:val="center"/>
      </w:pPr>
      <w:r>
        <w:t>D．基因的甲基化不会遗传给后代</w:t>
      </w:r>
    </w:p>
    <w:p>
      <w:pPr>
        <w:shd w:val="clear" w:color="auto" w:fill="auto"/>
        <w:spacing w:line="360" w:lineRule="auto"/>
        <w:jc w:val="left"/>
        <w:textAlignment w:val="center"/>
      </w:pPr>
      <w:r>
        <w:t>2</w:t>
      </w:r>
      <w:r>
        <w:t>．每年6月前后，当夜幕降临时，华南国家植物园的树林中常有成群萤火虫穿梭飞舞，宛若星河落入林间，雨后更显梦幻和浪漫。萤火虫利用发光向异性发出求偶信号，但驱蚊水、闪光灯会干扰萤火虫的繁殖过程。下列叙述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A．萤火虫发光由细胞中的ADP直接提供能量</w:t>
      </w:r>
    </w:p>
    <w:p>
      <w:pPr>
        <w:shd w:val="clear" w:color="auto" w:fill="auto"/>
        <w:spacing w:line="360" w:lineRule="auto"/>
        <w:ind w:left="300"/>
        <w:jc w:val="left"/>
        <w:textAlignment w:val="center"/>
      </w:pPr>
      <w:r>
        <w:t>B．种群密度是萤火虫种群最基本的数量特征</w:t>
      </w:r>
    </w:p>
    <w:p>
      <w:pPr>
        <w:shd w:val="clear" w:color="auto" w:fill="auto"/>
        <w:spacing w:line="360" w:lineRule="auto"/>
        <w:ind w:left="300"/>
        <w:jc w:val="left"/>
        <w:textAlignment w:val="center"/>
      </w:pPr>
      <w:r>
        <w:t>C．水分对萤火虫种群来说，是一种密度制约因素</w:t>
      </w:r>
    </w:p>
    <w:p>
      <w:pPr>
        <w:shd w:val="clear" w:color="auto" w:fill="auto"/>
        <w:spacing w:line="360" w:lineRule="auto"/>
        <w:ind w:left="300"/>
        <w:jc w:val="left"/>
        <w:textAlignment w:val="center"/>
      </w:pPr>
      <w:r>
        <w:t>D．驱蚊水和闪光灯对萤火虫来说是行为信息</w:t>
      </w:r>
    </w:p>
    <w:p>
      <w:pPr>
        <w:shd w:val="clear" w:color="auto" w:fill="auto"/>
        <w:spacing w:line="360" w:lineRule="auto"/>
        <w:jc w:val="left"/>
        <w:textAlignment w:val="center"/>
      </w:pPr>
      <w:r>
        <w:t>3</w:t>
      </w:r>
      <w:r>
        <w:t>．“稍稍窥其户，清斓流玉膏”的生蚝有“海洋牛奶”之称，烧烤时配以蒜蓉（用大蒜鳞茎碾碎制成）更是深受欢迎。关于生蚝和大蒜的叙述，正确的是（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A．生蚝中含量最多的有机物是蛋白质</w:t>
      </w:r>
    </w:p>
    <w:p>
      <w:pPr>
        <w:shd w:val="clear" w:color="auto" w:fill="auto"/>
        <w:spacing w:line="360" w:lineRule="auto"/>
        <w:ind w:left="300"/>
        <w:jc w:val="left"/>
        <w:textAlignment w:val="center"/>
      </w:pPr>
      <w:r>
        <w:t>B．大蒜素储存在大蒜鳞茎细胞的叶绿体中</w:t>
      </w:r>
    </w:p>
    <w:p>
      <w:pPr>
        <w:shd w:val="clear" w:color="auto" w:fill="auto"/>
        <w:spacing w:line="360" w:lineRule="auto"/>
        <w:ind w:left="300"/>
        <w:jc w:val="left"/>
        <w:textAlignment w:val="center"/>
      </w:pPr>
      <w:r>
        <w:t>C．细胞中的化合物以碳链为基本骨架</w:t>
      </w:r>
    </w:p>
    <w:p>
      <w:pPr>
        <w:shd w:val="clear" w:color="auto" w:fill="auto"/>
        <w:spacing w:line="360" w:lineRule="auto"/>
        <w:ind w:left="300"/>
        <w:jc w:val="left"/>
        <w:textAlignment w:val="center"/>
      </w:pPr>
      <w:r>
        <w:t>D．生蚝在烧烤时流失的水主要为结合水</w:t>
      </w:r>
    </w:p>
    <w:p>
      <w:pPr>
        <w:shd w:val="clear" w:color="auto" w:fill="auto"/>
        <w:spacing w:line="360" w:lineRule="auto"/>
        <w:jc w:val="left"/>
        <w:textAlignment w:val="center"/>
      </w:pPr>
      <w:r>
        <w:t>4</w:t>
      </w:r>
      <w:r>
        <w:t>．2023年诺贝尔生理学或医学奖颁发给了对mRNA疫苗技术作出重要贡献的两位科学家。有关mRNA疫苗的叙述，正确的是（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A．构成mRNA的基本单位是脱氧核苷酸</w:t>
      </w:r>
    </w:p>
    <w:p>
      <w:pPr>
        <w:shd w:val="clear" w:color="auto" w:fill="auto"/>
        <w:spacing w:line="360" w:lineRule="auto"/>
        <w:ind w:left="300"/>
        <w:jc w:val="left"/>
        <w:textAlignment w:val="center"/>
      </w:pPr>
      <w:r>
        <w:t>B．与DNA相比，mRNA特有的碱基是U</w:t>
      </w:r>
    </w:p>
    <w:p>
      <w:pPr>
        <w:shd w:val="clear" w:color="auto" w:fill="auto"/>
        <w:spacing w:line="360" w:lineRule="auto"/>
        <w:ind w:left="300"/>
        <w:jc w:val="left"/>
        <w:textAlignment w:val="center"/>
      </w:pPr>
      <w:r>
        <w:t>C．细胞内的mRNA是通过翻译而来的</w:t>
      </w:r>
    </w:p>
    <w:p>
      <w:pPr>
        <w:shd w:val="clear" w:color="auto" w:fill="auto"/>
        <w:spacing w:line="360" w:lineRule="auto"/>
        <w:ind w:left="300"/>
        <w:jc w:val="left"/>
        <w:textAlignment w:val="center"/>
      </w:pPr>
      <w:r>
        <w:t>D．疫苗进入人体后，起抗体的作用</w:t>
      </w:r>
    </w:p>
    <w:p>
      <w:pPr>
        <w:shd w:val="clear" w:color="auto" w:fill="auto"/>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5</w:t>
      </w:r>
    </w:p>
    <w:p>
      <w:pPr>
        <w:shd w:val="clear" w:color="auto" w:fill="auto"/>
        <w:spacing w:line="360" w:lineRule="auto"/>
        <w:jc w:val="left"/>
        <w:textAlignment w:val="center"/>
      </w:pPr>
      <w:r>
        <w:t>．拥抱给人带来力量（如图）。拥抱可以促进多巴胺（一种神经递质）和内啡肽（由脑垂体分泌）两种“快乐物质”的合成，使人的情绪趋于平和、稳定、愉悦和满足。下列有关多巴胺和内啡肽的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885825" cy="1733550"/>
            <wp:docPr id="100003" name="" descr="@@@6db56cd073134835bc198a97f04412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885825" cy="1733550"/>
                    </a:xfrm>
                    <a:prstGeom prst="rect">
                      <a:avLst/>
                    </a:prstGeom>
                  </pic:spPr>
                </pic:pic>
              </a:graphicData>
            </a:graphic>
          </wp:inline>
        </w:drawing>
      </w:r>
    </w:p>
    <w:p>
      <w:pPr>
        <w:shd w:val="clear" w:color="auto" w:fill="auto"/>
        <w:spacing w:line="360" w:lineRule="auto"/>
        <w:ind w:left="300"/>
        <w:jc w:val="left"/>
        <w:textAlignment w:val="center"/>
      </w:pPr>
      <w:r>
        <w:t>A．都是信息分子，起到催化作用</w:t>
      </w:r>
    </w:p>
    <w:p>
      <w:pPr>
        <w:shd w:val="clear" w:color="auto" w:fill="auto"/>
        <w:spacing w:line="360" w:lineRule="auto"/>
        <w:ind w:left="300"/>
        <w:jc w:val="left"/>
        <w:textAlignment w:val="center"/>
      </w:pPr>
      <w:r>
        <w:t>B．都能通过体内的导管运输到全身</w:t>
      </w:r>
    </w:p>
    <w:p>
      <w:pPr>
        <w:shd w:val="clear" w:color="auto" w:fill="auto"/>
        <w:spacing w:line="360" w:lineRule="auto"/>
        <w:ind w:left="300"/>
        <w:jc w:val="left"/>
        <w:textAlignment w:val="center"/>
      </w:pPr>
      <w:r>
        <w:t>C．都与细胞膜上的相关受体结合</w:t>
      </w:r>
    </w:p>
    <w:p>
      <w:pPr>
        <w:shd w:val="clear" w:color="auto" w:fill="auto"/>
        <w:spacing w:line="360" w:lineRule="auto"/>
        <w:ind w:left="300"/>
        <w:jc w:val="left"/>
        <w:textAlignment w:val="center"/>
      </w:pPr>
      <w:r>
        <w:t>D．都在起作用后全部被酶降解掉</w:t>
      </w:r>
    </w:p>
    <w:p>
      <w:pPr>
        <w:shd w:val="clear" w:color="auto" w:fill="auto"/>
        <w:spacing w:line="360" w:lineRule="auto"/>
        <w:jc w:val="left"/>
        <w:textAlignment w:val="center"/>
      </w:pPr>
      <w:r>
        <w:t>6</w:t>
      </w:r>
      <w:r>
        <w:t>．下列实验中，</w:t>
      </w:r>
      <w:r>
        <w:rPr>
          <w:em w:val="dot"/>
        </w:rPr>
        <w:t>不能</w:t>
      </w:r>
      <w:r>
        <w:t>通过检测放射性而进行的是（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A．分泌蛋白的合成与运输过程：</w:t>
      </w:r>
      <w:r>
        <w:rPr>
          <w:vertAlign w:val="superscript"/>
        </w:rPr>
        <w:t>3</w:t>
      </w:r>
      <w:r>
        <w:t>H</w:t>
      </w:r>
    </w:p>
    <w:p>
      <w:pPr>
        <w:shd w:val="clear" w:color="auto" w:fill="auto"/>
        <w:spacing w:line="360" w:lineRule="auto"/>
        <w:ind w:left="300"/>
        <w:jc w:val="left"/>
        <w:textAlignment w:val="center"/>
      </w:pPr>
      <w:r>
        <w:t>B．CO₂中的碳在暗反应中的转移途径：</w:t>
      </w:r>
      <w:r>
        <w:rPr>
          <w:vertAlign w:val="superscript"/>
        </w:rPr>
        <w:t>14</w:t>
      </w:r>
      <w:r>
        <w:t>C</w:t>
      </w:r>
    </w:p>
    <w:p>
      <w:pPr>
        <w:shd w:val="clear" w:color="auto" w:fill="auto"/>
        <w:spacing w:line="360" w:lineRule="auto"/>
        <w:ind w:left="300"/>
        <w:jc w:val="left"/>
        <w:textAlignment w:val="center"/>
      </w:pPr>
      <w:r>
        <w:t>C．证明DNA的半保留复制：</w:t>
      </w:r>
      <w:r>
        <w:rPr>
          <w:vertAlign w:val="superscript"/>
        </w:rPr>
        <w:t>15</w:t>
      </w:r>
      <w:r>
        <w:t>N</w:t>
      </w:r>
    </w:p>
    <w:p>
      <w:pPr>
        <w:shd w:val="clear" w:color="auto" w:fill="auto"/>
        <w:spacing w:line="360" w:lineRule="auto"/>
        <w:ind w:left="300"/>
        <w:jc w:val="left"/>
        <w:textAlignment w:val="center"/>
      </w:pPr>
      <w:r>
        <w:t>D．噬菌体侵染细菌的实验：</w:t>
      </w:r>
      <w:r>
        <w:rPr>
          <w:vertAlign w:val="superscript"/>
        </w:rPr>
        <w:t>35</w:t>
      </w:r>
      <w:r>
        <w:t>S或</w:t>
      </w:r>
      <w:r>
        <w:rPr>
          <w:vertAlign w:val="superscript"/>
        </w:rPr>
        <w:t>32</w:t>
      </w:r>
      <w:r>
        <w:t>P</w:t>
      </w:r>
    </w:p>
    <w:p>
      <w:pPr>
        <w:shd w:val="clear" w:color="auto" w:fill="auto"/>
        <w:spacing w:line="360" w:lineRule="auto"/>
        <w:jc w:val="left"/>
        <w:textAlignment w:val="center"/>
      </w:pPr>
      <w:r>
        <w:t>7</w:t>
      </w:r>
      <w:r>
        <w:t>．左图为摩尔根的果蝇杂交实验示意图，右图为果蝇XY性染色体的示意图。据图分析，下列假设中</w:t>
      </w:r>
      <w:r>
        <w:rPr>
          <w:em w:val="dot"/>
        </w:rPr>
        <w:t>错误</w:t>
      </w:r>
      <w:r>
        <w:t>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733925" cy="1619250"/>
            <wp:docPr id="100005" name="" descr="@@@15a65cd8-11f2-49ff-b6e4-940ee57ac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4733925" cy="1619250"/>
                    </a:xfrm>
                    <a:prstGeom prst="rect">
                      <a:avLst/>
                    </a:prstGeom>
                  </pic:spPr>
                </pic:pic>
              </a:graphicData>
            </a:graphic>
          </wp:inline>
        </w:drawing>
      </w:r>
    </w:p>
    <w:p>
      <w:pPr>
        <w:shd w:val="clear" w:color="auto" w:fill="auto"/>
        <w:spacing w:line="360" w:lineRule="auto"/>
        <w:ind w:left="300"/>
        <w:jc w:val="left"/>
        <w:textAlignment w:val="center"/>
      </w:pPr>
      <w:r>
        <w:t>A．控制白眼的基因在同源区段I</w:t>
      </w:r>
    </w:p>
    <w:p>
      <w:pPr>
        <w:shd w:val="clear" w:color="auto" w:fill="auto"/>
        <w:spacing w:line="360" w:lineRule="auto"/>
        <w:ind w:left="300"/>
        <w:jc w:val="left"/>
        <w:textAlignment w:val="center"/>
      </w:pPr>
      <w:r>
        <w:t>B．控制白眼的基因在非同源区段Ⅱ</w:t>
      </w:r>
      <w:r>
        <w:rPr>
          <w:vertAlign w:val="subscript"/>
        </w:rPr>
        <w:t>1</w:t>
      </w:r>
    </w:p>
    <w:p>
      <w:pPr>
        <w:shd w:val="clear" w:color="auto" w:fill="auto"/>
        <w:spacing w:line="360" w:lineRule="auto"/>
        <w:ind w:left="300"/>
        <w:jc w:val="left"/>
        <w:textAlignment w:val="center"/>
      </w:pPr>
      <w:r>
        <w:t>C．控制白眼的基因在非同源区段Ⅱ</w:t>
      </w:r>
      <w:r>
        <w:rPr>
          <w:vertAlign w:val="subscript"/>
        </w:rPr>
        <w:t>2</w:t>
      </w:r>
    </w:p>
    <w:p>
      <w:pPr>
        <w:shd w:val="clear" w:color="auto" w:fill="auto"/>
        <w:spacing w:line="360" w:lineRule="auto"/>
        <w:ind w:left="300"/>
        <w:jc w:val="left"/>
        <w:textAlignment w:val="center"/>
      </w:pPr>
      <w:r>
        <w:t>D．红眼与白眼的遗传符合分离定律</w:t>
      </w:r>
    </w:p>
    <w:p>
      <w:pPr>
        <w:shd w:val="clear" w:color="auto" w:fill="auto"/>
        <w:spacing w:line="360" w:lineRule="auto"/>
        <w:jc w:val="left"/>
        <w:textAlignment w:val="center"/>
        <w:sectPr>
          <w:footerReference w:type="even" r:id="rId10"/>
          <w:footerReference w:type="default" r:id="rId11"/>
          <w:type w:val="nextPage"/>
          <w:pgSz w:w="11907" w:h="16839" w:code="9"/>
          <w:pgMar w:top="900" w:right="1997" w:bottom="900" w:left="1997" w:header="500" w:footer="500" w:gutter="0"/>
          <w:pgNumType w:start="2"/>
          <w:cols w:num="1" w:sep="1" w:space="425"/>
          <w:titlePg w:val="0"/>
          <w:docGrid w:type="lines" w:linePitch="312"/>
        </w:sectPr>
      </w:pPr>
      <w:r>
        <w:t>8</w:t>
      </w:r>
      <w:r>
        <w:t>．某同学利用秋水仙素诱导红葱（2n=16）根尖细胞的染色体数目变化，分别于实验过程中的24小时（左图）和48小时（右图）拍到以下两张照片。下列叙述正确的是（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057650" cy="990600"/>
            <wp:docPr id="100007" name="" descr="@@@abb73035-715d-401c-baa2-ba22faa90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4057650" cy="990600"/>
                    </a:xfrm>
                    <a:prstGeom prst="rect">
                      <a:avLst/>
                    </a:prstGeom>
                  </pic:spPr>
                </pic:pic>
              </a:graphicData>
            </a:graphic>
          </wp:inline>
        </w:drawing>
      </w:r>
    </w:p>
    <w:p>
      <w:pPr>
        <w:shd w:val="clear" w:color="auto" w:fill="auto"/>
        <w:spacing w:line="360" w:lineRule="auto"/>
        <w:ind w:left="300"/>
        <w:jc w:val="left"/>
        <w:textAlignment w:val="center"/>
      </w:pPr>
      <w:r>
        <w:t>A．秋水仙素能够抑制纺锤体的形成</w:t>
      </w:r>
    </w:p>
    <w:p>
      <w:pPr>
        <w:shd w:val="clear" w:color="auto" w:fill="auto"/>
        <w:spacing w:line="360" w:lineRule="auto"/>
        <w:ind w:left="300"/>
        <w:jc w:val="left"/>
        <w:textAlignment w:val="center"/>
      </w:pPr>
      <w:r>
        <w:t>B．制作装片时需用卡诺氏液解离根尖细胞</w:t>
      </w:r>
    </w:p>
    <w:p>
      <w:pPr>
        <w:shd w:val="clear" w:color="auto" w:fill="auto"/>
        <w:spacing w:line="360" w:lineRule="auto"/>
        <w:ind w:left="300"/>
        <w:jc w:val="left"/>
        <w:textAlignment w:val="center"/>
      </w:pPr>
      <w:r>
        <w:t>C．细胞甲正处于有丝分裂的中期</w:t>
      </w:r>
    </w:p>
    <w:p>
      <w:pPr>
        <w:shd w:val="clear" w:color="auto" w:fill="auto"/>
        <w:spacing w:line="360" w:lineRule="auto"/>
        <w:ind w:left="300"/>
        <w:jc w:val="left"/>
        <w:textAlignment w:val="center"/>
      </w:pPr>
      <w:r>
        <w:t>D．细胞乙经历了3次染色体加倍</w:t>
      </w:r>
    </w:p>
    <w:p>
      <w:pPr>
        <w:shd w:val="clear" w:color="auto" w:fill="auto"/>
        <w:spacing w:line="360" w:lineRule="auto"/>
        <w:jc w:val="left"/>
        <w:textAlignment w:val="center"/>
      </w:pPr>
      <w:r>
        <w:t>9</w:t>
      </w:r>
      <w:r>
        <w:t>．苯丙酮尿症是一种常染色体隐性遗传病，该病在人群中的发病率为1/10000。则一健康女子（父母健康，但弟弟患苯丙酮尿症）与一健康男子结婚，所生子女患该病的概率为（</w:t>
      </w:r>
      <w:r>
        <w:rPr>
          <w:rFonts w:ascii="Times New Roman" w:eastAsia="Times New Roman" w:hAnsi="Times New Roman" w:cs="Times New Roman"/>
          <w:kern w:val="0"/>
          <w:sz w:val="24"/>
          <w:szCs w:val="24"/>
        </w:rPr>
        <w:t>    </w:t>
      </w:r>
      <w:r>
        <w:t>）</w:t>
      </w:r>
    </w:p>
    <w:p>
      <w:pPr>
        <w:shd w:val="clear" w:color="auto" w:fill="auto"/>
        <w:tabs>
          <w:tab w:val="left" w:pos="2078"/>
          <w:tab w:val="left" w:pos="4156"/>
          <w:tab w:val="left" w:pos="6234"/>
        </w:tabs>
        <w:spacing w:line="360" w:lineRule="auto"/>
        <w:ind w:left="300"/>
        <w:jc w:val="left"/>
        <w:textAlignment w:val="center"/>
      </w:pPr>
      <w:r>
        <w:t>A．1/101</w:t>
      </w:r>
      <w:r>
        <w:tab/>
      </w:r>
      <w:r>
        <w:t>B．1/202</w:t>
      </w:r>
      <w:r>
        <w:tab/>
      </w:r>
      <w:r>
        <w:t>C．1/303</w:t>
      </w:r>
      <w:r>
        <w:tab/>
      </w:r>
      <w:r>
        <w:t>D．1/404</w:t>
      </w:r>
    </w:p>
    <w:p>
      <w:pPr>
        <w:shd w:val="clear" w:color="auto" w:fill="auto"/>
        <w:spacing w:line="360" w:lineRule="auto"/>
        <w:jc w:val="left"/>
        <w:textAlignment w:val="center"/>
      </w:pPr>
      <w:r>
        <w:t>10</w:t>
      </w:r>
      <w:r>
        <w:t>．现代生物进化理论认为，新物种形成的必要条件是（</w:t>
      </w:r>
      <w:r>
        <w:rPr>
          <w:rFonts w:ascii="Times New Roman" w:eastAsia="Times New Roman" w:hAnsi="Times New Roman" w:cs="Times New Roman"/>
          <w:kern w:val="0"/>
          <w:sz w:val="24"/>
          <w:szCs w:val="24"/>
        </w:rPr>
        <w:t>    </w:t>
      </w:r>
      <w:r>
        <w:t>）</w:t>
      </w:r>
    </w:p>
    <w:p>
      <w:pPr>
        <w:shd w:val="clear" w:color="auto" w:fill="auto"/>
        <w:tabs>
          <w:tab w:val="left" w:pos="4156"/>
        </w:tabs>
        <w:spacing w:line="360" w:lineRule="auto"/>
        <w:ind w:left="380"/>
        <w:jc w:val="left"/>
        <w:textAlignment w:val="center"/>
      </w:pPr>
      <w:r>
        <w:t>A．突变和基因重组</w:t>
      </w:r>
      <w:r>
        <w:tab/>
      </w:r>
      <w:r>
        <w:t>B．自然选择</w:t>
      </w:r>
    </w:p>
    <w:p>
      <w:pPr>
        <w:shd w:val="clear" w:color="auto" w:fill="auto"/>
        <w:tabs>
          <w:tab w:val="left" w:pos="4156"/>
        </w:tabs>
        <w:spacing w:line="360" w:lineRule="auto"/>
        <w:ind w:left="380"/>
        <w:jc w:val="left"/>
        <w:textAlignment w:val="center"/>
      </w:pPr>
      <w:r>
        <w:t>C．协同进化</w:t>
      </w:r>
      <w:r>
        <w:tab/>
      </w:r>
      <w:r>
        <w:t>D．生殖隔离</w:t>
      </w:r>
    </w:p>
    <w:p>
      <w:pPr>
        <w:shd w:val="clear" w:color="auto" w:fill="auto"/>
        <w:spacing w:line="360" w:lineRule="auto"/>
        <w:jc w:val="left"/>
        <w:textAlignment w:val="center"/>
      </w:pPr>
      <w:r>
        <w:t>11</w:t>
      </w:r>
      <w:r>
        <w:t>．“独坐池塘如虎踞，绿荫树下养精神。春来我不先开口，哪个虫儿敢作声。”为毛泽东于1910年所作的《七绝·咏蛙》。从生物学角度分析该诗，</w:t>
      </w:r>
      <w:r>
        <w:rPr>
          <w:em w:val="dot"/>
        </w:rPr>
        <w:t>错误</w:t>
      </w:r>
      <w:r>
        <w:t>的是（</w:t>
      </w:r>
      <w:r>
        <w:rPr>
          <w:rFonts w:ascii="Times New Roman" w:eastAsia="Times New Roman" w:hAnsi="Times New Roman" w:cs="Times New Roman"/>
          <w:kern w:val="0"/>
          <w:sz w:val="24"/>
          <w:szCs w:val="24"/>
        </w:rPr>
        <w:t>    </w:t>
      </w:r>
      <w:r>
        <w:t>）</w:t>
      </w:r>
    </w:p>
    <w:p>
      <w:pPr>
        <w:shd w:val="clear" w:color="auto" w:fill="auto"/>
        <w:spacing w:line="360" w:lineRule="auto"/>
        <w:ind w:left="380"/>
        <w:jc w:val="left"/>
        <w:textAlignment w:val="center"/>
      </w:pPr>
      <w:r>
        <w:t>A．蛙与虫的种间关系属于捕食关系</w:t>
      </w:r>
    </w:p>
    <w:p>
      <w:pPr>
        <w:shd w:val="clear" w:color="auto" w:fill="auto"/>
        <w:spacing w:line="360" w:lineRule="auto"/>
        <w:ind w:left="380"/>
        <w:jc w:val="left"/>
        <w:textAlignment w:val="center"/>
      </w:pPr>
      <w:r>
        <w:t>B．可用标记重捕法调查蛙的种群密度</w:t>
      </w:r>
    </w:p>
    <w:p>
      <w:pPr>
        <w:shd w:val="clear" w:color="auto" w:fill="auto"/>
        <w:spacing w:line="360" w:lineRule="auto"/>
        <w:ind w:left="380"/>
        <w:jc w:val="left"/>
        <w:textAlignment w:val="center"/>
      </w:pPr>
      <w:r>
        <w:t>C．“树→虫→蛙”的生物量金字塔呈倒置形</w:t>
      </w:r>
    </w:p>
    <w:p>
      <w:pPr>
        <w:shd w:val="clear" w:color="auto" w:fill="auto"/>
        <w:spacing w:line="360" w:lineRule="auto"/>
        <w:ind w:left="380"/>
        <w:jc w:val="left"/>
        <w:textAlignment w:val="center"/>
      </w:pPr>
      <w:r>
        <w:t>D．绿树的花瓣也有光敏色素，可感受春光的刺激</w:t>
      </w:r>
    </w:p>
    <w:p>
      <w:pPr>
        <w:shd w:val="clear" w:color="auto" w:fill="auto"/>
        <w:spacing w:line="360" w:lineRule="auto"/>
        <w:jc w:val="left"/>
        <w:textAlignment w:val="center"/>
      </w:pPr>
      <w:r>
        <w:t>12</w:t>
      </w:r>
      <w:r>
        <w:t>．海岸森林是抵御台风威胁沿海生态安全的重要屏障。图示意海岸森林对台风长期干扰的适应过程。下列叙述中</w:t>
      </w:r>
      <w:r>
        <w:rPr>
          <w:em w:val="dot"/>
        </w:rPr>
        <w:t>错误</w:t>
      </w:r>
      <w:r>
        <w:t>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829175" cy="1123950"/>
            <wp:docPr id="100009" name="" descr="@@@6b19e941-4e96-41bc-9ec1-05d6d26d6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
                    <a:stretch>
                      <a:fillRect/>
                    </a:stretch>
                  </pic:blipFill>
                  <pic:spPr>
                    <a:xfrm>
                      <a:off x="0" y="0"/>
                      <a:ext cx="4829175" cy="1123950"/>
                    </a:xfrm>
                    <a:prstGeom prst="rect">
                      <a:avLst/>
                    </a:prstGeom>
                  </pic:spPr>
                </pic:pic>
              </a:graphicData>
            </a:graphic>
          </wp:inline>
        </w:drawing>
      </w:r>
    </w:p>
    <w:p>
      <w:pPr>
        <w:shd w:val="clear" w:color="auto" w:fill="auto"/>
        <w:spacing w:line="360" w:lineRule="auto"/>
        <w:ind w:left="380"/>
        <w:jc w:val="left"/>
        <w:textAlignment w:val="center"/>
      </w:pPr>
      <w:r>
        <w:t>A．海岸森林有抵御台风、涵养水源的作用，体现了生物多样性的间接价值</w:t>
      </w:r>
    </w:p>
    <w:p>
      <w:pPr>
        <w:shd w:val="clear" w:color="auto" w:fill="auto"/>
        <w:spacing w:line="360" w:lineRule="auto"/>
        <w:ind w:left="380"/>
        <w:jc w:val="left"/>
        <w:textAlignment w:val="center"/>
      </w:pPr>
      <w:r>
        <w:t>B．台风干扰引起海岸森林群落结构和外貌的变化过程属于次生演替</w:t>
      </w:r>
    </w:p>
    <w:p>
      <w:pPr>
        <w:shd w:val="clear" w:color="auto" w:fill="auto"/>
        <w:spacing w:line="360" w:lineRule="auto"/>
        <w:ind w:left="380"/>
        <w:jc w:val="left"/>
        <w:textAlignment w:val="center"/>
      </w:pPr>
      <w:r>
        <w:t>C．从基部萌发并长出多个小树干是沿海植物对台风环境的适应性特征</w:t>
      </w:r>
    </w:p>
    <w:p>
      <w:pPr>
        <w:shd w:val="clear" w:color="auto" w:fill="auto"/>
        <w:spacing w:line="360" w:lineRule="auto"/>
        <w:ind w:left="380"/>
        <w:jc w:val="left"/>
        <w:textAlignment w:val="center"/>
      </w:pPr>
      <w:r>
        <w:t>D．台风长期干扰后树种冠层高度普遍下降，导致抵抗力稳定性下降</w:t>
      </w:r>
    </w:p>
    <w:p>
      <w:pPr>
        <w:shd w:val="clear" w:color="auto" w:fill="auto"/>
        <w:spacing w:line="360" w:lineRule="auto"/>
        <w:jc w:val="left"/>
        <w:textAlignment w:val="center"/>
        <w:sectPr>
          <w:footerReference w:type="even" r:id="rId14"/>
          <w:footerReference w:type="default" r:id="rId15"/>
          <w:type w:val="nextPage"/>
          <w:pgSz w:w="11907" w:h="16839" w:code="9"/>
          <w:pgMar w:top="900" w:right="1997" w:bottom="900" w:left="1997" w:header="500" w:footer="500" w:gutter="0"/>
          <w:pgNumType w:start="3"/>
          <w:cols w:num="1" w:sep="1" w:space="425"/>
          <w:titlePg w:val="0"/>
          <w:docGrid w:type="lines" w:linePitch="312"/>
        </w:sectPr>
      </w:pPr>
      <w:r>
        <w:t>13</w:t>
      </w:r>
    </w:p>
    <w:p>
      <w:pPr>
        <w:shd w:val="clear" w:color="auto" w:fill="auto"/>
        <w:spacing w:line="360" w:lineRule="auto"/>
        <w:jc w:val="left"/>
        <w:textAlignment w:val="center"/>
      </w:pPr>
      <w:r>
        <w:t>．α—突触核蛋白纤维（不溶性）在脑神经元中的异常聚集被认为是帕金森病致病的关键因素。有科研团队用小鼠模型研究α—突触核蛋白纤维和纳米塑料（直径1μm）在神经细胞中的相互作用（如图），并得出“纳米塑料可能诱发帕金森病”的结论。下列叙述中，</w:t>
      </w:r>
      <w:r>
        <w:rPr>
          <w:em w:val="dot"/>
        </w:rPr>
        <w:t>不支持</w:t>
      </w:r>
      <w:r>
        <w:t>这一结论的是（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153025" cy="2886075"/>
            <wp:docPr id="100011" name="" descr="@@@b51474a0-22c4-47d4-ab20-64bcbcf795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
                    <a:stretch>
                      <a:fillRect/>
                    </a:stretch>
                  </pic:blipFill>
                  <pic:spPr>
                    <a:xfrm>
                      <a:off x="0" y="0"/>
                      <a:ext cx="5153025" cy="28860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ind w:left="380"/>
        <w:jc w:val="left"/>
        <w:textAlignment w:val="center"/>
      </w:pPr>
      <w:r>
        <w:t>A．纳米塑料通过胞吞进入神经元细胞过程中会直接破坏细胞膜的结构</w:t>
      </w:r>
    </w:p>
    <w:p>
      <w:pPr>
        <w:shd w:val="clear" w:color="auto" w:fill="auto"/>
        <w:spacing w:line="360" w:lineRule="auto"/>
        <w:ind w:left="380"/>
        <w:jc w:val="left"/>
        <w:textAlignment w:val="center"/>
      </w:pPr>
      <w:r>
        <w:t>B．纳米塑料会损伤溶酶体，减缓α-突触核蛋白纤维聚集体的降解速度</w:t>
      </w:r>
    </w:p>
    <w:p>
      <w:pPr>
        <w:shd w:val="clear" w:color="auto" w:fill="auto"/>
        <w:spacing w:line="360" w:lineRule="auto"/>
        <w:ind w:left="380"/>
        <w:jc w:val="left"/>
        <w:textAlignment w:val="center"/>
      </w:pPr>
      <w:r>
        <w:t>C．α—突触核蛋白纤维与纳米塑料形成了相当稳定的复合物后不易被降解</w:t>
      </w:r>
    </w:p>
    <w:p>
      <w:pPr>
        <w:shd w:val="clear" w:color="auto" w:fill="auto"/>
        <w:spacing w:line="360" w:lineRule="auto"/>
        <w:ind w:left="380"/>
        <w:jc w:val="left"/>
        <w:textAlignment w:val="center"/>
      </w:pPr>
      <w:r>
        <w:t>D．促进可溶性α—突触核蛋白转化，导致不溶性的α-突触核蛋白纤维增多</w:t>
      </w:r>
    </w:p>
    <w:p>
      <w:pPr>
        <w:shd w:val="clear" w:color="auto" w:fill="auto"/>
        <w:spacing w:line="360" w:lineRule="auto"/>
        <w:jc w:val="left"/>
        <w:textAlignment w:val="center"/>
      </w:pPr>
      <w:r>
        <w:t>14</w:t>
      </w:r>
      <w:r>
        <w:t>．科研人员探究喷洒不同浓度6-BA（一种植物生长调节剂）对菊花鲜切花的保鲜效果，实验分组及结果如下表。下列叙述</w:t>
      </w:r>
      <w:r>
        <w:rPr>
          <w:em w:val="dot"/>
        </w:rPr>
        <w:t>错误</w:t>
      </w:r>
      <w:r>
        <w:t>的是（</w:t>
      </w:r>
      <w:r>
        <w:rPr>
          <w:rFonts w:ascii="Times New Roman" w:eastAsia="Times New Roman" w:hAnsi="Times New Roman" w:cs="Times New Roman"/>
          <w:kern w:val="0"/>
          <w:sz w:val="24"/>
          <w:szCs w:val="24"/>
        </w:rPr>
        <w:t>    </w:t>
      </w:r>
      <w: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40"/>
        <w:gridCol w:w="1427"/>
        <w:gridCol w:w="1532"/>
        <w:gridCol w:w="153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6-BA浓度/（mg·L</w:t>
            </w:r>
            <w:r>
              <w:rPr>
                <w:vertAlign w:val="superscript"/>
              </w:rPr>
              <w:t>-1</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最大花茎/cm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花平均寿命/d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叶平均寿命/d</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8.37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12.1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8.3</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9.42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15.4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12.3</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9.12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13.6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10.3</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8.68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7.8</w:t>
            </w:r>
          </w:p>
        </w:tc>
      </w:tr>
    </w:tbl>
    <w:p>
      <w:pPr>
        <w:shd w:val="clear" w:color="auto" w:fill="auto"/>
        <w:spacing w:line="360" w:lineRule="auto"/>
        <w:ind w:left="380"/>
        <w:jc w:val="left"/>
        <w:textAlignment w:val="center"/>
      </w:pPr>
      <w:r>
        <w:t>A．该实验中对菊花鲜切花的保鲜效果最佳浓度是1mg/L</w:t>
      </w:r>
    </w:p>
    <w:p>
      <w:pPr>
        <w:shd w:val="clear" w:color="auto" w:fill="auto"/>
        <w:spacing w:line="360" w:lineRule="auto"/>
        <w:ind w:left="380"/>
        <w:jc w:val="left"/>
        <w:textAlignment w:val="center"/>
      </w:pPr>
      <w:r>
        <w:t>B．低浓度的6-BA促进保鲜，高浓度的6-BA促进凋谢</w:t>
      </w:r>
    </w:p>
    <w:p>
      <w:pPr>
        <w:shd w:val="clear" w:color="auto" w:fill="auto"/>
        <w:spacing w:line="360" w:lineRule="auto"/>
        <w:ind w:left="380"/>
        <w:jc w:val="left"/>
        <w:textAlignment w:val="center"/>
      </w:pPr>
      <w:r>
        <w:t>C．茎、花、叶对6-BA的敏感程度不一样</w:t>
      </w:r>
    </w:p>
    <w:p>
      <w:pPr>
        <w:shd w:val="clear" w:color="auto" w:fill="auto"/>
        <w:spacing w:line="360" w:lineRule="auto"/>
        <w:ind w:left="380"/>
        <w:jc w:val="left"/>
        <w:textAlignment w:val="center"/>
      </w:pPr>
      <w:r>
        <w:t>D．6-BA的作用与乙烯类植物激素相近</w:t>
      </w:r>
    </w:p>
    <w:p>
      <w:pPr>
        <w:shd w:val="clear" w:color="auto" w:fill="auto"/>
        <w:spacing w:line="360" w:lineRule="auto"/>
        <w:jc w:val="left"/>
        <w:textAlignment w:val="center"/>
        <w:sectPr>
          <w:footerReference w:type="even" r:id="rId17"/>
          <w:footerReference w:type="default" r:id="rId18"/>
          <w:type w:val="nextPage"/>
          <w:pgSz w:w="11907" w:h="16839" w:code="9"/>
          <w:pgMar w:top="900" w:right="1997" w:bottom="900" w:left="1997" w:header="500" w:footer="500" w:gutter="0"/>
          <w:pgNumType w:start="4"/>
          <w:cols w:num="1" w:sep="1" w:space="425"/>
          <w:titlePg w:val="0"/>
          <w:docGrid w:type="lines" w:linePitch="312"/>
        </w:sectPr>
      </w:pPr>
      <w:r>
        <w:t>15</w:t>
      </w:r>
    </w:p>
    <w:p>
      <w:pPr>
        <w:shd w:val="clear" w:color="auto" w:fill="auto"/>
        <w:spacing w:line="360" w:lineRule="auto"/>
        <w:jc w:val="left"/>
        <w:textAlignment w:val="center"/>
      </w:pPr>
      <w:r>
        <w:t>．杭州第4届亚洲残疾人运动会开幕式上，主火炬手徐佳玲用一只我国科技公司研发的智能仿生手点燃了主火炬，让全世界看到了科技与梦想的力量。智能仿生手运用非侵入式脑机接口技术，让使用者能凭大脑意念实现对仿生手进行主动控制。图是仿生神经肌肉通路示意图，下列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387897"/>
            <wp:docPr id="100013" name="" descr="@@@0708aa61-fcf8-49d0-96b7-77f750148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9"/>
                    <a:stretch>
                      <a:fillRect/>
                    </a:stretch>
                  </pic:blipFill>
                  <pic:spPr>
                    <a:xfrm>
                      <a:off x="0" y="0"/>
                      <a:ext cx="5276800" cy="3387897"/>
                    </a:xfrm>
                    <a:prstGeom prst="rect">
                      <a:avLst/>
                    </a:prstGeom>
                  </pic:spPr>
                </pic:pic>
              </a:graphicData>
            </a:graphic>
          </wp:inline>
        </w:drawing>
      </w:r>
    </w:p>
    <w:p>
      <w:pPr>
        <w:shd w:val="clear" w:color="auto" w:fill="auto"/>
        <w:spacing w:line="360" w:lineRule="auto"/>
        <w:ind w:left="380"/>
        <w:jc w:val="left"/>
        <w:textAlignment w:val="center"/>
      </w:pPr>
      <w:r>
        <w:t>A．点燃主火炬时人处于兴奋状态，此时副交感神经活动占据优势</w:t>
      </w:r>
    </w:p>
    <w:p>
      <w:pPr>
        <w:shd w:val="clear" w:color="auto" w:fill="auto"/>
        <w:spacing w:line="360" w:lineRule="auto"/>
        <w:ind w:left="380"/>
        <w:jc w:val="left"/>
        <w:textAlignment w:val="center"/>
      </w:pPr>
      <w:r>
        <w:t>B．徐佳玲精准控制仿生手点燃主火炬，这是一个非条件反射的过程</w:t>
      </w:r>
    </w:p>
    <w:p>
      <w:pPr>
        <w:shd w:val="clear" w:color="auto" w:fill="auto"/>
        <w:spacing w:line="360" w:lineRule="auto"/>
        <w:ind w:left="380"/>
        <w:jc w:val="left"/>
        <w:textAlignment w:val="center"/>
      </w:pPr>
      <w:r>
        <w:t>C．当兴奋传导到甲点时，膜外电荷移动的方向与箭头的方向一致</w:t>
      </w:r>
    </w:p>
    <w:p>
      <w:pPr>
        <w:shd w:val="clear" w:color="auto" w:fill="auto"/>
        <w:spacing w:line="360" w:lineRule="auto"/>
        <w:ind w:left="380"/>
        <w:jc w:val="left"/>
        <w:textAlignment w:val="center"/>
      </w:pPr>
      <w:r>
        <w:t>D．兴奋在神经—肌肉接头传递时需经过电信号→化学信号→电信号的转化</w:t>
      </w:r>
    </w:p>
    <w:p>
      <w:pPr>
        <w:shd w:val="clear" w:color="auto" w:fill="auto"/>
        <w:spacing w:line="360" w:lineRule="auto"/>
        <w:jc w:val="left"/>
        <w:textAlignment w:val="center"/>
      </w:pPr>
      <w:r>
        <w:t>16</w:t>
      </w:r>
      <w:r>
        <w:t>．左图是某家系甲、乙两种常染色体单基因遗传病的系谱图。右图是该家系中1~6号成员两种遗传病相关基因的电泳图（每种条带代表一种基因，“▅”表示具有相关的基因）。下列有关叙述正确的是（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000625" cy="1190625"/>
            <wp:docPr id="100015" name="" descr="@@@e22db673-2ee2-4f24-90ac-a59b79a91f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0"/>
                    <a:stretch>
                      <a:fillRect/>
                    </a:stretch>
                  </pic:blipFill>
                  <pic:spPr>
                    <a:xfrm>
                      <a:off x="0" y="0"/>
                      <a:ext cx="5000625" cy="1190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ind w:left="380"/>
        <w:jc w:val="left"/>
        <w:textAlignment w:val="center"/>
      </w:pPr>
      <w:r>
        <w:t>A．甲病为隐性遗传病，乙病为显性遗传病</w:t>
      </w:r>
    </w:p>
    <w:p>
      <w:pPr>
        <w:shd w:val="clear" w:color="auto" w:fill="auto"/>
        <w:spacing w:line="360" w:lineRule="auto"/>
        <w:ind w:left="380"/>
        <w:jc w:val="left"/>
        <w:textAlignment w:val="center"/>
      </w:pPr>
      <w:r>
        <w:t>B．条带2、3分别代表甲、乙病的致病基因</w:t>
      </w:r>
    </w:p>
    <w:p>
      <w:pPr>
        <w:shd w:val="clear" w:color="auto" w:fill="auto"/>
        <w:spacing w:line="360" w:lineRule="auto"/>
        <w:ind w:left="380"/>
        <w:jc w:val="left"/>
        <w:textAlignment w:val="center"/>
      </w:pPr>
      <w:r>
        <w:t>C．控制甲、乙病的基因位于非同源染色体上</w:t>
      </w:r>
    </w:p>
    <w:p>
      <w:pPr>
        <w:shd w:val="clear" w:color="auto" w:fill="auto"/>
        <w:spacing w:line="360" w:lineRule="auto"/>
        <w:ind w:left="380"/>
        <w:jc w:val="left"/>
        <w:textAlignment w:val="center"/>
      </w:pPr>
      <w:r>
        <w:t>D．Ⅲ-8是正常男孩的概率为3/8</w:t>
      </w:r>
    </w:p>
    <w:p>
      <w:pPr>
        <w:jc w:val="center"/>
        <w:textAlignment w:val="center"/>
        <w:rPr>
          <w:rFonts w:ascii="黑体" w:eastAsia="黑体" w:hAnsi="黑体" w:cs="黑体"/>
          <w:b/>
          <w:i w:val="0"/>
          <w:sz w:val="30"/>
        </w:rPr>
        <w:sectPr>
          <w:footerReference w:type="even" r:id="rId21"/>
          <w:footerReference w:type="default" r:id="rId22"/>
          <w:type w:val="nextPage"/>
          <w:pgSz w:w="11907" w:h="16839" w:code="9"/>
          <w:pgMar w:top="900" w:right="1997" w:bottom="900" w:left="1997" w:header="500" w:footer="500" w:gutter="0"/>
          <w:pgNumType w:start="5"/>
          <w:cols w:num="1" w:sep="1" w:space="425"/>
          <w:titlePg w:val="0"/>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二、非选择题</w:t>
      </w:r>
    </w:p>
    <w:p>
      <w:pPr>
        <w:shd w:val="clear" w:color="auto" w:fill="auto"/>
        <w:spacing w:line="360" w:lineRule="auto"/>
        <w:jc w:val="left"/>
        <w:textAlignment w:val="center"/>
      </w:pPr>
      <w:r>
        <w:t>17</w:t>
      </w:r>
      <w:r>
        <w:t>．田园综合体集“城市依托、产业主导、景田一体”三种模式于一体（如图），依托水体生态修复和清水养殖领域的特色优势，通过输出绿色有机食品，辅以休闲垂钓、农家乐餐饮、精油花海观光等活动，实现农旅融合一体化低碳农业发展，助力乡村振兴。</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981450" cy="2971800"/>
            <wp:docPr id="100017" name="" descr="@@@f73afed4-d72a-4529-a1ac-9b7ab1f9ad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3"/>
                    <a:stretch>
                      <a:fillRect/>
                    </a:stretch>
                  </pic:blipFill>
                  <pic:spPr>
                    <a:xfrm>
                      <a:off x="0" y="0"/>
                      <a:ext cx="3981450" cy="2971800"/>
                    </a:xfrm>
                    <a:prstGeom prst="rect">
                      <a:avLst/>
                    </a:prstGeom>
                  </pic:spPr>
                </pic:pic>
              </a:graphicData>
            </a:graphic>
          </wp:inline>
        </w:drawing>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(1)水体生态修复是人类影响下的群落演替，它与自然演替的主要区别是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(2)该田园综合体划分出了清水养殖区、立体农业区和作物种植区，这是充分考虑了不同生物在群落中的</w:t>
      </w:r>
      <w:r>
        <w:rPr>
          <w:rFonts w:ascii="Times New Roman" w:eastAsia="Times New Roman" w:hAnsi="Times New Roman" w:cs="Times New Roman"/>
          <w:b w:val="0"/>
          <w:sz w:val="21"/>
          <w:u w:val="single"/>
        </w:rPr>
        <w:t xml:space="preserve">      </w:t>
      </w:r>
      <w:r>
        <w:t>，利用了群落的</w:t>
      </w:r>
      <w:r>
        <w:rPr>
          <w:rFonts w:ascii="Times New Roman" w:eastAsia="Times New Roman" w:hAnsi="Times New Roman" w:cs="Times New Roman"/>
          <w:b w:val="0"/>
          <w:sz w:val="21"/>
          <w:u w:val="single"/>
        </w:rPr>
        <w:t xml:space="preserve">      </w:t>
      </w:r>
      <w:r>
        <w:t>结构，从而提高了空间的利用率。从物质循环的角度分析，图中体现废物资源化的做法有</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(3)该田园综合体综合考虑了</w:t>
      </w:r>
      <w:r>
        <w:rPr>
          <w:rFonts w:ascii="Times New Roman" w:eastAsia="Times New Roman" w:hAnsi="Times New Roman" w:cs="Times New Roman"/>
          <w:b w:val="0"/>
          <w:sz w:val="21"/>
          <w:u w:val="single"/>
        </w:rPr>
        <w:t xml:space="preserve">      </w:t>
      </w:r>
      <w:r>
        <w:t>之间的关系，体现了生态工程的整体原理。作物种植区的精油花海和香料花海中的香蒲、薄荷等药用植物有驱虫驱蚊作用，为实现田园综合体减少农药使用和增加粮食产量的目标，请提出田园综合体的改造方案：</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18</w:t>
      </w:r>
      <w:r>
        <w:t>．小球藻是单细胞真核生物，是研究光合作用的模式生物。水体中的无机碳主要以HCO</w:t>
      </w:r>
      <w:r>
        <w:rPr>
          <w:vertAlign w:val="subscript"/>
        </w:rPr>
        <w:t>3</w:t>
      </w:r>
      <w:r>
        <w:rPr>
          <w:vertAlign w:val="superscript"/>
        </w:rPr>
        <w:t>-</w:t>
      </w:r>
      <w:r>
        <w:t>和CO</w:t>
      </w:r>
      <w:r>
        <w:rPr>
          <w:vertAlign w:val="subscript"/>
        </w:rPr>
        <w:t>2</w:t>
      </w:r>
      <w:r>
        <w:t>两种形式存在，小球藻具有如图所示的无机碳浓缩过程。</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524375" cy="1266825"/>
            <wp:docPr id="100019" name="" descr="@@@5e83e08a-ed08-4c78-8c73-09f6ffa2db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4"/>
                    <a:stretch>
                      <a:fillRect/>
                    </a:stretch>
                  </pic:blipFill>
                  <pic:spPr>
                    <a:xfrm>
                      <a:off x="0" y="0"/>
                      <a:ext cx="4524375" cy="1266825"/>
                    </a:xfrm>
                    <a:prstGeom prst="rect">
                      <a:avLst/>
                    </a:prstGeom>
                  </pic:spPr>
                </pic:pic>
              </a:graphicData>
            </a:graphic>
          </wp:inline>
        </w:drawing>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(1)小球藻浓缩HCO</w:t>
      </w:r>
      <w:r>
        <w:rPr>
          <w:vertAlign w:val="subscript"/>
        </w:rPr>
        <w:t>3</w:t>
      </w:r>
      <w:r>
        <w:rPr>
          <w:vertAlign w:val="superscript"/>
        </w:rPr>
        <w:t>-</w:t>
      </w:r>
      <w:r>
        <w:t>的过程属于</w:t>
      </w:r>
      <w:r>
        <w:rPr>
          <w:rFonts w:ascii="Times New Roman" w:eastAsia="Times New Roman" w:hAnsi="Times New Roman" w:cs="Times New Roman"/>
          <w:b w:val="0"/>
          <w:sz w:val="21"/>
          <w:u w:val="single"/>
        </w:rPr>
        <w:t xml:space="preserve">          </w:t>
      </w:r>
      <w:r>
        <w:t>（填“自由扩散”“协助扩散”或“主动运输”），理由是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sectPr>
          <w:footerReference w:type="even" r:id="rId25"/>
          <w:footerReference w:type="default" r:id="rId26"/>
          <w:type w:val="nextPage"/>
          <w:pgSz w:w="11907" w:h="16839" w:code="9"/>
          <w:pgMar w:top="900" w:right="1997" w:bottom="900" w:left="1997" w:header="500" w:footer="500" w:gutter="0"/>
          <w:pgNumType w:start="6"/>
          <w:cols w:num="1" w:sep="1" w:space="425"/>
          <w:titlePg w:val="0"/>
          <w:docGrid w:type="lines" w:linePitch="312"/>
        </w:sectPr>
      </w:pPr>
      <w:r>
        <w:t>(2)过程①称为</w:t>
      </w:r>
      <w:r>
        <w:rPr>
          <w:rFonts w:ascii="Times New Roman" w:eastAsia="Times New Roman" w:hAnsi="Times New Roman" w:cs="Times New Roman"/>
          <w:b w:val="0"/>
          <w:sz w:val="21"/>
          <w:u w:val="single"/>
        </w:rPr>
        <w:t xml:space="preserve">           </w:t>
      </w:r>
      <w:r>
        <w:t>，能为此过程提供能量的物质有</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(3)鲁宾和卡门用小球藻探究光合作用所释放氧气的来源，实验分组及结果如表。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76"/>
        <w:gridCol w:w="691"/>
        <w:gridCol w:w="890"/>
        <w:gridCol w:w="2166"/>
        <w:gridCol w:w="738"/>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组别</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O标记物所占的比例/%</w:t>
            </w:r>
          </w:p>
        </w:tc>
      </w:tr>
      <w:tr>
        <w:tblPrEx>
          <w:tblCellMar>
            <w:top w:w="120" w:type="dxa"/>
            <w:left w:w="120" w:type="dxa"/>
            <w:bottom w:w="120" w:type="dxa"/>
            <w:right w:w="120" w:type="dxa"/>
          </w:tblCellMar>
        </w:tblPrEx>
        <w:trPr>
          <w:cantSplit w:val="0"/>
        </w:trPr>
        <w:tc>
          <w:tcPr>
            <w:gridSpan w:val="2"/>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反应物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产物</w:t>
            </w:r>
          </w:p>
        </w:tc>
      </w:tr>
      <w:tr>
        <w:tblPrEx>
          <w:tblCellMar>
            <w:top w:w="120" w:type="dxa"/>
            <w:left w:w="120" w:type="dxa"/>
            <w:bottom w:w="120" w:type="dxa"/>
            <w:right w:w="120" w:type="dxa"/>
          </w:tblCellMar>
        </w:tblPrEx>
        <w:trPr>
          <w:cantSplit w:val="0"/>
        </w:trPr>
        <w:tc>
          <w:tcPr>
            <w:gridSpan w:val="2"/>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H</w:t>
            </w:r>
            <w:r>
              <w:rPr>
                <w:vertAlign w:val="subscript"/>
              </w:rPr>
              <w:t>2</w:t>
            </w:r>
            <w:r>
              <w:rPr>
                <w:vertAlign w:val="superscript"/>
              </w:rPr>
              <w:t>18</w:t>
            </w:r>
            <w:r>
              <w:t>O</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KHC</w:t>
            </w:r>
            <w:r>
              <w:rPr>
                <w:vertAlign w:val="superscript"/>
              </w:rPr>
              <w:t>18</w:t>
            </w:r>
            <w:r>
              <w:t>O</w:t>
            </w:r>
            <w:r>
              <w:rPr>
                <w:vertAlign w:val="subscript"/>
              </w:rPr>
              <w:t>3</w:t>
            </w:r>
            <w:r>
              <w:t>+K</w:t>
            </w:r>
            <w:r>
              <w:rPr>
                <w:vertAlign w:val="subscript"/>
              </w:rPr>
              <w:t>2</w:t>
            </w:r>
            <w:r>
              <w:t>C</w:t>
            </w:r>
            <w:r>
              <w:rPr>
                <w:vertAlign w:val="superscript"/>
              </w:rPr>
              <w:t>18</w:t>
            </w:r>
            <w:r>
              <w:t>O</w:t>
            </w:r>
            <w:r>
              <w:rPr>
                <w:vertAlign w:val="subscript"/>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rPr>
                <w:vertAlign w:val="superscript"/>
              </w:rPr>
              <w:t>18</w:t>
            </w:r>
            <w:r>
              <w:t>O</w:t>
            </w:r>
            <w:r>
              <w:rPr>
                <w:vertAlign w:val="subscript"/>
              </w:rPr>
              <w:t>2</w:t>
            </w:r>
          </w:p>
        </w:tc>
      </w:tr>
      <w:tr>
        <w:tblPrEx>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初始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0.85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结束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0.85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0.61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0.86</w:t>
            </w:r>
          </w:p>
        </w:tc>
      </w:tr>
      <w:tr>
        <w:tblPrEx>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初始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结束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r>
      <w:tr>
        <w:tblPrEx>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初始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0.68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结束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0.57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0.20</w:t>
            </w:r>
          </w:p>
        </w:tc>
      </w:tr>
    </w:tbl>
    <w:p>
      <w:pPr>
        <w:shd w:val="clear" w:color="auto" w:fill="auto"/>
        <w:spacing w:line="360" w:lineRule="auto"/>
        <w:jc w:val="left"/>
        <w:textAlignment w:val="center"/>
      </w:pPr>
      <w:r>
        <w:t>①小球藻光合作用产生的氧气，一部分释放到外界环境中，另一部分的去向是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②由本实验可知，光合作用释放的氧气</w:t>
      </w:r>
      <w:r>
        <w:rPr>
          <w:rFonts w:ascii="Times New Roman" w:eastAsia="Times New Roman" w:hAnsi="Times New Roman" w:cs="Times New Roman"/>
          <w:b w:val="0"/>
          <w:sz w:val="21"/>
          <w:u w:val="single"/>
        </w:rPr>
        <w:t xml:space="preserve">           </w:t>
      </w:r>
      <w:r>
        <w:t>（填“全部来自水”“全部来自CO</w:t>
      </w:r>
      <w:r>
        <w:rPr>
          <w:vertAlign w:val="subscript"/>
        </w:rPr>
        <w:t>2</w:t>
      </w:r>
      <w:r>
        <w:t>”或“部分来自水部分来自CO</w:t>
      </w:r>
      <w:r>
        <w:rPr>
          <w:vertAlign w:val="subscript"/>
        </w:rPr>
        <w:t>2</w:t>
      </w:r>
      <w:r>
        <w:t>”），理由是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19</w:t>
      </w:r>
      <w:r>
        <w:t>．健康的生活方式、乐观的心态和定期体检是预防癌症的主要手段。（CAR-T细胞疗法是治疗血液恶性肿瘤及淋巴瘤的研究热点，我国首款新型肿瘤治疗方法——CAR-T产品于2021年上市。左图为CAR-T细胞疗法的原理示意图，该疗法借助基因工程和细胞工程技术，根据CAR蛋白（右图）是多种肿瘤的嵌合抗原受体的特点而设计。</w:t>
      </w:r>
    </w:p>
    <w:p>
      <w:pPr>
        <w:shd w:val="clear" w:color="auto" w:fill="auto"/>
        <w:spacing w:line="360" w:lineRule="auto"/>
        <w:jc w:val="left"/>
        <w:textAlignment w:val="center"/>
        <w:sectPr>
          <w:footerReference w:type="even" r:id="rId27"/>
          <w:footerReference w:type="default" r:id="rId28"/>
          <w:type w:val="nextPage"/>
          <w:pgSz w:w="11907" w:h="16839" w:code="9"/>
          <w:pgMar w:top="900" w:right="1997" w:bottom="900" w:left="1997" w:header="500" w:footer="500" w:gutter="0"/>
          <w:pgNumType w:start="7"/>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5276800" cy="1686302"/>
            <wp:docPr id="100021" name="" descr="@@@5a03795e-7231-4c06-9234-fbbf362ab7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9"/>
                    <a:stretch>
                      <a:fillRect/>
                    </a:stretch>
                  </pic:blipFill>
                  <pic:spPr>
                    <a:xfrm>
                      <a:off x="0" y="0"/>
                      <a:ext cx="5276800" cy="1686302"/>
                    </a:xfrm>
                    <a:prstGeom prst="rect">
                      <a:avLst/>
                    </a:prstGeom>
                  </pic:spPr>
                </pic:pic>
              </a:graphicData>
            </a:graphic>
          </wp:inline>
        </w:drawing>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809750" cy="1628775"/>
            <wp:docPr id="100023" name="" descr="@@@5267337f-9fd1-4892-ad04-a701375f2c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0"/>
                    <a:stretch>
                      <a:fillRect/>
                    </a:stretch>
                  </pic:blipFill>
                  <pic:spPr>
                    <a:xfrm>
                      <a:off x="0" y="0"/>
                      <a:ext cx="1809750" cy="1628775"/>
                    </a:xfrm>
                    <a:prstGeom prst="rect">
                      <a:avLst/>
                    </a:prstGeom>
                  </pic:spPr>
                </pic:pic>
              </a:graphicData>
            </a:graphic>
          </wp:inline>
        </w:drawing>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(1)机体肿瘤的发生主要与免疫系统的</w:t>
      </w:r>
      <w:r>
        <w:rPr>
          <w:rFonts w:ascii="Times New Roman" w:eastAsia="Times New Roman" w:hAnsi="Times New Roman" w:cs="Times New Roman"/>
          <w:b w:val="0"/>
          <w:sz w:val="21"/>
          <w:u w:val="single"/>
        </w:rPr>
        <w:t xml:space="preserve">      </w:t>
      </w:r>
      <w:r>
        <w:t>功能降低有关。</w:t>
      </w:r>
    </w:p>
    <w:p>
      <w:pPr>
        <w:shd w:val="clear" w:color="auto" w:fill="auto"/>
        <w:spacing w:line="360" w:lineRule="auto"/>
        <w:jc w:val="left"/>
        <w:textAlignment w:val="center"/>
      </w:pPr>
      <w:r>
        <w:t>(2)图中过程①称为</w:t>
      </w:r>
      <w:r>
        <w:rPr>
          <w:rFonts w:ascii="Times New Roman" w:eastAsia="Times New Roman" w:hAnsi="Times New Roman" w:cs="Times New Roman"/>
          <w:b w:val="0"/>
          <w:sz w:val="21"/>
          <w:u w:val="single"/>
        </w:rPr>
        <w:t xml:space="preserve">      </w:t>
      </w:r>
      <w:r>
        <w:t>，这是基因工程的核心步骤，需要用到的工具酶有</w:t>
      </w:r>
      <w:r>
        <w:rPr>
          <w:rFonts w:ascii="Times New Roman" w:eastAsia="Times New Roman" w:hAnsi="Times New Roman" w:cs="Times New Roman"/>
          <w:b w:val="0"/>
          <w:sz w:val="21"/>
          <w:u w:val="single"/>
        </w:rPr>
        <w:t xml:space="preserve">      </w:t>
      </w:r>
      <w:r>
        <w:t>。过程②最常用的方法是</w:t>
      </w:r>
      <w:r>
        <w:rPr>
          <w:rFonts w:ascii="Times New Roman" w:eastAsia="Times New Roman" w:hAnsi="Times New Roman" w:cs="Times New Roman"/>
          <w:b w:val="0"/>
          <w:sz w:val="21"/>
          <w:u w:val="single"/>
        </w:rPr>
        <w:t xml:space="preserve">      </w:t>
      </w:r>
      <w:r>
        <w:t>。CAR-T细胞输入患者体内后，其活化需要两个信号的刺激，具体是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(3)据图可知，CAR-T细胞疗法相对传统的药物化疗和放疗而言，具有</w:t>
      </w:r>
      <w:r>
        <w:rPr>
          <w:rFonts w:ascii="Times New Roman" w:eastAsia="Times New Roman" w:hAnsi="Times New Roman" w:cs="Times New Roman"/>
          <w:b w:val="0"/>
          <w:sz w:val="21"/>
          <w:u w:val="single"/>
        </w:rPr>
        <w:t xml:space="preserve">      </w:t>
      </w:r>
      <w:r>
        <w:t>（请写出两点）的突出优点。</w:t>
      </w:r>
    </w:p>
    <w:p>
      <w:pPr>
        <w:shd w:val="clear" w:color="auto" w:fill="auto"/>
        <w:spacing w:line="360" w:lineRule="auto"/>
        <w:jc w:val="left"/>
        <w:textAlignment w:val="center"/>
      </w:pPr>
      <w:r>
        <w:t>(4)CAR-T细胞在治疗肺癌、肝癌、乳腺癌等实体瘤的总体效果上还不尽如人意，请根据右图并结合特异性免疫的原理，提出一种CAR蛋白改造的简单思路，以提升CAR-T细胞对实体瘤的疗效：</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20</w:t>
      </w:r>
      <w:r>
        <w:t>．我国是全球第三大盐碱地分布国家，可用于种植耐盐碱水稻的盐碱地约1000万hm</w:t>
      </w:r>
      <w:r>
        <w:rPr>
          <w:vertAlign w:val="superscript"/>
        </w:rPr>
        <w:t>2</w:t>
      </w:r>
      <w:r>
        <w:t>，培育耐盐碱水稻对确保我国的粮食安全具有重要的战略意义。我国科学家利用东农427水稻品种，应用CRISPR/Cas9基因编辑技术，将水稻的两对耐盐负调控基因OsEILl和OsEIL2敲除而培育耐盐改良水稻新品种。图示意两对基因在染色体上的位置关系（不考虑其他基因突变与染色体互换），图示意培育耐盐水稻的过程。</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092638"/>
            <wp:docPr id="100025" name="" descr="@@@704ed00d-eb74-4e14-85c5-d5b6eefec8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1"/>
                    <a:stretch>
                      <a:fillRect/>
                    </a:stretch>
                  </pic:blipFill>
                  <pic:spPr>
                    <a:xfrm>
                      <a:off x="0" y="0"/>
                      <a:ext cx="5276800" cy="1092638"/>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(1)愈伤组织培育成完整植株T</w:t>
      </w:r>
      <w:r>
        <w:rPr>
          <w:vertAlign w:val="subscript"/>
        </w:rPr>
        <w:t>1</w:t>
      </w:r>
      <w:r>
        <w:t>的过程称为</w:t>
      </w:r>
      <w:r>
        <w:rPr>
          <w:rFonts w:ascii="Times New Roman" w:eastAsia="Times New Roman" w:hAnsi="Times New Roman" w:cs="Times New Roman"/>
          <w:b w:val="0"/>
          <w:sz w:val="21"/>
          <w:u w:val="single"/>
        </w:rPr>
        <w:t xml:space="preserve">      </w:t>
      </w:r>
      <w:r>
        <w:t>，在该过程中所用到的关键植物激素有</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sectPr>
          <w:footerReference w:type="even" r:id="rId32"/>
          <w:footerReference w:type="default" r:id="rId33"/>
          <w:type w:val="nextPage"/>
          <w:pgSz w:w="11907" w:h="16839" w:code="9"/>
          <w:pgMar w:top="900" w:right="1997" w:bottom="900" w:left="1997" w:header="500" w:footer="500" w:gutter="0"/>
          <w:pgNumType w:start="8"/>
          <w:cols w:num="1" w:sep="1" w:space="425"/>
          <w:titlePg w:val="0"/>
          <w:docGrid w:type="lines" w:linePitch="312"/>
        </w:sectPr>
      </w:pPr>
      <w:r>
        <w:t>(2)经初步筛选、培育，得到双等位基因突变体T</w:t>
      </w:r>
      <w:r>
        <w:rPr>
          <w:vertAlign w:val="subscript"/>
        </w:rPr>
        <w:t>1</w:t>
      </w:r>
      <w:r>
        <w:t>（3号和7号染色体各有1个耐盐负调控基因被敲除）。用T</w:t>
      </w:r>
      <w:r>
        <w:rPr>
          <w:vertAlign w:val="subscript"/>
        </w:rPr>
        <w:t>1</w:t>
      </w:r>
      <w:r>
        <w:t>自交，T</w:t>
      </w:r>
      <w:r>
        <w:rPr>
          <w:vertAlign w:val="subscript"/>
        </w:rPr>
        <w:t>2</w:t>
      </w:r>
      <w:r>
        <w:t>代中两对等位基因均有被敲除的突变体（简称“候选品种N”）的比例约为</w:t>
      </w:r>
      <w:r>
        <w:rPr>
          <w:rFonts w:ascii="Times New Roman" w:eastAsia="Times New Roman" w:hAnsi="Times New Roman" w:cs="Times New Roman"/>
          <w:b w:val="0"/>
          <w:sz w:val="21"/>
          <w:u w:val="single"/>
        </w:rPr>
        <w:t xml:space="preserve">      </w:t>
      </w:r>
    </w:p>
    <w:p>
      <w:pPr>
        <w:shd w:val="clear" w:color="auto" w:fill="auto"/>
        <w:spacing w:line="360" w:lineRule="auto"/>
        <w:jc w:val="left"/>
        <w:textAlignment w:val="center"/>
      </w:pPr>
      <w:r>
        <w:t>；在候选品种N中，两对等位基因全部被敲除的双基因纯合突变体的比例约为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检测双基因纯合突变体的OsEIL1基因和OsEIL2基因，发现均在转录起始位点之后的某个位置增加了1个碱基，进一步检测发现，两个基因所表达蛋白质的相对分子质量较正常相对分子质量小。据此可推测该CRISPR/Cas9基因编辑技术敲除这两个基因的原理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(4)要在个体生物学水平上鉴定是否成功培育出耐盐水稻新品种，其思路是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21</w:t>
      </w:r>
      <w:r>
        <w:t>．随着工作、生活和社会压力的攀升，抑郁症逐步走进人们的视线。某科研团队探究百合多糖（LLP）与黄芪多糖（APS）抗抑郁的作用及机理，进行如下实验。</w:t>
      </w:r>
    </w:p>
    <w:p>
      <w:pPr>
        <w:shd w:val="clear" w:color="auto" w:fill="auto"/>
        <w:spacing w:line="360" w:lineRule="auto"/>
        <w:jc w:val="left"/>
        <w:textAlignment w:val="center"/>
      </w:pPr>
      <w:r>
        <w:t>【实验过程】将60只小鼠随机均分为6组，除空白组外其余各组均接受56d随机性温和刺激诱导成抑郁小鼠模型，观察各组小鼠行为学指标；造模成功后，治疗组按下表相应剂量灌服药物，空白组和模型组小鼠给予相应的生理盐水，治疗28d。</w:t>
      </w:r>
    </w:p>
    <w:p>
      <w:pPr>
        <w:shd w:val="clear" w:color="auto" w:fill="auto"/>
        <w:spacing w:line="360" w:lineRule="auto"/>
        <w:jc w:val="left"/>
        <w:textAlignment w:val="center"/>
      </w:pPr>
      <w:r>
        <w:t>【检测指标】结果如下表：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31"/>
        <w:gridCol w:w="902"/>
        <w:gridCol w:w="964"/>
        <w:gridCol w:w="1026"/>
        <w:gridCol w:w="1398"/>
        <w:gridCol w:w="901"/>
        <w:gridCol w:w="869"/>
        <w:gridCol w:w="866"/>
        <w:gridCol w:w="69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组别</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剂量/（mg·kg</w:t>
            </w:r>
            <w:r>
              <w:rPr>
                <w:vertAlign w:val="superscript"/>
              </w:rPr>
              <w:t>-1</w:t>
            </w:r>
            <w:r>
              <w:t>）</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行为学指标观察结果</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内分泌指标检测结果</w:t>
            </w:r>
          </w:p>
        </w:tc>
      </w:tr>
      <w:tr>
        <w:tblPrEx>
          <w:tblCellMar>
            <w:top w:w="120" w:type="dxa"/>
            <w:left w:w="120" w:type="dxa"/>
            <w:bottom w:w="120" w:type="dxa"/>
            <w:right w:w="120" w:type="dxa"/>
          </w:tblCellMar>
        </w:tblPrEx>
        <w:trPr>
          <w:cantSplit w:val="0"/>
        </w:trPr>
        <w:tc>
          <w:tcPr>
            <w:gridSpan w:val="2"/>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运动范围占比/%</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悬尾实验后不动时间/s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糖水偏爱率/%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ACTH/（ng·L</w:t>
            </w:r>
            <w:r>
              <w:rPr>
                <w:vertAlign w:val="superscript"/>
              </w:rPr>
              <w:t>-1</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CORT/（μg·L</w:t>
            </w:r>
            <w:r>
              <w:rPr>
                <w:vertAlign w:val="superscript"/>
              </w:rPr>
              <w:t>-1</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5-HT/（ng·L</w:t>
            </w:r>
            <w:r>
              <w:rPr>
                <w:vertAlign w:val="superscript"/>
              </w:rPr>
              <w:t>-1</w:t>
            </w:r>
            <w:r>
              <w:t>）</w:t>
            </w:r>
          </w:p>
        </w:tc>
      </w:tr>
      <w:tr>
        <w:tblPrEx>
          <w:tblCellMar>
            <w:top w:w="120" w:type="dxa"/>
            <w:left w:w="120" w:type="dxa"/>
            <w:bottom w:w="120" w:type="dxa"/>
            <w:right w:w="120" w:type="dxa"/>
          </w:tblCellMar>
        </w:tblPrEx>
        <w:trPr>
          <w:cantSplit w:val="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空白组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27.65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56.96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79.44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10.99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49.65</w:t>
            </w:r>
          </w:p>
        </w:tc>
      </w:tr>
      <w:tr>
        <w:tblPrEx>
          <w:tblCellMar>
            <w:top w:w="120" w:type="dxa"/>
            <w:left w:w="120" w:type="dxa"/>
            <w:bottom w:w="120" w:type="dxa"/>
            <w:right w:w="120" w:type="dxa"/>
          </w:tblCellMar>
        </w:tblPrEx>
        <w:trPr>
          <w:cantSplit w:val="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模型组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7.75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87.14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43.44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32.28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29.15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25.70</w:t>
            </w:r>
          </w:p>
        </w:tc>
      </w:tr>
      <w:tr>
        <w:tblPrEx>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治疗组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盐酸氟西汀组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28.61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64.12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67.89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14.76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12.15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40.52</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LLP组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12.96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77.08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50.89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24.56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18.30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36.10</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APS组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17.63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77.78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56.44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20.88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19.74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32.07</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after="0"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after="0"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26.21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63.51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63.11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17.25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16.87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after="0" w:line="360" w:lineRule="auto"/>
              <w:jc w:val="center"/>
              <w:textAlignment w:val="cente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https://d.book118.com/336132222221010102</w:t>
        </w:r>
      </w:hyperlink>
    </w:p>
    <w:p/>
    <w:sectPr>
      <w:footerReference w:type="even" r:id="rId35"/>
      <w:footerReference w:type="default" r:id="rId36"/>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6.png"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hyperlink" Target="https://d.book118.com/336132222221010102" TargetMode="Externa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14b05bf0fffe4073a8021dd6337a68e1mza3mte2nzu5nq</vt:lpwstr>
  </property>
</Properties>
</file>