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2018-2023年西安城市建设职业学院高职单招（数学／语文／英语）历年常考试题库含答案解析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下列关于作家、作品的搭配，完全正确的是（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A.鲁迅——《坟》《灯下漫笔》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B.茅盾——《故都的秋》《子夜》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C.朱自清——《背影》《香市》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D.钱钟书——《围城》《论毅力》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苏轼、辛弃疾同为（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A.婉约派词人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C.风雅派词人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D.北宋词人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“明月松间照，清泉石上流”使用的修辞方法是（）。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黄省三是下列哪部作品中的人物（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徐志摩的《再别康桥》被收录在诗集（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A.《志摩的诗》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B.《翡冷翠的一夜》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D.《云游集》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A.“初唐四杰”是指王勃、杨炯、卢照邻、骆宾王。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B.“中唐古文运动”的领袖是韩愈、柳宗元。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C.“新乐府运动”的倡导者是王维、白居易。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D.“小李杜”指的是李商隐、杜牧。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“大都不过参国之一”中“参国之一”的意思是（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A.三个国家中的一个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B.国都的三分之一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C.参加国之一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D.三个国都中的一个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810400" cy="294353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在先秦诸子中，文风以想象丰富、词藻瑰丽、汪洋恣肆著称的是（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“人有悲欢离合，月有阴晴圆缺”这两句诗出自（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《天净沙·秋思》前三句用各写三种景物的词语构成（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C.流水对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D.博喻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有“曲状元”之称的元代散曲家是（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https://d.book118.com/336133003230010052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336133003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