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7"/>
        <w:rPr>
          <w:rFonts w:ascii="Times New Roman"/>
          <w:sz w:val="10"/>
        </w:rPr>
      </w:pPr>
    </w:p>
    <w:p>
      <w:pPr>
        <w:spacing w:before="54"/>
        <w:ind w:left="5332" w:right="5332" w:firstLine="0"/>
        <w:jc w:val="center"/>
        <w:rPr>
          <w:b/>
          <w:sz w:val="32"/>
        </w:rPr>
      </w:pPr>
      <w:r>
        <w:rPr>
          <w:b/>
          <w:sz w:val="32"/>
        </w:rPr>
        <w:t>目录</w:t>
      </w:r>
    </w:p>
    <w:sdt>
      <w:sdtPr>
        <w:id w:val="1947844604"/>
        <w:docPartObj>
          <w:docPartGallery w:val="Table of Contents"/>
          <w:docPartUnique/>
        </w:docPartObj>
      </w:sdtPr>
      <w:sdtContent>
        <w:p>
          <w:pPr>
            <w:pStyle w:val="TOC1"/>
            <w:numPr>
              <w:ilvl w:val="0"/>
              <w:numId w:val="6"/>
            </w:numPr>
            <w:tabs>
              <w:tab w:val="left" w:pos="1414"/>
              <w:tab w:val="right" w:leader="dot" w:pos="10760"/>
            </w:tabs>
            <w:spacing w:before="127" w:after="0" w:line="240" w:lineRule="auto"/>
            <w:ind w:left="1413" w:right="0" w:hanging="282"/>
            <w:jc w:val="left"/>
            <w:rPr>
              <w:rFonts w:ascii="Arial" w:eastAsia="Arial"/>
            </w:rPr>
          </w:pPr>
          <w:hyperlink w:anchor="_TOC_250012" w:history="1">
            <w:r>
              <w:t>行业规模增速稳中向上，多元配置、适当增配固收类资产熨平波动</w:t>
              <w:tab/>
            </w:r>
            <w:r>
              <w:rPr>
                <w:rFonts w:ascii="Arial" w:eastAsia="Arial"/>
              </w:rPr>
              <w:t>1</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11" w:history="1">
            <w:r>
              <w:t>保费收入抬升态势不改，健康险保费占比大幅收紧</w:t>
              <w:tab/>
            </w:r>
            <w:r>
              <w:rPr>
                <w:rFonts w:ascii="Arial" w:eastAsia="Arial"/>
              </w:rPr>
              <w:t>1</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10" w:history="1">
            <w:r>
              <w:t>资金运用余额高速扩张，多元配置、适当增配固收类资产熨平波动</w:t>
              <w:tab/>
            </w:r>
            <w:r>
              <w:rPr>
                <w:rFonts w:ascii="Arial" w:eastAsia="Arial"/>
              </w:rPr>
              <w:t>2</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09" w:history="1">
            <w:r>
              <w:t>另类投资产品数量规模双双缩水，资产支持计划逆势而上、步入快车道</w:t>
              <w:tab/>
            </w:r>
            <w:r>
              <w:rPr>
                <w:rFonts w:ascii="Arial" w:eastAsia="Arial"/>
              </w:rPr>
              <w:t>3</w:t>
            </w:r>
          </w:hyperlink>
        </w:p>
        <w:p>
          <w:pPr>
            <w:pStyle w:val="TOC1"/>
            <w:numPr>
              <w:ilvl w:val="0"/>
              <w:numId w:val="6"/>
            </w:numPr>
            <w:tabs>
              <w:tab w:val="left" w:pos="1368"/>
              <w:tab w:val="right" w:leader="dot" w:pos="10760"/>
            </w:tabs>
            <w:spacing w:before="43" w:after="0" w:line="240" w:lineRule="auto"/>
            <w:ind w:left="1368" w:right="0" w:hanging="236"/>
            <w:jc w:val="left"/>
            <w:rPr>
              <w:rFonts w:ascii="Arial" w:eastAsia="Arial"/>
            </w:rPr>
          </w:pPr>
          <w:hyperlink w:anchor="_TOC_250008" w:history="1">
            <w:r>
              <w:rPr>
                <w:rFonts w:ascii="Arial" w:eastAsia="Arial"/>
              </w:rPr>
              <w:t>2023</w:t>
            </w:r>
            <w:r>
              <w:rPr>
                <w:rFonts w:ascii="Arial" w:eastAsia="Arial"/>
                <w:spacing w:val="-6"/>
              </w:rPr>
              <w:t xml:space="preserve"> </w:t>
            </w:r>
            <w:r>
              <w:t>年保险业政策回顾</w:t>
              <w:tab/>
            </w:r>
            <w:r>
              <w:rPr>
                <w:rFonts w:ascii="Arial" w:eastAsia="Arial"/>
              </w:rPr>
              <w:t>4</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07" w:history="1">
            <w:r>
              <w:t>监管新格局正式落成，制度铁篱笆不断扎紧</w:t>
              <w:tab/>
            </w:r>
            <w:r>
              <w:rPr>
                <w:rFonts w:ascii="Arial" w:eastAsia="Arial"/>
              </w:rPr>
              <w:t>4</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06" w:history="1">
            <w:r>
              <w:t>践行保险产品供给侧改革之路，覆盖细分业务领域规范真空带</w:t>
              <w:tab/>
            </w:r>
            <w:r>
              <w:rPr>
                <w:rFonts w:ascii="Arial" w:eastAsia="Arial"/>
              </w:rPr>
              <w:t>5</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05" w:history="1">
            <w:r>
              <w:t>乘养老之风，助力银发经济</w:t>
              <w:tab/>
            </w:r>
            <w:r>
              <w:rPr>
                <w:rFonts w:ascii="Arial" w:eastAsia="Arial"/>
              </w:rPr>
              <w:t>7</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04" w:history="1">
            <w:r>
              <w:t>为实体经济输送养分，兜好保障民生底线</w:t>
              <w:tab/>
            </w:r>
            <w:r>
              <w:rPr>
                <w:rFonts w:ascii="Arial" w:eastAsia="Arial"/>
              </w:rPr>
              <w:t>8</w:t>
            </w:r>
          </w:hyperlink>
        </w:p>
        <w:p>
          <w:pPr>
            <w:pStyle w:val="TOC1"/>
            <w:numPr>
              <w:ilvl w:val="0"/>
              <w:numId w:val="6"/>
            </w:numPr>
            <w:tabs>
              <w:tab w:val="left" w:pos="1368"/>
              <w:tab w:val="right" w:leader="dot" w:pos="10762"/>
            </w:tabs>
            <w:spacing w:before="43" w:after="0" w:line="240" w:lineRule="auto"/>
            <w:ind w:left="1368" w:right="0" w:hanging="236"/>
            <w:jc w:val="left"/>
            <w:rPr>
              <w:rFonts w:ascii="Arial" w:eastAsia="Arial"/>
            </w:rPr>
          </w:pPr>
          <w:hyperlink w:anchor="_TOC_250003" w:history="1">
            <w:r>
              <w:rPr>
                <w:rFonts w:ascii="Arial" w:eastAsia="Arial"/>
              </w:rPr>
              <w:t>2023</w:t>
            </w:r>
            <w:r>
              <w:rPr>
                <w:rFonts w:ascii="Arial" w:eastAsia="Arial"/>
                <w:spacing w:val="-6"/>
              </w:rPr>
              <w:t xml:space="preserve"> </w:t>
            </w:r>
            <w:r>
              <w:t>年保险资产管理行业发展</w:t>
              <w:tab/>
            </w:r>
            <w:r>
              <w:rPr>
                <w:rFonts w:ascii="Arial" w:eastAsia="Arial"/>
              </w:rPr>
              <w:t>9</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02" w:history="1">
            <w:r>
              <w:t>投行业务板块</w:t>
              <w:tab/>
            </w:r>
            <w:r>
              <w:rPr>
                <w:rFonts w:ascii="Arial" w:eastAsia="Arial"/>
              </w:rPr>
              <w:t>9</w:t>
            </w:r>
          </w:hyperlink>
        </w:p>
        <w:p>
          <w:pPr>
            <w:pStyle w:val="TOC2"/>
            <w:numPr>
              <w:ilvl w:val="1"/>
              <w:numId w:val="6"/>
            </w:numPr>
            <w:tabs>
              <w:tab w:val="left" w:pos="1949"/>
              <w:tab w:val="right" w:leader="dot" w:pos="10760"/>
            </w:tabs>
            <w:spacing w:before="43" w:after="0" w:line="240" w:lineRule="auto"/>
            <w:ind w:left="1948" w:right="0" w:hanging="457"/>
            <w:jc w:val="left"/>
            <w:rPr>
              <w:rFonts w:ascii="Arial" w:eastAsia="Arial"/>
            </w:rPr>
          </w:pPr>
          <w:hyperlink w:anchor="_TOC_250001" w:history="1">
            <w:r>
              <w:t>资产管理板块</w:t>
              <w:tab/>
            </w:r>
            <w:r>
              <w:rPr>
                <w:rFonts w:ascii="Arial" w:eastAsia="Arial"/>
              </w:rPr>
              <w:t>17</w:t>
            </w:r>
          </w:hyperlink>
        </w:p>
        <w:p>
          <w:pPr>
            <w:pStyle w:val="TOC1"/>
            <w:numPr>
              <w:ilvl w:val="0"/>
              <w:numId w:val="6"/>
            </w:numPr>
            <w:tabs>
              <w:tab w:val="left" w:pos="1368"/>
              <w:tab w:val="right" w:leader="dot" w:pos="10760"/>
            </w:tabs>
            <w:spacing w:before="43" w:after="0" w:line="240" w:lineRule="auto"/>
            <w:ind w:left="1368" w:right="0" w:hanging="236"/>
            <w:jc w:val="left"/>
            <w:rPr>
              <w:rFonts w:ascii="Arial" w:eastAsia="Arial"/>
            </w:rPr>
          </w:pPr>
          <w:hyperlink w:anchor="_TOC_250000" w:history="1">
            <w:r>
              <w:rPr>
                <w:rFonts w:ascii="Arial" w:eastAsia="Arial"/>
              </w:rPr>
              <w:t>2023</w:t>
            </w:r>
            <w:r>
              <w:rPr>
                <w:rFonts w:ascii="Arial" w:eastAsia="Arial"/>
                <w:spacing w:val="-6"/>
              </w:rPr>
              <w:t xml:space="preserve"> </w:t>
            </w:r>
            <w:r>
              <w:t>年保险资产管理展望</w:t>
              <w:tab/>
            </w:r>
            <w:r>
              <w:rPr>
                <w:rFonts w:ascii="Arial" w:eastAsia="Arial"/>
              </w:rPr>
              <w:t>34</w:t>
            </w:r>
          </w:hyperlink>
        </w:p>
        <w:p>
          <w:pPr>
            <w:pStyle w:val="TOC1"/>
            <w:numPr>
              <w:ilvl w:val="0"/>
              <w:numId w:val="6"/>
            </w:numPr>
            <w:tabs>
              <w:tab w:val="left" w:pos="1414"/>
              <w:tab w:val="right" w:leader="dot" w:pos="10760"/>
            </w:tabs>
            <w:spacing w:before="43" w:after="0" w:line="240" w:lineRule="auto"/>
            <w:ind w:left="1413" w:right="0" w:hanging="282"/>
            <w:jc w:val="left"/>
            <w:rPr>
              <w:rFonts w:ascii="Arial" w:eastAsia="Arial"/>
            </w:rPr>
          </w:pPr>
          <w:r>
            <w:t>风险提示</w:t>
            <w:tab/>
          </w:r>
          <w:r>
            <w:rPr>
              <w:rFonts w:ascii="Arial" w:eastAsia="Arial"/>
            </w:rPr>
            <w:t>35</w:t>
          </w:r>
        </w:p>
      </w:sdtContent>
    </w:sdt>
    <w:p>
      <w:pPr>
        <w:spacing w:after="0" w:line="240" w:lineRule="auto"/>
        <w:jc w:val="left"/>
        <w:rPr>
          <w:rFonts w:ascii="Arial" w:eastAsia="Arial"/>
        </w:rPr>
        <w:sectPr>
          <w:headerReference w:type="default" r:id="rId4"/>
          <w:footerReference w:type="default" r:id="rId5"/>
          <w:type w:val="continuous"/>
          <w:pgSz w:w="11910" w:h="16840"/>
          <w:pgMar w:top="1280" w:right="0" w:bottom="1000" w:left="0" w:header="708" w:footer="708"/>
          <w:cols w:space="708"/>
        </w:sectPr>
      </w:pPr>
    </w:p>
    <w:p>
      <w:pPr>
        <w:spacing w:before="172"/>
        <w:ind w:left="5332" w:right="5332" w:firstLine="0"/>
        <w:jc w:val="center"/>
        <w:rPr>
          <w:b/>
          <w:sz w:val="30"/>
        </w:rPr>
      </w:pPr>
      <w:r>
        <w:rPr>
          <w:b/>
          <w:sz w:val="30"/>
        </w:rPr>
        <w:t>图表目录</w:t>
      </w:r>
    </w:p>
    <w:p>
      <w:pPr>
        <w:tabs>
          <w:tab w:val="left" w:pos="2083"/>
          <w:tab w:val="left" w:leader="dot" w:pos="10646"/>
        </w:tabs>
        <w:spacing w:before="143"/>
        <w:ind w:left="1492" w:right="0" w:firstLine="0"/>
        <w:jc w:val="left"/>
        <w:rPr>
          <w:rFonts w:ascii="Arial" w:eastAsia="Arial"/>
          <w:sz w:val="21"/>
        </w:rPr>
      </w:pPr>
      <w:r>
        <w:rPr>
          <w:sz w:val="21"/>
        </w:rPr>
        <w:t>图</w:t>
      </w:r>
      <w:r>
        <w:rPr>
          <w:spacing w:val="-51"/>
          <w:sz w:val="21"/>
        </w:rPr>
        <w:t xml:space="preserve"> </w:t>
      </w:r>
      <w:r>
        <w:rPr>
          <w:rFonts w:ascii="Arial" w:eastAsia="Arial"/>
          <w:sz w:val="21"/>
        </w:rPr>
        <w:t>1</w:t>
        <w:tab/>
        <w:t>2005-2023</w:t>
      </w:r>
      <w:r>
        <w:rPr>
          <w:rFonts w:ascii="Arial" w:eastAsia="Arial"/>
          <w:spacing w:val="-10"/>
          <w:sz w:val="21"/>
        </w:rPr>
        <w:t xml:space="preserve"> </w:t>
      </w:r>
      <w:r>
        <w:rPr>
          <w:sz w:val="21"/>
        </w:rPr>
        <w:t>年保险行业总资产规模情况（万亿）</w:t>
        <w:tab/>
      </w:r>
      <w:r>
        <w:rPr>
          <w:rFonts w:ascii="Arial" w:eastAsia="Arial"/>
          <w:sz w:val="21"/>
        </w:rPr>
        <w:t>1</w:t>
      </w:r>
    </w:p>
    <w:p>
      <w:pPr>
        <w:tabs>
          <w:tab w:val="left" w:pos="2083"/>
          <w:tab w:val="left" w:leader="dot" w:pos="10643"/>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z w:val="21"/>
        </w:rPr>
        <w:t>2</w:t>
        <w:tab/>
        <w:t>2005</w:t>
      </w:r>
      <w:r>
        <w:rPr>
          <w:rFonts w:ascii="Arial" w:eastAsia="Arial"/>
          <w:spacing w:val="-9"/>
          <w:sz w:val="21"/>
        </w:rPr>
        <w:t xml:space="preserve"> </w:t>
      </w:r>
      <w:r>
        <w:rPr>
          <w:sz w:val="21"/>
        </w:rPr>
        <w:t>年</w:t>
      </w:r>
      <w:r>
        <w:rPr>
          <w:rFonts w:ascii="Arial" w:eastAsia="Arial"/>
          <w:sz w:val="21"/>
        </w:rPr>
        <w:t>-2023</w:t>
      </w:r>
      <w:r>
        <w:rPr>
          <w:rFonts w:ascii="Arial" w:eastAsia="Arial"/>
          <w:spacing w:val="-9"/>
          <w:sz w:val="21"/>
        </w:rPr>
        <w:t xml:space="preserve"> </w:t>
      </w:r>
      <w:r>
        <w:rPr>
          <w:sz w:val="21"/>
        </w:rPr>
        <w:t>年保险行业总资产增速情况</w:t>
        <w:tab/>
      </w:r>
      <w:r>
        <w:rPr>
          <w:rFonts w:ascii="Arial" w:eastAsia="Arial"/>
          <w:sz w:val="21"/>
        </w:rPr>
        <w:t>1</w:t>
      </w:r>
    </w:p>
    <w:p>
      <w:pPr>
        <w:tabs>
          <w:tab w:val="left" w:pos="2083"/>
          <w:tab w:val="left" w:leader="dot" w:pos="10643"/>
        </w:tabs>
        <w:spacing w:before="42"/>
        <w:ind w:left="1492" w:right="0" w:firstLine="0"/>
        <w:jc w:val="left"/>
        <w:rPr>
          <w:rFonts w:ascii="Arial" w:eastAsia="Arial"/>
          <w:sz w:val="21"/>
        </w:rPr>
      </w:pPr>
      <w:r>
        <w:rPr>
          <w:sz w:val="21"/>
        </w:rPr>
        <w:t>图</w:t>
      </w:r>
      <w:r>
        <w:rPr>
          <w:spacing w:val="-51"/>
          <w:sz w:val="21"/>
        </w:rPr>
        <w:t xml:space="preserve"> </w:t>
      </w:r>
      <w:r>
        <w:rPr>
          <w:rFonts w:ascii="Arial" w:eastAsia="Arial"/>
          <w:sz w:val="21"/>
        </w:rPr>
        <w:t>3</w:t>
        <w:tab/>
        <w:t>2013-2023</w:t>
      </w:r>
      <w:r>
        <w:rPr>
          <w:rFonts w:ascii="Arial" w:eastAsia="Arial"/>
          <w:spacing w:val="-10"/>
          <w:sz w:val="21"/>
        </w:rPr>
        <w:t xml:space="preserve"> </w:t>
      </w:r>
      <w:r>
        <w:rPr>
          <w:sz w:val="21"/>
        </w:rPr>
        <w:t>年保费收入（亿元）及同比增速（</w:t>
      </w:r>
      <w:r>
        <w:rPr>
          <w:rFonts w:ascii="Arial" w:eastAsia="Arial"/>
          <w:sz w:val="21"/>
        </w:rPr>
        <w:t>%</w:t>
      </w:r>
      <w:r>
        <w:rPr>
          <w:sz w:val="21"/>
        </w:rPr>
        <w:t>）</w:t>
        <w:tab/>
      </w:r>
      <w:r>
        <w:rPr>
          <w:rFonts w:ascii="Arial" w:eastAsia="Arial"/>
          <w:sz w:val="21"/>
        </w:rPr>
        <w:t>2</w:t>
      </w:r>
    </w:p>
    <w:p>
      <w:pPr>
        <w:tabs>
          <w:tab w:val="left" w:pos="2083"/>
          <w:tab w:val="left" w:leader="dot" w:pos="10646"/>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z w:val="21"/>
        </w:rPr>
        <w:t>4</w:t>
        <w:tab/>
        <w:t>2013-2023</w:t>
      </w:r>
      <w:r>
        <w:rPr>
          <w:rFonts w:ascii="Arial" w:eastAsia="Arial"/>
          <w:spacing w:val="-9"/>
          <w:sz w:val="21"/>
        </w:rPr>
        <w:t xml:space="preserve"> </w:t>
      </w:r>
      <w:r>
        <w:rPr>
          <w:sz w:val="21"/>
        </w:rPr>
        <w:t>年人身险保费收入构成比例</w:t>
        <w:tab/>
      </w:r>
      <w:r>
        <w:rPr>
          <w:rFonts w:ascii="Arial" w:eastAsia="Arial"/>
          <w:sz w:val="21"/>
        </w:rPr>
        <w:t>2</w:t>
      </w:r>
    </w:p>
    <w:p>
      <w:pPr>
        <w:tabs>
          <w:tab w:val="left" w:pos="2083"/>
          <w:tab w:val="left" w:leader="dot" w:pos="10646"/>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z w:val="21"/>
        </w:rPr>
        <w:t>5</w:t>
        <w:tab/>
        <w:t>2013-2023</w:t>
      </w:r>
      <w:r>
        <w:rPr>
          <w:rFonts w:ascii="Arial" w:eastAsia="Arial"/>
          <w:spacing w:val="-9"/>
          <w:sz w:val="21"/>
        </w:rPr>
        <w:t xml:space="preserve"> </w:t>
      </w:r>
      <w:r>
        <w:rPr>
          <w:sz w:val="21"/>
        </w:rPr>
        <w:t>年投连险及万能险规模变动情况</w:t>
        <w:tab/>
      </w:r>
      <w:r>
        <w:rPr>
          <w:rFonts w:ascii="Arial" w:eastAsia="Arial"/>
          <w:sz w:val="21"/>
        </w:rPr>
        <w:t>2</w:t>
      </w:r>
    </w:p>
    <w:p>
      <w:pPr>
        <w:tabs>
          <w:tab w:val="left" w:pos="2083"/>
          <w:tab w:val="left" w:leader="dot" w:pos="10646"/>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z w:val="21"/>
        </w:rPr>
        <w:t>6</w:t>
        <w:tab/>
        <w:t>2005-2023</w:t>
      </w:r>
      <w:r>
        <w:rPr>
          <w:rFonts w:ascii="Arial" w:eastAsia="Arial"/>
          <w:spacing w:val="-9"/>
          <w:sz w:val="21"/>
        </w:rPr>
        <w:t xml:space="preserve"> </w:t>
      </w:r>
      <w:r>
        <w:rPr>
          <w:sz w:val="21"/>
        </w:rPr>
        <w:t>年保险资金余额（万亿元）</w:t>
        <w:tab/>
      </w:r>
      <w:r>
        <w:rPr>
          <w:rFonts w:ascii="Arial" w:eastAsia="Arial"/>
          <w:sz w:val="21"/>
        </w:rPr>
        <w:t>3</w:t>
      </w:r>
    </w:p>
    <w:p>
      <w:pPr>
        <w:tabs>
          <w:tab w:val="left" w:pos="2083"/>
          <w:tab w:val="left" w:leader="dot" w:pos="10646"/>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z w:val="21"/>
        </w:rPr>
        <w:t>7</w:t>
        <w:tab/>
        <w:t>2005-2023</w:t>
      </w:r>
      <w:r>
        <w:rPr>
          <w:rFonts w:ascii="Arial" w:eastAsia="Arial"/>
          <w:spacing w:val="-8"/>
          <w:sz w:val="21"/>
        </w:rPr>
        <w:t xml:space="preserve"> </w:t>
      </w:r>
      <w:r>
        <w:rPr>
          <w:sz w:val="21"/>
        </w:rPr>
        <w:t>年保险资金资产配置趋势</w:t>
        <w:tab/>
      </w:r>
      <w:r>
        <w:rPr>
          <w:rFonts w:ascii="Arial" w:eastAsia="Arial"/>
          <w:sz w:val="21"/>
        </w:rPr>
        <w:t>3</w:t>
      </w:r>
    </w:p>
    <w:p>
      <w:pPr>
        <w:tabs>
          <w:tab w:val="left" w:pos="2083"/>
          <w:tab w:val="left" w:leader="dot" w:pos="10528"/>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z w:val="21"/>
        </w:rPr>
        <w:t>8</w:t>
        <w:tab/>
      </w:r>
      <w:r>
        <w:rPr>
          <w:sz w:val="21"/>
        </w:rPr>
        <w:t>近五年保险资产管理机构登记债权投资计划数量情况（单位：项）</w:t>
        <w:tab/>
      </w:r>
      <w:r>
        <w:rPr>
          <w:rFonts w:ascii="Arial" w:eastAsia="Arial"/>
          <w:sz w:val="21"/>
        </w:rPr>
        <w:t>10</w:t>
      </w:r>
    </w:p>
    <w:p>
      <w:pPr>
        <w:tabs>
          <w:tab w:val="left" w:pos="2083"/>
          <w:tab w:val="left" w:leader="dot" w:pos="10528"/>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z w:val="21"/>
        </w:rPr>
        <w:t>9</w:t>
        <w:tab/>
        <w:t>2023</w:t>
      </w:r>
      <w:r>
        <w:rPr>
          <w:rFonts w:ascii="Arial" w:eastAsia="Arial"/>
          <w:spacing w:val="-9"/>
          <w:sz w:val="21"/>
        </w:rPr>
        <w:t xml:space="preserve"> </w:t>
      </w:r>
      <w:r>
        <w:rPr>
          <w:sz w:val="21"/>
        </w:rPr>
        <w:t>年纳入统计的保险公司的债权投资计划认购情况</w:t>
        <w:tab/>
      </w:r>
      <w:r>
        <w:rPr>
          <w:rFonts w:ascii="Arial" w:eastAsia="Arial"/>
          <w:sz w:val="21"/>
        </w:rPr>
        <w:t>12</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10</w:t>
        <w:tab/>
        <w:t>2023</w:t>
      </w:r>
      <w:r>
        <w:rPr>
          <w:rFonts w:ascii="Arial" w:eastAsia="Arial"/>
          <w:spacing w:val="-9"/>
          <w:sz w:val="21"/>
        </w:rPr>
        <w:t xml:space="preserve"> </w:t>
      </w:r>
      <w:r>
        <w:rPr>
          <w:sz w:val="21"/>
        </w:rPr>
        <w:t>年纳入统计的保险集团的债权投资计划认购情况</w:t>
        <w:tab/>
      </w:r>
      <w:r>
        <w:rPr>
          <w:rFonts w:ascii="Arial" w:eastAsia="Arial"/>
          <w:sz w:val="21"/>
        </w:rPr>
        <w:t>12</w:t>
      </w:r>
    </w:p>
    <w:p>
      <w:pPr>
        <w:tabs>
          <w:tab w:val="left" w:pos="2183"/>
          <w:tab w:val="left" w:leader="dot" w:pos="10528"/>
        </w:tabs>
        <w:spacing w:before="43"/>
        <w:ind w:left="1492" w:right="0" w:firstLine="0"/>
        <w:jc w:val="left"/>
        <w:rPr>
          <w:rFonts w:ascii="Arial" w:eastAsia="Arial"/>
          <w:sz w:val="21"/>
        </w:rPr>
      </w:pPr>
      <w:r>
        <w:rPr>
          <w:sz w:val="21"/>
        </w:rPr>
        <w:t>图</w:t>
      </w:r>
      <w:r>
        <w:rPr>
          <w:spacing w:val="-51"/>
          <w:sz w:val="21"/>
        </w:rPr>
        <w:t xml:space="preserve"> </w:t>
      </w:r>
      <w:r>
        <w:rPr>
          <w:rFonts w:ascii="Arial" w:eastAsia="Arial"/>
          <w:spacing w:val="-7"/>
          <w:sz w:val="21"/>
        </w:rPr>
        <w:t>11</w:t>
        <w:tab/>
      </w:r>
      <w:r>
        <w:rPr>
          <w:rFonts w:ascii="Arial" w:eastAsia="Arial"/>
          <w:sz w:val="21"/>
        </w:rPr>
        <w:t>2023</w:t>
      </w:r>
      <w:r>
        <w:rPr>
          <w:rFonts w:ascii="Arial" w:eastAsia="Arial"/>
          <w:spacing w:val="-7"/>
          <w:sz w:val="21"/>
        </w:rPr>
        <w:t xml:space="preserve"> </w:t>
      </w:r>
      <w:r>
        <w:rPr>
          <w:sz w:val="21"/>
        </w:rPr>
        <w:t>年纳入统计的各类别债权投资计划被认购情况</w:t>
        <w:tab/>
      </w:r>
      <w:r>
        <w:rPr>
          <w:rFonts w:ascii="Arial" w:eastAsia="Arial"/>
          <w:sz w:val="21"/>
        </w:rPr>
        <w:t>13</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12</w:t>
        <w:tab/>
        <w:t>2023</w:t>
      </w:r>
      <w:r>
        <w:rPr>
          <w:rFonts w:ascii="Arial" w:eastAsia="Arial"/>
          <w:spacing w:val="-10"/>
          <w:sz w:val="21"/>
        </w:rPr>
        <w:t xml:space="preserve"> </w:t>
      </w:r>
      <w:r>
        <w:rPr>
          <w:sz w:val="21"/>
        </w:rPr>
        <w:t>年纳入统计的保险公司认购的不同类别债权投资计划情况</w:t>
        <w:tab/>
      </w:r>
      <w:r>
        <w:rPr>
          <w:rFonts w:ascii="Arial" w:eastAsia="Arial"/>
          <w:sz w:val="21"/>
        </w:rPr>
        <w:t>13</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13</w:t>
        <w:tab/>
        <w:t>2019</w:t>
      </w:r>
      <w:r>
        <w:rPr>
          <w:rFonts w:ascii="Arial" w:eastAsia="Arial"/>
          <w:spacing w:val="-8"/>
          <w:sz w:val="21"/>
        </w:rPr>
        <w:t xml:space="preserve"> </w:t>
      </w:r>
      <w:r>
        <w:rPr>
          <w:sz w:val="21"/>
        </w:rPr>
        <w:t>年</w:t>
      </w:r>
      <w:r>
        <w:rPr>
          <w:rFonts w:ascii="Arial" w:eastAsia="Arial"/>
          <w:sz w:val="21"/>
        </w:rPr>
        <w:t>-2023</w:t>
      </w:r>
      <w:r>
        <w:rPr>
          <w:rFonts w:ascii="Arial" w:eastAsia="Arial"/>
          <w:spacing w:val="-8"/>
          <w:sz w:val="21"/>
        </w:rPr>
        <w:t xml:space="preserve"> </w:t>
      </w:r>
      <w:r>
        <w:rPr>
          <w:sz w:val="21"/>
        </w:rPr>
        <w:t>年资产支持计划登记情况</w:t>
        <w:tab/>
      </w:r>
      <w:r>
        <w:rPr>
          <w:rFonts w:ascii="Arial" w:eastAsia="Arial"/>
          <w:sz w:val="21"/>
        </w:rPr>
        <w:t>16</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14</w:t>
        <w:tab/>
      </w:r>
      <w:r>
        <w:rPr>
          <w:sz w:val="21"/>
        </w:rPr>
        <w:t>登记资产支持计划的受托管理人情况</w:t>
        <w:tab/>
      </w:r>
      <w:r>
        <w:rPr>
          <w:rFonts w:ascii="Arial" w:eastAsia="Arial"/>
          <w:sz w:val="21"/>
        </w:rPr>
        <w:t>16</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15</w:t>
        <w:tab/>
      </w:r>
      <w:r>
        <w:rPr>
          <w:sz w:val="21"/>
        </w:rPr>
        <w:t>纳入统计的保险资产管理产品管理人情况（只）</w:t>
        <w:tab/>
      </w:r>
      <w:r>
        <w:rPr>
          <w:rFonts w:ascii="Arial" w:eastAsia="Arial"/>
          <w:sz w:val="21"/>
        </w:rPr>
        <w:t>18</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16</w:t>
        <w:tab/>
      </w:r>
      <w:r>
        <w:rPr>
          <w:sz w:val="21"/>
        </w:rPr>
        <w:t>保险资产管理产品类型分布</w:t>
        <w:tab/>
      </w:r>
      <w:r>
        <w:rPr>
          <w:rFonts w:ascii="Arial" w:eastAsia="Arial"/>
          <w:sz w:val="21"/>
        </w:rPr>
        <w:t>18</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17</w:t>
        <w:tab/>
      </w:r>
      <w:r>
        <w:rPr>
          <w:sz w:val="21"/>
        </w:rPr>
        <w:t>历年全国企业年金基本情况柱状图</w:t>
        <w:tab/>
      </w:r>
      <w:r>
        <w:rPr>
          <w:rFonts w:ascii="Arial" w:eastAsia="Arial"/>
          <w:sz w:val="21"/>
        </w:rPr>
        <w:t>23</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18</w:t>
        <w:tab/>
      </w:r>
      <w:r>
        <w:rPr>
          <w:sz w:val="21"/>
        </w:rPr>
        <w:t>历年全国企业年金基金投资收益率和保险资金投资收益率情况</w:t>
        <w:tab/>
      </w:r>
      <w:r>
        <w:rPr>
          <w:rFonts w:ascii="Arial" w:eastAsia="Arial"/>
          <w:sz w:val="21"/>
        </w:rPr>
        <w:t>23</w:t>
      </w:r>
    </w:p>
    <w:p>
      <w:pPr>
        <w:tabs>
          <w:tab w:val="left" w:pos="2200"/>
          <w:tab w:val="left" w:leader="dot" w:pos="10528"/>
        </w:tabs>
        <w:spacing w:before="42"/>
        <w:ind w:left="1492" w:right="0" w:firstLine="0"/>
        <w:jc w:val="left"/>
        <w:rPr>
          <w:rFonts w:ascii="Arial" w:eastAsia="Arial"/>
          <w:sz w:val="21"/>
        </w:rPr>
      </w:pPr>
      <w:r>
        <w:rPr>
          <w:sz w:val="21"/>
        </w:rPr>
        <w:t>图</w:t>
      </w:r>
      <w:r>
        <w:rPr>
          <w:spacing w:val="-52"/>
          <w:sz w:val="21"/>
        </w:rPr>
        <w:t xml:space="preserve"> </w:t>
      </w:r>
      <w:r>
        <w:rPr>
          <w:rFonts w:ascii="Arial" w:eastAsia="Arial"/>
          <w:sz w:val="21"/>
        </w:rPr>
        <w:t>19</w:t>
        <w:tab/>
        <w:t>2022</w:t>
      </w:r>
      <w:r>
        <w:rPr>
          <w:rFonts w:ascii="Arial" w:eastAsia="Arial"/>
          <w:spacing w:val="-9"/>
          <w:sz w:val="21"/>
        </w:rPr>
        <w:t xml:space="preserve"> </w:t>
      </w:r>
      <w:r>
        <w:rPr>
          <w:sz w:val="21"/>
        </w:rPr>
        <w:t>年三季度投资管理人管理的组合资产规模</w:t>
        <w:tab/>
      </w:r>
      <w:r>
        <w:rPr>
          <w:rFonts w:ascii="Arial" w:eastAsia="Arial"/>
          <w:sz w:val="21"/>
        </w:rPr>
        <w:t>24</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20</w:t>
        <w:tab/>
        <w:t>2023</w:t>
      </w:r>
      <w:r>
        <w:rPr>
          <w:rFonts w:ascii="Arial" w:eastAsia="Arial"/>
          <w:spacing w:val="-9"/>
          <w:sz w:val="21"/>
        </w:rPr>
        <w:t xml:space="preserve"> </w:t>
      </w:r>
      <w:r>
        <w:rPr>
          <w:sz w:val="21"/>
        </w:rPr>
        <w:t>年三季度投资管理人管理的组合资产规模</w:t>
        <w:tab/>
      </w:r>
      <w:r>
        <w:rPr>
          <w:rFonts w:ascii="Arial" w:eastAsia="Arial"/>
          <w:sz w:val="21"/>
        </w:rPr>
        <w:t>24</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21</w:t>
        <w:tab/>
        <w:t>2023</w:t>
      </w:r>
      <w:r>
        <w:rPr>
          <w:rFonts w:ascii="Arial" w:eastAsia="Arial"/>
          <w:spacing w:val="-9"/>
          <w:sz w:val="21"/>
        </w:rPr>
        <w:t xml:space="preserve"> </w:t>
      </w:r>
      <w:r>
        <w:rPr>
          <w:sz w:val="21"/>
        </w:rPr>
        <w:t>年前三季度加权平均收益率</w:t>
      </w:r>
      <w:r>
        <w:rPr>
          <w:rFonts w:ascii="Arial" w:eastAsia="Arial"/>
          <w:sz w:val="21"/>
        </w:rPr>
        <w:t>-</w:t>
      </w:r>
      <w:r>
        <w:rPr>
          <w:sz w:val="21"/>
        </w:rPr>
        <w:t>固定收益类组合</w:t>
        <w:tab/>
      </w:r>
      <w:r>
        <w:rPr>
          <w:rFonts w:ascii="Arial" w:eastAsia="Arial"/>
          <w:sz w:val="21"/>
        </w:rPr>
        <w:t>25</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22</w:t>
        <w:tab/>
        <w:t>2023</w:t>
      </w:r>
      <w:r>
        <w:rPr>
          <w:rFonts w:ascii="Arial" w:eastAsia="Arial"/>
          <w:spacing w:val="-9"/>
          <w:sz w:val="21"/>
        </w:rPr>
        <w:t xml:space="preserve"> </w:t>
      </w:r>
      <w:r>
        <w:rPr>
          <w:sz w:val="21"/>
        </w:rPr>
        <w:t>前三季度加权平均收益率</w:t>
      </w:r>
      <w:r>
        <w:rPr>
          <w:rFonts w:ascii="Arial" w:eastAsia="Arial"/>
          <w:sz w:val="21"/>
        </w:rPr>
        <w:t>-</w:t>
      </w:r>
      <w:r>
        <w:rPr>
          <w:sz w:val="21"/>
        </w:rPr>
        <w:t>含权益类组合</w:t>
        <w:tab/>
      </w:r>
      <w:r>
        <w:rPr>
          <w:rFonts w:ascii="Arial" w:eastAsia="Arial"/>
          <w:sz w:val="21"/>
        </w:rPr>
        <w:t>25</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23</w:t>
        <w:tab/>
      </w:r>
      <w:r>
        <w:rPr>
          <w:sz w:val="21"/>
        </w:rPr>
        <w:t>按类别分类的保险类个人养老金产品情况</w:t>
        <w:tab/>
      </w:r>
      <w:r>
        <w:rPr>
          <w:rFonts w:ascii="Arial" w:eastAsia="Arial"/>
          <w:sz w:val="21"/>
        </w:rPr>
        <w:t>29</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24</w:t>
        <w:tab/>
      </w:r>
      <w:r>
        <w:rPr>
          <w:sz w:val="21"/>
        </w:rPr>
        <w:t>按管理人分类的保险类个人养老金产品情况（只）</w:t>
        <w:tab/>
      </w:r>
      <w:r>
        <w:rPr>
          <w:rFonts w:ascii="Arial" w:eastAsia="Arial"/>
          <w:sz w:val="21"/>
        </w:rPr>
        <w:t>29</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25</w:t>
        <w:tab/>
        <w:t>2023</w:t>
      </w:r>
      <w:r>
        <w:rPr>
          <w:rFonts w:ascii="Arial" w:eastAsia="Arial"/>
          <w:spacing w:val="-9"/>
          <w:sz w:val="21"/>
        </w:rPr>
        <w:t xml:space="preserve"> </w:t>
      </w:r>
      <w:r>
        <w:rPr>
          <w:sz w:val="21"/>
        </w:rPr>
        <w:t>年保险系公募基金新发基金数量（分管理人）</w:t>
        <w:tab/>
      </w:r>
      <w:r>
        <w:rPr>
          <w:rFonts w:ascii="Arial" w:eastAsia="Arial"/>
          <w:sz w:val="21"/>
        </w:rPr>
        <w:t>32</w:t>
      </w:r>
    </w:p>
    <w:p>
      <w:pPr>
        <w:tabs>
          <w:tab w:val="left" w:pos="2200"/>
          <w:tab w:val="left" w:leader="dot" w:pos="10528"/>
        </w:tabs>
        <w:spacing w:before="43"/>
        <w:ind w:left="1492" w:right="0" w:firstLine="0"/>
        <w:jc w:val="left"/>
        <w:rPr>
          <w:rFonts w:ascii="Arial" w:eastAsia="Arial"/>
          <w:sz w:val="21"/>
        </w:rPr>
      </w:pPr>
      <w:r>
        <w:rPr>
          <w:sz w:val="21"/>
        </w:rPr>
        <w:t>图</w:t>
      </w:r>
      <w:r>
        <w:rPr>
          <w:spacing w:val="-52"/>
          <w:sz w:val="21"/>
        </w:rPr>
        <w:t xml:space="preserve"> </w:t>
      </w:r>
      <w:r>
        <w:rPr>
          <w:rFonts w:ascii="Arial" w:eastAsia="Arial"/>
          <w:sz w:val="21"/>
        </w:rPr>
        <w:t>26</w:t>
        <w:tab/>
        <w:t>2023</w:t>
      </w:r>
      <w:r>
        <w:rPr>
          <w:rFonts w:ascii="Arial" w:eastAsia="Arial"/>
          <w:spacing w:val="-9"/>
          <w:sz w:val="21"/>
        </w:rPr>
        <w:t xml:space="preserve"> </w:t>
      </w:r>
      <w:r>
        <w:rPr>
          <w:sz w:val="21"/>
        </w:rPr>
        <w:t>年保险系公募基金新发基金数量（分类别）</w:t>
        <w:tab/>
      </w:r>
      <w:r>
        <w:rPr>
          <w:rFonts w:ascii="Arial" w:eastAsia="Arial"/>
          <w:sz w:val="21"/>
        </w:rPr>
        <w:t>32</w:t>
      </w:r>
    </w:p>
    <w:p>
      <w:pPr>
        <w:pStyle w:val="BodyText"/>
        <w:rPr>
          <w:rFonts w:ascii="Arial"/>
        </w:rPr>
      </w:pPr>
    </w:p>
    <w:p>
      <w:pPr>
        <w:pStyle w:val="BodyText"/>
        <w:rPr>
          <w:rFonts w:ascii="Arial"/>
        </w:rPr>
      </w:pPr>
    </w:p>
    <w:p>
      <w:pPr>
        <w:tabs>
          <w:tab w:val="left" w:pos="2083"/>
          <w:tab w:val="left" w:leader="dot" w:pos="10643"/>
        </w:tabs>
        <w:spacing w:before="161"/>
        <w:ind w:left="1492" w:right="0" w:firstLine="0"/>
        <w:jc w:val="left"/>
        <w:rPr>
          <w:rFonts w:ascii="Arial" w:eastAsia="Arial"/>
          <w:sz w:val="21"/>
        </w:rPr>
      </w:pPr>
      <w:r>
        <w:rPr>
          <w:sz w:val="21"/>
        </w:rPr>
        <w:t>表</w:t>
      </w:r>
      <w:r>
        <w:rPr>
          <w:spacing w:val="-51"/>
          <w:sz w:val="21"/>
        </w:rPr>
        <w:t xml:space="preserve"> </w:t>
      </w:r>
      <w:r>
        <w:rPr>
          <w:rFonts w:ascii="Arial" w:eastAsia="Arial"/>
          <w:sz w:val="21"/>
        </w:rPr>
        <w:t>1</w:t>
        <w:tab/>
      </w:r>
      <w:r>
        <w:rPr>
          <w:sz w:val="21"/>
        </w:rPr>
        <w:t>保险另类投资产品累计登记情况</w:t>
        <w:tab/>
      </w:r>
      <w:r>
        <w:rPr>
          <w:rFonts w:ascii="Arial" w:eastAsia="Arial"/>
          <w:sz w:val="21"/>
        </w:rPr>
        <w:t>3</w:t>
      </w:r>
    </w:p>
    <w:p>
      <w:pPr>
        <w:tabs>
          <w:tab w:val="left" w:pos="2083"/>
          <w:tab w:val="left" w:leader="dot" w:pos="10643"/>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z w:val="21"/>
        </w:rPr>
        <w:t>2</w:t>
        <w:tab/>
        <w:t>2023</w:t>
      </w:r>
      <w:r>
        <w:rPr>
          <w:rFonts w:ascii="Arial" w:eastAsia="Arial"/>
          <w:spacing w:val="-8"/>
          <w:sz w:val="21"/>
        </w:rPr>
        <w:t xml:space="preserve"> </w:t>
      </w:r>
      <w:r>
        <w:rPr>
          <w:sz w:val="21"/>
        </w:rPr>
        <w:t>年另类投资产品登记情况</w:t>
        <w:tab/>
      </w:r>
      <w:r>
        <w:rPr>
          <w:rFonts w:ascii="Arial" w:eastAsia="Arial"/>
          <w:sz w:val="21"/>
        </w:rPr>
        <w:t>3</w:t>
      </w:r>
    </w:p>
    <w:p>
      <w:pPr>
        <w:tabs>
          <w:tab w:val="left" w:pos="2083"/>
          <w:tab w:val="left" w:leader="dot" w:pos="10643"/>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z w:val="21"/>
        </w:rPr>
        <w:t>3</w:t>
        <w:tab/>
        <w:t>2023</w:t>
      </w:r>
      <w:r>
        <w:rPr>
          <w:rFonts w:ascii="Arial" w:eastAsia="Arial"/>
          <w:spacing w:val="-9"/>
          <w:sz w:val="21"/>
        </w:rPr>
        <w:t xml:space="preserve"> </w:t>
      </w:r>
      <w:r>
        <w:rPr>
          <w:sz w:val="21"/>
        </w:rPr>
        <w:t>年强化监管的相关政策文件</w:t>
        <w:tab/>
      </w:r>
      <w:r>
        <w:rPr>
          <w:rFonts w:ascii="Arial" w:eastAsia="Arial"/>
          <w:sz w:val="21"/>
        </w:rPr>
        <w:t>5</w:t>
      </w:r>
    </w:p>
    <w:p>
      <w:pPr>
        <w:tabs>
          <w:tab w:val="left" w:pos="2083"/>
          <w:tab w:val="left" w:leader="dot" w:pos="10643"/>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z w:val="21"/>
        </w:rPr>
        <w:t>4</w:t>
        <w:tab/>
        <w:t>2023</w:t>
      </w:r>
      <w:r>
        <w:rPr>
          <w:rFonts w:ascii="Arial" w:eastAsia="Arial"/>
          <w:spacing w:val="-9"/>
          <w:sz w:val="21"/>
        </w:rPr>
        <w:t xml:space="preserve"> </w:t>
      </w:r>
      <w:r>
        <w:rPr>
          <w:sz w:val="21"/>
        </w:rPr>
        <w:t>年深化保险产品供给侧改革的相关政策文件</w:t>
        <w:tab/>
      </w:r>
      <w:r>
        <w:rPr>
          <w:rFonts w:ascii="Arial" w:eastAsia="Arial"/>
          <w:sz w:val="21"/>
        </w:rPr>
        <w:t>6</w:t>
      </w:r>
    </w:p>
    <w:p>
      <w:pPr>
        <w:tabs>
          <w:tab w:val="left" w:pos="2083"/>
          <w:tab w:val="left" w:leader="dot" w:pos="10643"/>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z w:val="21"/>
        </w:rPr>
        <w:t>5</w:t>
        <w:tab/>
        <w:t>2023</w:t>
      </w:r>
      <w:r>
        <w:rPr>
          <w:rFonts w:ascii="Arial" w:eastAsia="Arial"/>
          <w:spacing w:val="-9"/>
          <w:sz w:val="21"/>
        </w:rPr>
        <w:t xml:space="preserve"> </w:t>
      </w:r>
      <w:r>
        <w:rPr>
          <w:sz w:val="21"/>
        </w:rPr>
        <w:t>年保险业参与养老的相关政策文件</w:t>
        <w:tab/>
      </w:r>
      <w:r>
        <w:rPr>
          <w:rFonts w:ascii="Arial" w:eastAsia="Arial"/>
          <w:sz w:val="21"/>
        </w:rPr>
        <w:t>7</w:t>
      </w:r>
    </w:p>
    <w:p>
      <w:pPr>
        <w:tabs>
          <w:tab w:val="left" w:pos="2083"/>
          <w:tab w:val="left" w:leader="dot" w:pos="10643"/>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z w:val="21"/>
        </w:rPr>
        <w:t>6</w:t>
        <w:tab/>
        <w:t>2023</w:t>
      </w:r>
      <w:r>
        <w:rPr>
          <w:rFonts w:ascii="Arial" w:eastAsia="Arial"/>
          <w:spacing w:val="-9"/>
          <w:sz w:val="21"/>
        </w:rPr>
        <w:t xml:space="preserve"> </w:t>
      </w:r>
      <w:r>
        <w:rPr>
          <w:sz w:val="21"/>
        </w:rPr>
        <w:t>年保险业支持实体经济、保障民生的相关政策文件</w:t>
        <w:tab/>
      </w:r>
      <w:r>
        <w:rPr>
          <w:rFonts w:ascii="Arial" w:eastAsia="Arial"/>
          <w:sz w:val="21"/>
        </w:rPr>
        <w:t>9</w:t>
      </w:r>
    </w:p>
    <w:p>
      <w:pPr>
        <w:tabs>
          <w:tab w:val="left" w:leader="dot" w:pos="10643"/>
        </w:tabs>
        <w:spacing w:before="43"/>
        <w:ind w:left="1492" w:right="0" w:firstLine="0"/>
        <w:jc w:val="left"/>
        <w:rPr>
          <w:rFonts w:ascii="Arial" w:eastAsia="Arial" w:hAnsi="Arial"/>
          <w:sz w:val="21"/>
        </w:rPr>
      </w:pPr>
      <w:r>
        <w:rPr>
          <w:sz w:val="21"/>
        </w:rPr>
        <w:t>表</w:t>
      </w:r>
      <w:r>
        <w:rPr>
          <w:spacing w:val="-54"/>
          <w:sz w:val="21"/>
        </w:rPr>
        <w:t xml:space="preserve"> </w:t>
      </w:r>
      <w:r>
        <w:rPr>
          <w:rFonts w:ascii="Arial" w:eastAsia="Arial" w:hAnsi="Arial"/>
          <w:sz w:val="21"/>
        </w:rPr>
        <w:t>7  </w:t>
      </w:r>
      <w:r>
        <w:rPr>
          <w:sz w:val="21"/>
        </w:rPr>
        <w:t>保险资产管理公司主要业务一览</w:t>
        <w:tab/>
      </w:r>
      <w:r>
        <w:rPr>
          <w:rFonts w:ascii="Arial" w:eastAsia="Arial" w:hAnsi="Arial"/>
          <w:sz w:val="21"/>
        </w:rPr>
        <w:t>9</w:t>
      </w:r>
    </w:p>
    <w:p>
      <w:pPr>
        <w:tabs>
          <w:tab w:val="left" w:pos="2083"/>
          <w:tab w:val="left" w:leader="dot" w:pos="10543"/>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z w:val="21"/>
        </w:rPr>
        <w:t>8</w:t>
        <w:tab/>
        <w:t>2023</w:t>
      </w:r>
      <w:r>
        <w:rPr>
          <w:rFonts w:ascii="Arial" w:eastAsia="Arial"/>
          <w:spacing w:val="-9"/>
          <w:sz w:val="21"/>
        </w:rPr>
        <w:t xml:space="preserve"> </w:t>
      </w:r>
      <w:r>
        <w:rPr>
          <w:sz w:val="21"/>
        </w:rPr>
        <w:t>年登记的绿色债权投资计划</w:t>
        <w:tab/>
      </w:r>
      <w:r>
        <w:rPr>
          <w:rFonts w:ascii="Arial" w:eastAsia="Arial"/>
          <w:spacing w:val="-6"/>
          <w:sz w:val="21"/>
        </w:rPr>
        <w:t>11</w:t>
      </w:r>
    </w:p>
    <w:p>
      <w:pPr>
        <w:tabs>
          <w:tab w:val="left" w:pos="2083"/>
          <w:tab w:val="left" w:leader="dot" w:pos="10528"/>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z w:val="21"/>
        </w:rPr>
        <w:t>9</w:t>
        <w:tab/>
        <w:t>2023</w:t>
      </w:r>
      <w:r>
        <w:rPr>
          <w:rFonts w:ascii="Arial" w:eastAsia="Arial"/>
          <w:spacing w:val="-9"/>
          <w:sz w:val="21"/>
        </w:rPr>
        <w:t xml:space="preserve"> </w:t>
      </w:r>
      <w:r>
        <w:rPr>
          <w:sz w:val="21"/>
        </w:rPr>
        <w:t>年纳入统计的保险公司认购的绿色债权投资计划</w:t>
        <w:tab/>
      </w:r>
      <w:r>
        <w:rPr>
          <w:rFonts w:ascii="Arial" w:eastAsia="Arial"/>
          <w:sz w:val="21"/>
        </w:rPr>
        <w:t>13</w:t>
      </w:r>
    </w:p>
    <w:p>
      <w:pPr>
        <w:tabs>
          <w:tab w:val="left" w:pos="2200"/>
          <w:tab w:val="left" w:leader="dot" w:pos="10528"/>
        </w:tabs>
        <w:spacing w:before="42"/>
        <w:ind w:left="1492" w:right="0" w:firstLine="0"/>
        <w:jc w:val="left"/>
        <w:rPr>
          <w:rFonts w:ascii="Arial" w:eastAsia="Arial"/>
          <w:sz w:val="21"/>
        </w:rPr>
      </w:pPr>
      <w:r>
        <w:rPr>
          <w:sz w:val="21"/>
        </w:rPr>
        <w:t>表</w:t>
      </w:r>
      <w:r>
        <w:rPr>
          <w:spacing w:val="-52"/>
          <w:sz w:val="21"/>
        </w:rPr>
        <w:t xml:space="preserve"> </w:t>
      </w:r>
      <w:r>
        <w:rPr>
          <w:rFonts w:ascii="Arial" w:eastAsia="Arial"/>
          <w:sz w:val="21"/>
        </w:rPr>
        <w:t>10</w:t>
        <w:tab/>
        <w:t>2023</w:t>
      </w:r>
      <w:r>
        <w:rPr>
          <w:rFonts w:ascii="Arial" w:eastAsia="Arial"/>
          <w:spacing w:val="-9"/>
          <w:sz w:val="21"/>
        </w:rPr>
        <w:t xml:space="preserve"> </w:t>
      </w:r>
      <w:r>
        <w:rPr>
          <w:sz w:val="21"/>
        </w:rPr>
        <w:t>年保险资管登记的股权投资计划</w:t>
        <w:tab/>
      </w:r>
      <w:r>
        <w:rPr>
          <w:rFonts w:ascii="Arial" w:eastAsia="Arial"/>
          <w:sz w:val="21"/>
        </w:rPr>
        <w:t>14</w:t>
      </w:r>
    </w:p>
    <w:p>
      <w:pPr>
        <w:tabs>
          <w:tab w:val="left" w:pos="2183"/>
          <w:tab w:val="left" w:leader="dot" w:pos="10528"/>
        </w:tabs>
        <w:spacing w:before="43"/>
        <w:ind w:left="1492" w:right="0" w:firstLine="0"/>
        <w:jc w:val="left"/>
        <w:rPr>
          <w:rFonts w:ascii="Arial" w:eastAsia="Arial"/>
          <w:sz w:val="21"/>
        </w:rPr>
      </w:pPr>
      <w:r>
        <w:rPr>
          <w:sz w:val="21"/>
        </w:rPr>
        <w:t>表</w:t>
      </w:r>
      <w:r>
        <w:rPr>
          <w:spacing w:val="-51"/>
          <w:sz w:val="21"/>
        </w:rPr>
        <w:t xml:space="preserve"> </w:t>
      </w:r>
      <w:r>
        <w:rPr>
          <w:rFonts w:ascii="Arial" w:eastAsia="Arial"/>
          <w:spacing w:val="-7"/>
          <w:sz w:val="21"/>
        </w:rPr>
        <w:t>11</w:t>
        <w:tab/>
      </w:r>
      <w:r>
        <w:rPr>
          <w:rFonts w:ascii="Arial" w:eastAsia="Arial"/>
          <w:sz w:val="21"/>
        </w:rPr>
        <w:t>2023</w:t>
      </w:r>
      <w:r>
        <w:rPr>
          <w:rFonts w:ascii="Arial" w:eastAsia="Arial"/>
          <w:spacing w:val="-6"/>
          <w:sz w:val="21"/>
        </w:rPr>
        <w:t xml:space="preserve"> </w:t>
      </w:r>
      <w:r>
        <w:rPr>
          <w:sz w:val="21"/>
        </w:rPr>
        <w:t>年纳入统计的保险公司认购的股权投资计划</w:t>
        <w:tab/>
      </w:r>
      <w:r>
        <w:rPr>
          <w:rFonts w:ascii="Arial" w:eastAsia="Arial"/>
          <w:sz w:val="21"/>
        </w:rPr>
        <w:t>15</w:t>
      </w:r>
    </w:p>
    <w:p>
      <w:pPr>
        <w:tabs>
          <w:tab w:val="left" w:pos="2200"/>
          <w:tab w:val="left" w:leader="dot" w:pos="10528"/>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12</w:t>
        <w:tab/>
        <w:t>2023</w:t>
      </w:r>
      <w:r>
        <w:rPr>
          <w:rFonts w:ascii="Arial" w:eastAsia="Arial"/>
          <w:spacing w:val="-10"/>
          <w:sz w:val="21"/>
        </w:rPr>
        <w:t xml:space="preserve"> </w:t>
      </w:r>
      <w:r>
        <w:rPr>
          <w:sz w:val="21"/>
        </w:rPr>
        <w:t>年中保登出具注册通知书的资产支持计划（登记规模百亿）</w:t>
        <w:tab/>
      </w:r>
      <w:r>
        <w:rPr>
          <w:rFonts w:ascii="Arial" w:eastAsia="Arial"/>
          <w:sz w:val="21"/>
        </w:rPr>
        <w:t>16</w:t>
      </w:r>
    </w:p>
    <w:p>
      <w:pPr>
        <w:tabs>
          <w:tab w:val="left" w:pos="2200"/>
          <w:tab w:val="left" w:leader="dot" w:pos="10528"/>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13</w:t>
        <w:tab/>
        <w:t>2023</w:t>
      </w:r>
      <w:r>
        <w:rPr>
          <w:rFonts w:ascii="Arial" w:eastAsia="Arial"/>
          <w:spacing w:val="-9"/>
          <w:sz w:val="21"/>
        </w:rPr>
        <w:t xml:space="preserve"> </w:t>
      </w:r>
      <w:r>
        <w:rPr>
          <w:sz w:val="21"/>
        </w:rPr>
        <w:t>年纳入统计的保险公司认购的资产支持计划（单笔认购金额超</w:t>
      </w:r>
      <w:r>
        <w:rPr>
          <w:spacing w:val="-56"/>
          <w:sz w:val="21"/>
        </w:rPr>
        <w:t xml:space="preserve"> </w:t>
      </w:r>
      <w:r>
        <w:rPr>
          <w:rFonts w:ascii="Arial" w:eastAsia="Arial"/>
          <w:sz w:val="21"/>
        </w:rPr>
        <w:t>5</w:t>
      </w:r>
      <w:r>
        <w:rPr>
          <w:rFonts w:ascii="Arial" w:eastAsia="Arial"/>
          <w:spacing w:val="-9"/>
          <w:sz w:val="21"/>
        </w:rPr>
        <w:t xml:space="preserve"> </w:t>
      </w:r>
      <w:r>
        <w:rPr>
          <w:sz w:val="21"/>
        </w:rPr>
        <w:t>亿元）</w:t>
        <w:tab/>
      </w:r>
      <w:r>
        <w:rPr>
          <w:rFonts w:ascii="Arial" w:eastAsia="Arial"/>
          <w:sz w:val="21"/>
        </w:rPr>
        <w:t>17</w:t>
      </w:r>
    </w:p>
    <w:p>
      <w:pPr>
        <w:tabs>
          <w:tab w:val="left" w:pos="2200"/>
          <w:tab w:val="left" w:leader="dot" w:pos="10528"/>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14</w:t>
        <w:tab/>
      </w:r>
      <w:r>
        <w:rPr>
          <w:sz w:val="21"/>
        </w:rPr>
        <w:t>保险资管产品按投资性质不同的分类</w:t>
        <w:tab/>
      </w:r>
      <w:r>
        <w:rPr>
          <w:rFonts w:ascii="Arial" w:eastAsia="Arial"/>
          <w:sz w:val="21"/>
        </w:rPr>
        <w:t>17</w:t>
      </w:r>
    </w:p>
    <w:p>
      <w:pPr>
        <w:tabs>
          <w:tab w:val="left" w:pos="2200"/>
          <w:tab w:val="left" w:leader="dot" w:pos="10528"/>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15</w:t>
        <w:tab/>
      </w:r>
      <w:r>
        <w:rPr>
          <w:sz w:val="21"/>
        </w:rPr>
        <w:t>股票型保险资管产品</w:t>
      </w:r>
      <w:r>
        <w:rPr>
          <w:spacing w:val="-55"/>
          <w:sz w:val="21"/>
        </w:rPr>
        <w:t xml:space="preserve"> </w:t>
      </w:r>
      <w:r>
        <w:rPr>
          <w:rFonts w:ascii="Arial" w:eastAsia="Arial"/>
          <w:sz w:val="21"/>
        </w:rPr>
        <w:t>2023</w:t>
      </w:r>
      <w:r>
        <w:rPr>
          <w:rFonts w:ascii="Arial" w:eastAsia="Arial"/>
          <w:spacing w:val="-8"/>
          <w:sz w:val="21"/>
        </w:rPr>
        <w:t xml:space="preserve"> </w:t>
      </w:r>
      <w:r>
        <w:rPr>
          <w:sz w:val="21"/>
        </w:rPr>
        <w:t>年收益前十</w:t>
        <w:tab/>
      </w:r>
      <w:r>
        <w:rPr>
          <w:rFonts w:ascii="Arial" w:eastAsia="Arial"/>
          <w:sz w:val="21"/>
        </w:rPr>
        <w:t>18</w:t>
      </w:r>
    </w:p>
    <w:p>
      <w:pPr>
        <w:tabs>
          <w:tab w:val="left" w:pos="2200"/>
          <w:tab w:val="left" w:leader="dot" w:pos="10528"/>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16</w:t>
        <w:tab/>
      </w:r>
      <w:r>
        <w:rPr>
          <w:sz w:val="21"/>
        </w:rPr>
        <w:t>混合型保险资管产品</w:t>
      </w:r>
      <w:r>
        <w:rPr>
          <w:spacing w:val="-55"/>
          <w:sz w:val="21"/>
        </w:rPr>
        <w:t xml:space="preserve"> </w:t>
      </w:r>
      <w:r>
        <w:rPr>
          <w:rFonts w:ascii="Arial" w:eastAsia="Arial"/>
          <w:sz w:val="21"/>
        </w:rPr>
        <w:t>2023</w:t>
      </w:r>
      <w:r>
        <w:rPr>
          <w:rFonts w:ascii="Arial" w:eastAsia="Arial"/>
          <w:spacing w:val="-8"/>
          <w:sz w:val="21"/>
        </w:rPr>
        <w:t xml:space="preserve"> </w:t>
      </w:r>
      <w:r>
        <w:rPr>
          <w:sz w:val="21"/>
        </w:rPr>
        <w:t>年收益前十</w:t>
        <w:tab/>
      </w:r>
      <w:r>
        <w:rPr>
          <w:rFonts w:ascii="Arial" w:eastAsia="Arial"/>
          <w:sz w:val="21"/>
        </w:rPr>
        <w:t>19</w:t>
      </w:r>
    </w:p>
    <w:p>
      <w:pPr>
        <w:spacing w:after="0"/>
        <w:jc w:val="left"/>
        <w:rPr>
          <w:rFonts w:ascii="Arial" w:eastAsia="Arial"/>
          <w:sz w:val="21"/>
        </w:rPr>
        <w:sectPr>
          <w:headerReference w:type="default" r:id="rId6"/>
          <w:footerReference w:type="default" r:id="rId7"/>
          <w:pgSz w:w="11910" w:h="16840"/>
          <w:pgMar w:top="1280" w:right="0" w:bottom="1000" w:left="0" w:header="708" w:footer="708"/>
          <w:pgNumType w:start="2"/>
          <w:cols w:space="708"/>
        </w:sectPr>
      </w:pPr>
    </w:p>
    <w:p>
      <w:pPr>
        <w:tabs>
          <w:tab w:val="left" w:pos="2200"/>
          <w:tab w:val="right" w:leader="dot" w:pos="10760"/>
        </w:tabs>
        <w:spacing w:before="75"/>
        <w:ind w:left="1492" w:right="0" w:firstLine="0"/>
        <w:jc w:val="left"/>
        <w:rPr>
          <w:rFonts w:ascii="Arial" w:eastAsia="Arial"/>
          <w:sz w:val="21"/>
        </w:rPr>
      </w:pPr>
      <w:r>
        <w:rPr>
          <w:sz w:val="21"/>
        </w:rPr>
        <w:t>表</w:t>
      </w:r>
      <w:r>
        <w:rPr>
          <w:spacing w:val="-52"/>
          <w:sz w:val="21"/>
        </w:rPr>
        <w:t xml:space="preserve"> </w:t>
      </w:r>
      <w:r>
        <w:rPr>
          <w:rFonts w:ascii="Arial" w:eastAsia="Arial"/>
          <w:sz w:val="21"/>
        </w:rPr>
        <w:t>17</w:t>
        <w:tab/>
      </w:r>
      <w:r>
        <w:rPr>
          <w:sz w:val="21"/>
        </w:rPr>
        <w:t>债券型保险资管产品</w:t>
      </w:r>
      <w:r>
        <w:rPr>
          <w:spacing w:val="-53"/>
          <w:sz w:val="21"/>
        </w:rPr>
        <w:t xml:space="preserve"> </w:t>
      </w:r>
      <w:r>
        <w:rPr>
          <w:rFonts w:ascii="Arial" w:eastAsia="Arial"/>
          <w:sz w:val="21"/>
        </w:rPr>
        <w:t>2023</w:t>
      </w:r>
      <w:r>
        <w:rPr>
          <w:rFonts w:ascii="Arial" w:eastAsia="Arial"/>
          <w:spacing w:val="-5"/>
          <w:sz w:val="21"/>
        </w:rPr>
        <w:t xml:space="preserve"> </w:t>
      </w:r>
      <w:r>
        <w:rPr>
          <w:sz w:val="21"/>
        </w:rPr>
        <w:t>年收益前十</w:t>
        <w:tab/>
      </w:r>
      <w:r>
        <w:rPr>
          <w:rFonts w:ascii="Arial" w:eastAsia="Arial"/>
          <w:sz w:val="21"/>
        </w:rPr>
        <w:t>20</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18</w:t>
        <w:tab/>
      </w:r>
      <w:r>
        <w:rPr>
          <w:sz w:val="21"/>
        </w:rPr>
        <w:t>货币型保险资产管理产品七日年化收益率均值前十</w:t>
        <w:tab/>
      </w:r>
      <w:r>
        <w:rPr>
          <w:rFonts w:ascii="Arial" w:eastAsia="Arial"/>
          <w:sz w:val="21"/>
        </w:rPr>
        <w:t>20</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19</w:t>
        <w:tab/>
      </w:r>
      <w:r>
        <w:rPr>
          <w:sz w:val="21"/>
        </w:rPr>
        <w:t>量化类保险资管产品</w:t>
      </w:r>
      <w:r>
        <w:rPr>
          <w:spacing w:val="-53"/>
          <w:sz w:val="21"/>
        </w:rPr>
        <w:t xml:space="preserve"> </w:t>
      </w:r>
      <w:r>
        <w:rPr>
          <w:rFonts w:ascii="Arial" w:eastAsia="Arial"/>
          <w:sz w:val="21"/>
        </w:rPr>
        <w:t>2023</w:t>
      </w:r>
      <w:r>
        <w:rPr>
          <w:rFonts w:ascii="Arial" w:eastAsia="Arial"/>
          <w:spacing w:val="-5"/>
          <w:sz w:val="21"/>
        </w:rPr>
        <w:t xml:space="preserve"> </w:t>
      </w:r>
      <w:r>
        <w:rPr>
          <w:sz w:val="21"/>
        </w:rPr>
        <w:t>年收益前十</w:t>
        <w:tab/>
      </w:r>
      <w:r>
        <w:rPr>
          <w:rFonts w:ascii="Arial" w:eastAsia="Arial"/>
          <w:sz w:val="21"/>
        </w:rPr>
        <w:t>21</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20</w:t>
        <w:tab/>
        <w:t>FOF/MOM</w:t>
      </w:r>
      <w:r>
        <w:rPr>
          <w:rFonts w:ascii="Arial" w:eastAsia="Arial"/>
          <w:spacing w:val="-2"/>
          <w:sz w:val="21"/>
        </w:rPr>
        <w:t xml:space="preserve"> </w:t>
      </w:r>
      <w:r>
        <w:rPr>
          <w:sz w:val="21"/>
        </w:rPr>
        <w:t>类保险资产管理产品</w:t>
      </w:r>
      <w:r>
        <w:rPr>
          <w:spacing w:val="-53"/>
          <w:sz w:val="21"/>
        </w:rPr>
        <w:t xml:space="preserve"> </w:t>
      </w:r>
      <w:r>
        <w:rPr>
          <w:rFonts w:ascii="Arial" w:eastAsia="Arial"/>
          <w:sz w:val="21"/>
        </w:rPr>
        <w:t>2023</w:t>
      </w:r>
      <w:r>
        <w:rPr>
          <w:rFonts w:ascii="Arial" w:eastAsia="Arial"/>
          <w:spacing w:val="-6"/>
          <w:sz w:val="21"/>
        </w:rPr>
        <w:t xml:space="preserve"> </w:t>
      </w:r>
      <w:r>
        <w:rPr>
          <w:sz w:val="21"/>
        </w:rPr>
        <w:t>年收益前十</w:t>
        <w:tab/>
      </w:r>
      <w:r>
        <w:rPr>
          <w:rFonts w:ascii="Arial" w:eastAsia="Arial"/>
          <w:sz w:val="21"/>
        </w:rPr>
        <w:t>21</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21</w:t>
        <w:tab/>
      </w:r>
      <w:r>
        <w:rPr>
          <w:sz w:val="21"/>
        </w:rPr>
        <w:t>全国企业年金基金历年基本情况</w:t>
        <w:tab/>
      </w:r>
      <w:r>
        <w:rPr>
          <w:rFonts w:ascii="Arial" w:eastAsia="Arial"/>
          <w:sz w:val="21"/>
        </w:rPr>
        <w:t>22</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22</w:t>
        <w:tab/>
      </w:r>
      <w:r>
        <w:rPr>
          <w:sz w:val="21"/>
        </w:rPr>
        <w:t>企业年金基金管理机构</w:t>
        <w:tab/>
      </w:r>
      <w:r>
        <w:rPr>
          <w:rFonts w:ascii="Arial" w:eastAsia="Arial"/>
          <w:sz w:val="21"/>
        </w:rPr>
        <w:t>24</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23</w:t>
        <w:tab/>
      </w:r>
      <w:r>
        <w:rPr>
          <w:sz w:val="21"/>
        </w:rPr>
        <w:t>保险机构企业年金牌照分布及管理情况（截至</w:t>
      </w:r>
      <w:r>
        <w:rPr>
          <w:spacing w:val="-53"/>
          <w:sz w:val="21"/>
        </w:rPr>
        <w:t xml:space="preserve"> </w:t>
      </w:r>
      <w:r>
        <w:rPr>
          <w:rFonts w:ascii="Arial" w:eastAsia="Arial"/>
          <w:sz w:val="21"/>
        </w:rPr>
        <w:t>2023</w:t>
      </w:r>
      <w:r>
        <w:rPr>
          <w:rFonts w:ascii="Arial" w:eastAsia="Arial"/>
          <w:spacing w:val="49"/>
          <w:sz w:val="21"/>
        </w:rPr>
        <w:t xml:space="preserve"> </w:t>
      </w:r>
      <w:r>
        <w:rPr>
          <w:sz w:val="21"/>
        </w:rPr>
        <w:t>年三季度末）</w:t>
        <w:tab/>
      </w:r>
      <w:r>
        <w:rPr>
          <w:rFonts w:ascii="Arial" w:eastAsia="Arial"/>
          <w:sz w:val="21"/>
        </w:rPr>
        <w:t>25</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24</w:t>
        <w:tab/>
        <w:t>2023</w:t>
      </w:r>
      <w:r>
        <w:rPr>
          <w:rFonts w:ascii="Arial" w:eastAsia="Arial"/>
          <w:spacing w:val="-5"/>
          <w:sz w:val="21"/>
        </w:rPr>
        <w:t xml:space="preserve"> </w:t>
      </w:r>
      <w:r>
        <w:rPr>
          <w:sz w:val="21"/>
        </w:rPr>
        <w:t>年三季度企业年金养老金产品分类汇总情况表</w:t>
        <w:tab/>
      </w:r>
      <w:r>
        <w:rPr>
          <w:rFonts w:ascii="Arial" w:eastAsia="Arial"/>
          <w:sz w:val="21"/>
        </w:rPr>
        <w:t>26</w:t>
      </w:r>
    </w:p>
    <w:p>
      <w:pPr>
        <w:tabs>
          <w:tab w:val="left" w:pos="2200"/>
          <w:tab w:val="right" w:leader="dot" w:pos="10760"/>
        </w:tabs>
        <w:spacing w:before="42"/>
        <w:ind w:left="1492" w:right="0" w:firstLine="0"/>
        <w:jc w:val="left"/>
        <w:rPr>
          <w:rFonts w:ascii="Arial" w:eastAsia="Arial"/>
          <w:sz w:val="21"/>
        </w:rPr>
      </w:pPr>
      <w:r>
        <w:rPr>
          <w:sz w:val="21"/>
        </w:rPr>
        <w:t>表</w:t>
      </w:r>
      <w:r>
        <w:rPr>
          <w:spacing w:val="-52"/>
          <w:sz w:val="21"/>
        </w:rPr>
        <w:t xml:space="preserve"> </w:t>
      </w:r>
      <w:r>
        <w:rPr>
          <w:rFonts w:ascii="Arial" w:eastAsia="Arial"/>
          <w:sz w:val="21"/>
        </w:rPr>
        <w:t>25</w:t>
        <w:tab/>
      </w:r>
      <w:r>
        <w:rPr>
          <w:sz w:val="21"/>
        </w:rPr>
        <w:t>纳入统计的年金养老金产品概况</w:t>
        <w:tab/>
      </w:r>
      <w:r>
        <w:rPr>
          <w:rFonts w:ascii="Arial" w:eastAsia="Arial"/>
          <w:sz w:val="21"/>
        </w:rPr>
        <w:t>26</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26</w:t>
        <w:tab/>
      </w:r>
      <w:r>
        <w:rPr>
          <w:sz w:val="21"/>
        </w:rPr>
        <w:t>各类年金养老金产品中收益水平较高的产品</w:t>
        <w:tab/>
      </w:r>
      <w:r>
        <w:rPr>
          <w:rFonts w:ascii="Arial" w:eastAsia="Arial"/>
          <w:sz w:val="21"/>
        </w:rPr>
        <w:t>27</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27</w:t>
        <w:tab/>
      </w:r>
      <w:r>
        <w:rPr>
          <w:sz w:val="21"/>
        </w:rPr>
        <w:t>部分在售专属商业养老保险产品业绩表现</w:t>
        <w:tab/>
      </w:r>
      <w:r>
        <w:rPr>
          <w:rFonts w:ascii="Arial" w:eastAsia="Arial"/>
          <w:sz w:val="21"/>
        </w:rPr>
        <w:t>29</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28</w:t>
        <w:tab/>
      </w:r>
      <w:r>
        <w:rPr>
          <w:sz w:val="21"/>
        </w:rPr>
        <w:t>部分公司养老保障管理业务情况</w:t>
        <w:tab/>
      </w:r>
      <w:r>
        <w:rPr>
          <w:rFonts w:ascii="Arial" w:eastAsia="Arial"/>
          <w:sz w:val="21"/>
        </w:rPr>
        <w:t>30</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29</w:t>
        <w:tab/>
      </w:r>
      <w:r>
        <w:rPr>
          <w:sz w:val="21"/>
        </w:rPr>
        <w:t>商业养老金产品</w:t>
        <w:tab/>
      </w:r>
      <w:r>
        <w:rPr>
          <w:rFonts w:ascii="Arial" w:eastAsia="Arial"/>
          <w:sz w:val="21"/>
        </w:rPr>
        <w:t>31</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30</w:t>
        <w:tab/>
      </w:r>
      <w:r>
        <w:rPr>
          <w:sz w:val="21"/>
        </w:rPr>
        <w:t>保险系公募规模（</w:t>
      </w:r>
      <w:r>
        <w:rPr>
          <w:rFonts w:ascii="Arial" w:eastAsia="Arial"/>
          <w:sz w:val="21"/>
        </w:rPr>
        <w:t>2023</w:t>
      </w:r>
      <w:r>
        <w:rPr>
          <w:rFonts w:ascii="Arial" w:eastAsia="Arial"/>
          <w:spacing w:val="-5"/>
          <w:sz w:val="21"/>
        </w:rPr>
        <w:t xml:space="preserve"> </w:t>
      </w:r>
      <w:r>
        <w:rPr>
          <w:sz w:val="21"/>
        </w:rPr>
        <w:t>年）</w:t>
        <w:tab/>
      </w:r>
      <w:r>
        <w:rPr>
          <w:rFonts w:ascii="Arial" w:eastAsia="Arial"/>
          <w:sz w:val="21"/>
        </w:rPr>
        <w:t>32</w:t>
      </w:r>
    </w:p>
    <w:p>
      <w:pPr>
        <w:tabs>
          <w:tab w:val="left" w:pos="2200"/>
          <w:tab w:val="right" w:leader="dot" w:pos="10760"/>
        </w:tabs>
        <w:spacing w:before="43"/>
        <w:ind w:left="1492" w:right="0" w:firstLine="0"/>
        <w:jc w:val="left"/>
        <w:rPr>
          <w:rFonts w:ascii="Arial" w:eastAsia="Arial"/>
          <w:sz w:val="21"/>
        </w:rPr>
      </w:pPr>
      <w:r>
        <w:rPr>
          <w:sz w:val="21"/>
        </w:rPr>
        <w:t>表</w:t>
      </w:r>
      <w:r>
        <w:rPr>
          <w:spacing w:val="-52"/>
          <w:sz w:val="21"/>
        </w:rPr>
        <w:t xml:space="preserve"> </w:t>
      </w:r>
      <w:r>
        <w:rPr>
          <w:rFonts w:ascii="Arial" w:eastAsia="Arial"/>
          <w:sz w:val="21"/>
        </w:rPr>
        <w:t>31</w:t>
        <w:tab/>
      </w:r>
      <w:r>
        <w:rPr>
          <w:sz w:val="21"/>
        </w:rPr>
        <w:t>保险系公募基金在管产品情况（收益率排名前五）</w:t>
        <w:tab/>
      </w:r>
      <w:r>
        <w:rPr>
          <w:rFonts w:ascii="Arial" w:eastAsia="Arial"/>
          <w:sz w:val="21"/>
        </w:rPr>
        <w:t>32</w:t>
      </w:r>
    </w:p>
    <w:p>
      <w:pPr>
        <w:spacing w:after="0"/>
        <w:jc w:val="left"/>
        <w:rPr>
          <w:rFonts w:ascii="Arial" w:eastAsia="Arial"/>
          <w:sz w:val="21"/>
        </w:rPr>
        <w:sectPr>
          <w:headerReference w:type="default" r:id="rId8"/>
          <w:footerReference w:type="default" r:id="rId9"/>
          <w:pgSz w:w="11910" w:h="16840"/>
          <w:pgMar w:top="1280" w:right="0" w:bottom="1000" w:left="0" w:header="708" w:footer="708"/>
          <w:pgNumType w:start="3"/>
          <w:cols w:space="708"/>
        </w:sectPr>
      </w:pPr>
    </w:p>
    <w:p>
      <w:pPr>
        <w:pStyle w:val="BodyText"/>
        <w:spacing w:before="8"/>
        <w:rPr>
          <w:rFonts w:ascii="Arial"/>
          <w:sz w:val="28"/>
        </w:rPr>
      </w:pPr>
    </w:p>
    <w:p>
      <w:pPr>
        <w:pStyle w:val="Heading1"/>
        <w:numPr>
          <w:ilvl w:val="0"/>
          <w:numId w:val="5"/>
        </w:numPr>
        <w:tabs>
          <w:tab w:val="left" w:pos="1386"/>
        </w:tabs>
        <w:spacing w:before="1" w:after="0" w:line="240" w:lineRule="auto"/>
        <w:ind w:left="1385" w:right="0" w:hanging="254"/>
        <w:jc w:val="left"/>
      </w:pPr>
      <w:bookmarkStart w:id="0" w:name="_TOC_250012"/>
      <w:bookmarkEnd w:id="0"/>
      <w:r>
        <w:t>行业规模增速稳中向上，多元配置、适当增配固收类资产熨平波动</w:t>
      </w:r>
    </w:p>
    <w:p>
      <w:pPr>
        <w:pStyle w:val="Heading4"/>
        <w:spacing w:before="293"/>
        <w:ind w:left="0" w:right="1101"/>
        <w:jc w:val="right"/>
      </w:pPr>
      <w:r>
        <w:rPr>
          <w:spacing w:val="-19"/>
        </w:rPr>
        <w:t xml:space="preserve">截至 </w:t>
      </w:r>
      <w:r>
        <w:rPr>
          <w:rFonts w:ascii="Arial" w:eastAsia="Arial"/>
        </w:rPr>
        <w:t>2023</w:t>
      </w:r>
      <w:r>
        <w:rPr>
          <w:rFonts w:ascii="Arial" w:eastAsia="Arial"/>
          <w:spacing w:val="-5"/>
        </w:rPr>
        <w:t xml:space="preserve"> </w:t>
      </w:r>
      <w:r>
        <w:rPr>
          <w:spacing w:val="-10"/>
        </w:rPr>
        <w:t xml:space="preserve">年底，保险行业总资产规模达 </w:t>
      </w:r>
      <w:r>
        <w:rPr>
          <w:rFonts w:ascii="Arial" w:eastAsia="Arial"/>
        </w:rPr>
        <w:t>29.96</w:t>
      </w:r>
      <w:r>
        <w:rPr>
          <w:rFonts w:ascii="Arial" w:eastAsia="Arial"/>
          <w:spacing w:val="-5"/>
        </w:rPr>
        <w:t xml:space="preserve"> </w:t>
      </w:r>
      <w:r>
        <w:rPr>
          <w:spacing w:val="-14"/>
        </w:rPr>
        <w:t xml:space="preserve">万亿元，较 </w:t>
      </w:r>
      <w:r>
        <w:rPr>
          <w:rFonts w:ascii="Arial" w:eastAsia="Arial"/>
        </w:rPr>
        <w:t>2022</w:t>
      </w:r>
      <w:r>
        <w:rPr>
          <w:rFonts w:ascii="Arial" w:eastAsia="Arial"/>
          <w:spacing w:val="-6"/>
        </w:rPr>
        <w:t xml:space="preserve"> </w:t>
      </w:r>
      <w:r>
        <w:rPr>
          <w:spacing w:val="-11"/>
        </w:rPr>
        <w:t xml:space="preserve">年末增长 </w:t>
      </w:r>
      <w:r>
        <w:rPr>
          <w:rFonts w:ascii="Arial" w:eastAsia="Arial"/>
          <w:spacing w:val="-5"/>
        </w:rPr>
        <w:t>10.35%</w:t>
      </w:r>
      <w:r>
        <w:rPr>
          <w:spacing w:val="-2"/>
        </w:rPr>
        <w:t>，增速呈持续</w:t>
      </w:r>
    </w:p>
    <w:p>
      <w:pPr>
        <w:spacing w:before="30"/>
        <w:ind w:left="0" w:right="1113" w:firstLine="0"/>
        <w:jc w:val="right"/>
        <w:rPr>
          <w:sz w:val="22"/>
        </w:rPr>
      </w:pPr>
      <w:r>
        <w:rPr>
          <w:b/>
          <w:spacing w:val="-3"/>
          <w:sz w:val="22"/>
        </w:rPr>
        <w:t xml:space="preserve">回升态势；净资产 </w:t>
      </w:r>
      <w:r>
        <w:rPr>
          <w:rFonts w:ascii="Arial" w:eastAsia="Arial"/>
          <w:b/>
          <w:sz w:val="22"/>
        </w:rPr>
        <w:t>2.73</w:t>
      </w:r>
      <w:r>
        <w:rPr>
          <w:rFonts w:ascii="Arial" w:eastAsia="Arial"/>
          <w:b/>
          <w:spacing w:val="26"/>
          <w:sz w:val="22"/>
        </w:rPr>
        <w:t xml:space="preserve"> </w:t>
      </w:r>
      <w:r>
        <w:rPr>
          <w:b/>
          <w:sz w:val="22"/>
        </w:rPr>
        <w:t>万亿元，增速由负转正。</w:t>
      </w:r>
      <w:r>
        <w:rPr>
          <w:sz w:val="22"/>
        </w:rPr>
        <w:t>人身险公司资产的高增速是助推保险行业总资产规</w:t>
      </w:r>
    </w:p>
    <w:p>
      <w:pPr>
        <w:pStyle w:val="BodyText"/>
        <w:spacing w:before="30"/>
        <w:ind w:right="1161"/>
        <w:jc w:val="right"/>
      </w:pPr>
      <w:r>
        <w:rPr>
          <w:spacing w:val="-3"/>
        </w:rPr>
        <w:t>模增速持续回升的最主要推动力，具体来看，</w:t>
      </w:r>
      <w:r>
        <w:rPr>
          <w:rFonts w:ascii="Arial" w:eastAsia="Arial"/>
        </w:rPr>
        <w:t>2023</w:t>
      </w:r>
      <w:r>
        <w:rPr>
          <w:rFonts w:ascii="Arial" w:eastAsia="Arial"/>
          <w:spacing w:val="-6"/>
        </w:rPr>
        <w:t xml:space="preserve"> </w:t>
      </w:r>
      <w:r>
        <w:rPr>
          <w:spacing w:val="-10"/>
        </w:rPr>
        <w:t xml:space="preserve">产险公司总资产 </w:t>
      </w:r>
      <w:r>
        <w:rPr>
          <w:rFonts w:ascii="Arial" w:eastAsia="Arial"/>
        </w:rPr>
        <w:t>2.76</w:t>
      </w:r>
      <w:r>
        <w:rPr>
          <w:rFonts w:ascii="Arial" w:eastAsia="Arial"/>
          <w:spacing w:val="-7"/>
        </w:rPr>
        <w:t xml:space="preserve"> </w:t>
      </w:r>
      <w:r>
        <w:rPr>
          <w:spacing w:val="-11"/>
        </w:rPr>
        <w:t xml:space="preserve">万亿元，较 </w:t>
      </w:r>
      <w:r>
        <w:rPr>
          <w:rFonts w:ascii="Arial" w:eastAsia="Arial"/>
        </w:rPr>
        <w:t>2022</w:t>
      </w:r>
      <w:r>
        <w:rPr>
          <w:rFonts w:ascii="Arial" w:eastAsia="Arial"/>
          <w:spacing w:val="-7"/>
        </w:rPr>
        <w:t xml:space="preserve"> </w:t>
      </w:r>
      <w:r>
        <w:t>年末增长</w:t>
      </w:r>
    </w:p>
    <w:p>
      <w:pPr>
        <w:pStyle w:val="BodyText"/>
        <w:spacing w:before="30"/>
        <w:ind w:left="1132"/>
        <w:rPr>
          <w:rFonts w:ascii="Arial" w:eastAsia="Arial"/>
        </w:rPr>
      </w:pPr>
      <w:r>
        <w:rPr>
          <w:rFonts w:ascii="Arial" w:eastAsia="Arial"/>
        </w:rPr>
        <w:t>3.37%</w:t>
      </w:r>
      <w:r>
        <w:rPr>
          <w:spacing w:val="-4"/>
        </w:rPr>
        <w:t xml:space="preserve">；人身险公司总资产 </w:t>
      </w:r>
      <w:r>
        <w:rPr>
          <w:rFonts w:ascii="Arial" w:eastAsia="Arial"/>
        </w:rPr>
        <w:t>25.83</w:t>
      </w:r>
      <w:r>
        <w:rPr>
          <w:rFonts w:ascii="Arial" w:eastAsia="Arial"/>
          <w:spacing w:val="5"/>
        </w:rPr>
        <w:t xml:space="preserve"> </w:t>
      </w:r>
      <w:r>
        <w:rPr>
          <w:spacing w:val="-5"/>
        </w:rPr>
        <w:t xml:space="preserve">万亿元，较 </w:t>
      </w:r>
      <w:r>
        <w:rPr>
          <w:rFonts w:ascii="Arial" w:eastAsia="Arial"/>
        </w:rPr>
        <w:t>2022</w:t>
      </w:r>
      <w:r>
        <w:rPr>
          <w:rFonts w:ascii="Arial" w:eastAsia="Arial"/>
          <w:spacing w:val="5"/>
        </w:rPr>
        <w:t xml:space="preserve"> </w:t>
      </w:r>
      <w:r>
        <w:rPr>
          <w:spacing w:val="-7"/>
        </w:rPr>
        <w:t xml:space="preserve">年末增长 </w:t>
      </w:r>
      <w:r>
        <w:rPr>
          <w:rFonts w:ascii="Arial" w:eastAsia="Arial"/>
        </w:rPr>
        <w:t>10.53%</w:t>
      </w:r>
      <w:r>
        <w:rPr>
          <w:spacing w:val="-4"/>
        </w:rPr>
        <w:t xml:space="preserve">；再保险公司总资产 </w:t>
      </w:r>
      <w:r>
        <w:rPr>
          <w:rFonts w:ascii="Arial" w:eastAsia="Arial"/>
        </w:rPr>
        <w:t>7471.00</w:t>
      </w:r>
    </w:p>
    <w:p>
      <w:pPr>
        <w:pStyle w:val="BodyText"/>
        <w:spacing w:before="30"/>
        <w:ind w:left="1132"/>
      </w:pPr>
      <w:r>
        <w:t xml:space="preserve">亿元，较 </w:t>
      </w:r>
      <w:r>
        <w:rPr>
          <w:rFonts w:ascii="Arial" w:eastAsia="Arial"/>
        </w:rPr>
        <w:t xml:space="preserve">2022 </w:t>
      </w:r>
      <w:r>
        <w:t xml:space="preserve">年末增长 </w:t>
      </w:r>
      <w:r>
        <w:rPr>
          <w:rFonts w:ascii="Arial" w:eastAsia="Arial"/>
        </w:rPr>
        <w:t>11.19%</w:t>
      </w:r>
      <w:r>
        <w:t xml:space="preserve">；资产管理公司总资产 </w:t>
      </w:r>
      <w:r>
        <w:rPr>
          <w:rFonts w:ascii="Arial" w:eastAsia="Arial"/>
        </w:rPr>
        <w:t xml:space="preserve">1052.00 </w:t>
      </w:r>
      <w:r>
        <w:t xml:space="preserve">亿元，较 </w:t>
      </w:r>
      <w:r>
        <w:rPr>
          <w:rFonts w:ascii="Arial" w:eastAsia="Arial"/>
        </w:rPr>
        <w:t xml:space="preserve">2022 </w:t>
      </w:r>
      <w:r>
        <w:t xml:space="preserve">年末增长 </w:t>
      </w:r>
      <w:r>
        <w:rPr>
          <w:rFonts w:ascii="Arial" w:eastAsia="Arial"/>
        </w:rPr>
        <w:t>1.54%</w:t>
      </w:r>
      <w:r>
        <w:t>。</w:t>
      </w:r>
    </w:p>
    <w:p>
      <w:pPr>
        <w:pStyle w:val="BodyText"/>
        <w:spacing w:before="186" w:line="266" w:lineRule="auto"/>
        <w:ind w:left="1132" w:right="1127" w:firstLine="441"/>
        <w:jc w:val="both"/>
      </w:pPr>
      <w:r>
        <w:rPr>
          <w:spacing w:val="-19"/>
        </w:rPr>
        <w:t>前期</w:t>
      </w:r>
      <w:r>
        <w:t>（</w:t>
      </w:r>
      <w:r>
        <w:rPr>
          <w:rFonts w:ascii="Arial" w:eastAsia="Arial"/>
        </w:rPr>
        <w:t xml:space="preserve">2012 </w:t>
      </w:r>
      <w:r>
        <w:t>年</w:t>
      </w:r>
      <w:r>
        <w:rPr>
          <w:rFonts w:ascii="Arial" w:eastAsia="Arial"/>
        </w:rPr>
        <w:t xml:space="preserve">-2016 </w:t>
      </w:r>
      <w:r>
        <w:t>年</w:t>
      </w:r>
      <w:r>
        <w:rPr>
          <w:spacing w:val="-37"/>
        </w:rPr>
        <w:t>）</w:t>
      </w:r>
      <w:r>
        <w:rPr>
          <w:spacing w:val="-5"/>
        </w:rPr>
        <w:t>保险行业市场化改革后总资产规模高速扩张，但也面临了复杂的内外部风险形势；</w:t>
      </w:r>
      <w:r>
        <w:rPr>
          <w:rFonts w:ascii="Arial" w:eastAsia="Arial"/>
          <w:spacing w:val="-5"/>
        </w:rPr>
        <w:t xml:space="preserve">2017 </w:t>
      </w:r>
      <w:r>
        <w:t>年至今，保险行业围绕服务实体经济、防控金融风险、深化金融改革等任务，不断</w:t>
      </w:r>
      <w:r>
        <w:rPr>
          <w:spacing w:val="-3"/>
        </w:rPr>
        <w:t>加强和改进监管工作，随之进入高质量发展阶段。</w:t>
      </w:r>
    </w:p>
    <w:p>
      <w:pPr>
        <w:tabs>
          <w:tab w:val="left" w:pos="1276"/>
          <w:tab w:val="left" w:pos="6088"/>
        </w:tabs>
        <w:spacing w:before="164" w:after="13"/>
        <w:ind w:left="715" w:right="0" w:firstLine="0"/>
        <w:jc w:val="left"/>
        <w:rPr>
          <w:sz w:val="20"/>
        </w:rPr>
      </w:pPr>
      <w:r>
        <w:rPr>
          <w:sz w:val="20"/>
        </w:rPr>
        <w:t>图</w:t>
      </w:r>
      <w:r>
        <w:rPr>
          <w:spacing w:val="-51"/>
          <w:sz w:val="20"/>
        </w:rPr>
        <w:t xml:space="preserve"> </w:t>
      </w:r>
      <w:r>
        <w:rPr>
          <w:rFonts w:ascii="Arial" w:eastAsia="Arial"/>
          <w:sz w:val="20"/>
        </w:rPr>
        <w:t>1</w:t>
        <w:tab/>
        <w:t>2005-2023</w:t>
      </w:r>
      <w:r>
        <w:rPr>
          <w:rFonts w:ascii="Arial" w:eastAsia="Arial"/>
          <w:spacing w:val="-7"/>
          <w:sz w:val="20"/>
        </w:rPr>
        <w:t xml:space="preserve"> </w:t>
      </w:r>
      <w:r>
        <w:rPr>
          <w:sz w:val="20"/>
        </w:rPr>
        <w:t>年保险行业总资产规模情况（万亿）</w:t>
        <w:tab/>
        <w:t>图</w:t>
      </w:r>
      <w:r>
        <w:rPr>
          <w:spacing w:val="-50"/>
          <w:sz w:val="20"/>
        </w:rPr>
        <w:t xml:space="preserve"> </w:t>
      </w:r>
      <w:r>
        <w:rPr>
          <w:rFonts w:ascii="Arial" w:eastAsia="Arial"/>
          <w:sz w:val="20"/>
        </w:rPr>
        <w:t>2</w:t>
      </w:r>
      <w:r>
        <w:rPr>
          <w:rFonts w:ascii="Arial" w:eastAsia="Arial"/>
          <w:spacing w:val="30"/>
          <w:sz w:val="20"/>
        </w:rPr>
        <w:t xml:space="preserve"> </w:t>
      </w:r>
      <w:r>
        <w:rPr>
          <w:rFonts w:ascii="Arial" w:eastAsia="Arial"/>
          <w:sz w:val="20"/>
        </w:rPr>
        <w:t>2005</w:t>
      </w:r>
      <w:r>
        <w:rPr>
          <w:rFonts w:ascii="Arial" w:eastAsia="Arial"/>
          <w:spacing w:val="-5"/>
          <w:sz w:val="20"/>
        </w:rPr>
        <w:t xml:space="preserve"> </w:t>
      </w:r>
      <w:r>
        <w:rPr>
          <w:sz w:val="20"/>
        </w:rPr>
        <w:t>年</w:t>
      </w:r>
      <w:r>
        <w:rPr>
          <w:rFonts w:ascii="Arial" w:eastAsia="Arial"/>
          <w:sz w:val="20"/>
        </w:rPr>
        <w:t>-2023</w:t>
      </w:r>
      <w:r>
        <w:rPr>
          <w:rFonts w:ascii="Arial" w:eastAsia="Arial"/>
          <w:spacing w:val="-3"/>
          <w:sz w:val="20"/>
        </w:rPr>
        <w:t xml:space="preserve"> </w:t>
      </w:r>
      <w:r>
        <w:rPr>
          <w:sz w:val="20"/>
        </w:rPr>
        <w:t>年保险行业总资产增速情况</w:t>
      </w:r>
    </w:p>
    <w:p>
      <w:pPr>
        <w:tabs>
          <w:tab w:val="left" w:pos="6073"/>
        </w:tabs>
        <w:spacing w:line="30" w:lineRule="exact"/>
        <w:ind w:left="700" w:right="0" w:firstLine="0"/>
        <w:rPr>
          <w:sz w:val="3"/>
        </w:rPr>
      </w:pPr>
      <w:r>
        <w:rPr>
          <w:position w:val="0"/>
          <w:sz w:val="3"/>
        </w:rPr>
        <w:pict>
          <v:group id="_x0000_i1025" style="width:255.1pt;height:1.45pt;mso-position-horizontal-relative:char;mso-position-vertical-relative:line" coordorigin="0,0" coordsize="5102,29">
            <v:line id="_x0000_s1026" style="position:absolute" from="0,14" to="5102,14" stroked="t" strokecolor="#c00" strokeweight="1.44pt">
              <v:stroke dashstyle="solid"/>
            </v:line>
            <w10:wrap type="none"/>
          </v:group>
        </w:pict>
      </w:r>
      <w:r>
        <w:rPr>
          <w:position w:val="0"/>
          <w:sz w:val="3"/>
        </w:rPr>
        <w:tab/>
      </w:r>
      <w:r>
        <w:rPr>
          <w:position w:val="0"/>
          <w:sz w:val="3"/>
        </w:rPr>
        <w:pict>
          <v:group id="_x0000_i1027" style="width:255.1pt;height:1.45pt;mso-position-horizontal-relative:char;mso-position-vertical-relative:line" coordorigin="0,0" coordsize="5102,29">
            <v:line id="_x0000_s1028" style="position:absolute" from="0,14" to="5102,14" stroked="t" strokecolor="#c00" strokeweight="1.44pt">
              <v:stroke dashstyle="solid"/>
            </v:line>
            <w10:wrap type="none"/>
          </v:group>
        </w:pict>
      </w:r>
    </w:p>
    <w:p>
      <w:pPr>
        <w:pStyle w:val="BodyText"/>
        <w:spacing w:before="1"/>
        <w:rPr>
          <w:sz w:val="9"/>
        </w:rPr>
      </w:pPr>
      <w:r>
        <w:drawing>
          <wp:anchor distT="0" distB="0" distL="0" distR="0" simplePos="0" relativeHeight="251658240" behindDoc="0" locked="0" layoutInCell="1" allowOverlap="1">
            <wp:simplePos x="0" y="0"/>
            <wp:positionH relativeFrom="page">
              <wp:posOffset>663448</wp:posOffset>
            </wp:positionH>
            <wp:positionV relativeFrom="paragraph">
              <wp:posOffset>98734</wp:posOffset>
            </wp:positionV>
            <wp:extent cx="2756822" cy="1956816"/>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0" cstate="print"/>
                    <a:stretch>
                      <a:fillRect/>
                    </a:stretch>
                  </pic:blipFill>
                  <pic:spPr>
                    <a:xfrm>
                      <a:off x="0" y="0"/>
                      <a:ext cx="2756822" cy="1956816"/>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4052470</wp:posOffset>
            </wp:positionH>
            <wp:positionV relativeFrom="paragraph">
              <wp:posOffset>117729</wp:posOffset>
            </wp:positionV>
            <wp:extent cx="2808025" cy="1956816"/>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1" cstate="print"/>
                    <a:stretch>
                      <a:fillRect/>
                    </a:stretch>
                  </pic:blipFill>
                  <pic:spPr>
                    <a:xfrm>
                      <a:off x="0" y="0"/>
                      <a:ext cx="2808025" cy="1956816"/>
                    </a:xfrm>
                    <a:prstGeom prst="rect">
                      <a:avLst/>
                    </a:prstGeom>
                  </pic:spPr>
                </pic:pic>
              </a:graphicData>
            </a:graphic>
          </wp:anchor>
        </w:drawing>
      </w:r>
      <w:r>
        <w:pict>
          <v:shape id="_x0000_s1029" style="width:255.1pt;height:0.1pt;margin-top:175.85pt;margin-left:35.75pt;mso-position-horizontal-relative:page;mso-wrap-distance-left:0;mso-wrap-distance-right:0;position:absolute;z-index:-251656192" coordorigin="715,3517" coordsize="5102,0" path="m715,3517l5817,3517e" filled="f" stroked="t" strokecolor="#c00" strokeweight="1.44pt">
            <v:stroke dashstyle="solid"/>
            <v:path arrowok="t"/>
            <w10:wrap type="topAndBottom"/>
          </v:shape>
        </w:pict>
      </w:r>
      <w:r>
        <w:pict>
          <v:shape id="_x0000_s1030" style="width:255.1pt;height:0.1pt;margin-top:175.85pt;margin-left:304.4pt;mso-position-horizontal-relative:page;mso-wrap-distance-left:0;mso-wrap-distance-right:0;position:absolute;z-index:-251655168" coordorigin="6088,3517" coordsize="5102,0" path="m6088,3517l11190,3517e" filled="f" stroked="t" strokecolor="#c00" strokeweight="1.44pt">
            <v:stroke dashstyle="solid"/>
            <v:path arrowok="t"/>
            <w10:wrap type="topAndBottom"/>
          </v:shape>
        </w:pict>
      </w:r>
    </w:p>
    <w:p>
      <w:pPr>
        <w:pStyle w:val="BodyText"/>
        <w:rPr>
          <w:sz w:val="13"/>
        </w:rPr>
      </w:pPr>
    </w:p>
    <w:p>
      <w:pPr>
        <w:tabs>
          <w:tab w:val="left" w:pos="6088"/>
        </w:tabs>
        <w:spacing w:before="11"/>
        <w:ind w:left="715" w:right="0" w:firstLine="0"/>
        <w:jc w:val="left"/>
        <w:rPr>
          <w:sz w:val="18"/>
        </w:rPr>
      </w:pPr>
      <w:r>
        <w:t xml:space="preserve">资料来源：国家金融监督管理总局， </w:t>
        <w:tab/>
        <w:t xml:space="preserve">资料来源：国家金融监督管理总局， </w:t>
      </w:r>
    </w:p>
    <w:p>
      <w:pPr>
        <w:pStyle w:val="BodyText"/>
        <w:rPr>
          <w:sz w:val="20"/>
        </w:rPr>
      </w:pPr>
    </w:p>
    <w:p>
      <w:pPr>
        <w:pStyle w:val="BodyText"/>
        <w:rPr>
          <w:sz w:val="20"/>
        </w:rPr>
      </w:pPr>
    </w:p>
    <w:p>
      <w:pPr>
        <w:pStyle w:val="BodyText"/>
        <w:spacing w:before="6"/>
        <w:rPr>
          <w:sz w:val="16"/>
        </w:rPr>
      </w:pPr>
    </w:p>
    <w:p>
      <w:pPr>
        <w:pStyle w:val="Heading2"/>
        <w:numPr>
          <w:ilvl w:val="1"/>
          <w:numId w:val="5"/>
        </w:numPr>
        <w:tabs>
          <w:tab w:val="left" w:pos="1604"/>
        </w:tabs>
        <w:spacing w:before="74" w:after="0" w:line="240" w:lineRule="auto"/>
        <w:ind w:left="1603" w:right="0" w:hanging="472"/>
        <w:jc w:val="left"/>
      </w:pPr>
      <w:bookmarkStart w:id="1" w:name="_TOC_250011"/>
      <w:bookmarkEnd w:id="1"/>
      <w:r>
        <w:t>保费收入抬升态势不改，健康险保费占比大幅收紧</w:t>
      </w:r>
    </w:p>
    <w:p>
      <w:pPr>
        <w:pStyle w:val="BodyText"/>
        <w:spacing w:before="12"/>
        <w:rPr>
          <w:b/>
          <w:sz w:val="23"/>
        </w:rPr>
      </w:pPr>
    </w:p>
    <w:p>
      <w:pPr>
        <w:pStyle w:val="Heading4"/>
        <w:spacing w:before="0"/>
        <w:jc w:val="both"/>
      </w:pPr>
      <w:r>
        <w:rPr>
          <w:rFonts w:ascii="Arial" w:eastAsia="Arial"/>
        </w:rPr>
        <w:t xml:space="preserve">2023 </w:t>
      </w:r>
      <w:r>
        <w:t xml:space="preserve">年保险行业原保费收入为 </w:t>
      </w:r>
      <w:r>
        <w:rPr>
          <w:rFonts w:ascii="Arial" w:eastAsia="Arial"/>
        </w:rPr>
        <w:t xml:space="preserve">5.12 </w:t>
      </w:r>
      <w:r>
        <w:t xml:space="preserve">万亿元，同比增加 </w:t>
      </w:r>
      <w:r>
        <w:rPr>
          <w:rFonts w:ascii="Arial" w:eastAsia="Arial"/>
        </w:rPr>
        <w:t>9.14%</w:t>
      </w:r>
      <w:r>
        <w:t xml:space="preserve">，彻底摆脱了 </w:t>
      </w:r>
      <w:r>
        <w:rPr>
          <w:rFonts w:ascii="Arial" w:eastAsia="Arial"/>
        </w:rPr>
        <w:t xml:space="preserve">2021 </w:t>
      </w:r>
      <w:r>
        <w:t>年的负增速，</w:t>
      </w:r>
    </w:p>
    <w:p>
      <w:pPr>
        <w:pStyle w:val="BodyText"/>
        <w:spacing w:before="30" w:line="266" w:lineRule="auto"/>
        <w:ind w:left="1132" w:right="1115"/>
        <w:jc w:val="both"/>
      </w:pPr>
      <w:r>
        <w:rPr>
          <w:b/>
          <w:spacing w:val="-18"/>
        </w:rPr>
        <w:t xml:space="preserve">且较 </w:t>
      </w:r>
      <w:r>
        <w:rPr>
          <w:rFonts w:ascii="Arial" w:eastAsia="Arial"/>
          <w:b/>
        </w:rPr>
        <w:t xml:space="preserve">2022 </w:t>
      </w:r>
      <w:r>
        <w:rPr>
          <w:b/>
          <w:spacing w:val="-3"/>
        </w:rPr>
        <w:t>年增速有所回升。</w:t>
      </w:r>
      <w:r>
        <w:rPr>
          <w:spacing w:val="-9"/>
        </w:rPr>
        <w:t xml:space="preserve">具体来看，财产险保费收入 </w:t>
      </w:r>
      <w:r>
        <w:rPr>
          <w:rFonts w:ascii="Arial" w:eastAsia="Arial"/>
        </w:rPr>
        <w:t xml:space="preserve">1.36 </w:t>
      </w:r>
      <w:r>
        <w:rPr>
          <w:spacing w:val="-7"/>
        </w:rPr>
        <w:t>万亿元，与前期增速基本持平、稳步抬</w:t>
      </w:r>
      <w:r>
        <w:rPr>
          <w:spacing w:val="-11"/>
        </w:rPr>
        <w:t xml:space="preserve">升；人身险保费收入 </w:t>
      </w:r>
      <w:r>
        <w:rPr>
          <w:rFonts w:ascii="Arial" w:eastAsia="Arial"/>
        </w:rPr>
        <w:t xml:space="preserve">3.76 </w:t>
      </w:r>
      <w:r>
        <w:rPr>
          <w:spacing w:val="-5"/>
        </w:rPr>
        <w:t xml:space="preserve">万亿元，增速由 </w:t>
      </w:r>
      <w:r>
        <w:rPr>
          <w:rFonts w:ascii="Arial" w:eastAsia="Arial"/>
        </w:rPr>
        <w:t xml:space="preserve">2022 </w:t>
      </w:r>
      <w:r>
        <w:rPr>
          <w:spacing w:val="-14"/>
        </w:rPr>
        <w:t xml:space="preserve">年的 </w:t>
      </w:r>
      <w:r>
        <w:rPr>
          <w:rFonts w:ascii="Arial" w:eastAsia="Arial"/>
        </w:rPr>
        <w:t>3.06%</w:t>
      </w:r>
      <w:r>
        <w:rPr>
          <w:spacing w:val="-10"/>
        </w:rPr>
        <w:t xml:space="preserve">攀升至 </w:t>
      </w:r>
      <w:r>
        <w:rPr>
          <w:rFonts w:ascii="Arial" w:eastAsia="Arial"/>
        </w:rPr>
        <w:t>9.91%</w:t>
      </w:r>
      <w:r>
        <w:t>，其中权重较大的寿险保</w:t>
      </w:r>
      <w:r>
        <w:rPr>
          <w:spacing w:val="-3"/>
        </w:rPr>
        <w:t>费收入保持了相对较高增速</w:t>
      </w:r>
      <w:r>
        <w:t>（</w:t>
      </w:r>
      <w:r>
        <w:rPr>
          <w:rFonts w:ascii="Arial" w:eastAsia="Arial"/>
        </w:rPr>
        <w:t>12.75%</w:t>
      </w:r>
      <w:r>
        <w:t>）</w:t>
      </w:r>
      <w:r>
        <w:rPr>
          <w:spacing w:val="-3"/>
        </w:rPr>
        <w:t>，健康险保费收入缩水一半以上。</w:t>
      </w:r>
    </w:p>
    <w:p>
      <w:pPr>
        <w:pStyle w:val="BodyText"/>
        <w:spacing w:before="153" w:line="266" w:lineRule="auto"/>
        <w:ind w:left="1132" w:right="1125" w:firstLine="441"/>
        <w:jc w:val="both"/>
      </w:pPr>
      <w:r>
        <w:rPr>
          <w:spacing w:val="-9"/>
        </w:rPr>
        <w:t xml:space="preserve">就人身险保费收入的构成而言，寿险一直占据着绝对优势地位，占比回升至 </w:t>
      </w:r>
      <w:r>
        <w:rPr>
          <w:rFonts w:ascii="Arial" w:eastAsia="Arial"/>
        </w:rPr>
        <w:t>80%</w:t>
      </w:r>
      <w:r>
        <w:rPr>
          <w:spacing w:val="-7"/>
        </w:rPr>
        <w:t xml:space="preserve">附近。尽管疫情使得居民对健康保障的迫切性有所提升，但此前保费收入占比近 </w:t>
      </w:r>
      <w:r>
        <w:rPr>
          <w:rFonts w:ascii="Arial" w:eastAsia="Arial"/>
        </w:rPr>
        <w:t>25%</w:t>
      </w:r>
      <w:r>
        <w:rPr>
          <w:spacing w:val="-11"/>
        </w:rPr>
        <w:t xml:space="preserve">的健康险在 </w:t>
      </w:r>
      <w:r>
        <w:rPr>
          <w:rFonts w:ascii="Arial" w:eastAsia="Arial"/>
        </w:rPr>
        <w:t xml:space="preserve">2023 </w:t>
      </w:r>
      <w:r>
        <w:rPr>
          <w:spacing w:val="-3"/>
        </w:rPr>
        <w:t>年却出现了保</w:t>
      </w:r>
      <w:r>
        <w:rPr>
          <w:spacing w:val="-9"/>
        </w:rPr>
        <w:t xml:space="preserve">费收入大幅缩水，保费收入跌至 </w:t>
      </w:r>
      <w:r>
        <w:rPr>
          <w:rFonts w:ascii="Arial" w:eastAsia="Arial"/>
        </w:rPr>
        <w:t xml:space="preserve">3000 </w:t>
      </w:r>
      <w:r>
        <w:rPr>
          <w:spacing w:val="-8"/>
        </w:rPr>
        <w:t xml:space="preserve">亿元以下且占比跌至 </w:t>
      </w:r>
      <w:r>
        <w:rPr>
          <w:rFonts w:ascii="Arial" w:eastAsia="Arial"/>
        </w:rPr>
        <w:t>10%</w:t>
      </w:r>
      <w:r>
        <w:rPr>
          <w:spacing w:val="-6"/>
        </w:rPr>
        <w:t>以下，一方面与产品同质化严重、保</w:t>
      </w:r>
      <w:r>
        <w:rPr>
          <w:spacing w:val="-7"/>
        </w:rPr>
        <w:t>障水平难以满足居民需求、赔付率恶化趋势不改有关，另一方面，也是受到了颇具性价比、由政府背</w:t>
      </w:r>
      <w:r>
        <w:rPr>
          <w:spacing w:val="-3"/>
        </w:rPr>
        <w:t>书的惠民保产品的冲击。</w:t>
      </w:r>
    </w:p>
    <w:p>
      <w:pPr>
        <w:pStyle w:val="BodyText"/>
        <w:spacing w:before="152"/>
        <w:ind w:left="1574"/>
        <w:jc w:val="both"/>
      </w:pPr>
      <w:r>
        <w:rPr>
          <w:rFonts w:ascii="Arial" w:eastAsia="Arial"/>
        </w:rPr>
        <w:t xml:space="preserve">2023 </w:t>
      </w:r>
      <w:r>
        <w:t xml:space="preserve">年投连险新增交费规模延续此前的下行态势，但减幅有所放缓，由 </w:t>
      </w:r>
      <w:r>
        <w:rPr>
          <w:rFonts w:ascii="Arial" w:eastAsia="Arial"/>
        </w:rPr>
        <w:t xml:space="preserve">2022 </w:t>
      </w:r>
      <w:r>
        <w:t xml:space="preserve">年的 </w:t>
      </w:r>
      <w:r>
        <w:rPr>
          <w:rFonts w:ascii="Arial" w:eastAsia="Arial"/>
        </w:rPr>
        <w:t>68.20%</w:t>
      </w:r>
      <w:r>
        <w:t>降至</w:t>
      </w:r>
    </w:p>
    <w:p>
      <w:pPr>
        <w:pStyle w:val="BodyText"/>
        <w:spacing w:before="30"/>
        <w:ind w:left="1132"/>
        <w:jc w:val="both"/>
      </w:pPr>
      <w:r>
        <w:rPr>
          <w:rFonts w:ascii="Arial" w:eastAsia="Arial"/>
        </w:rPr>
        <w:t>36.65%</w:t>
      </w:r>
      <w:r>
        <w:t xml:space="preserve">，全年投连险独立账户新增交费仅为 </w:t>
      </w:r>
      <w:r>
        <w:rPr>
          <w:rFonts w:ascii="Arial" w:eastAsia="Arial"/>
        </w:rPr>
        <w:t xml:space="preserve">140 </w:t>
      </w:r>
      <w:r>
        <w:t>亿元；万能险新增交费增速却由负转正（</w:t>
      </w:r>
      <w:r>
        <w:rPr>
          <w:rFonts w:ascii="Arial" w:eastAsia="Arial"/>
        </w:rPr>
        <w:t>5.90%</w:t>
      </w:r>
      <w:r>
        <w:t>），</w:t>
      </w:r>
    </w:p>
    <w:p>
      <w:pPr>
        <w:pStyle w:val="BodyText"/>
        <w:spacing w:before="30" w:line="266" w:lineRule="auto"/>
        <w:ind w:left="1132" w:right="1130"/>
        <w:jc w:val="both"/>
      </w:pPr>
      <w:r>
        <w:rPr>
          <w:spacing w:val="-18"/>
        </w:rPr>
        <w:t xml:space="preserve">逼近 </w:t>
      </w:r>
      <w:r>
        <w:rPr>
          <w:rFonts w:ascii="Arial" w:eastAsia="Arial"/>
        </w:rPr>
        <w:t xml:space="preserve">6000 </w:t>
      </w:r>
      <w:r>
        <w:rPr>
          <w:spacing w:val="-3"/>
        </w:rPr>
        <w:t>亿元，在居民避险情绪抬升、风险偏好承压的大背景下，万能险凭借其以保值为主、兼具一定升值价值的特性逆势向上。</w:t>
      </w:r>
    </w:p>
    <w:p>
      <w:pPr>
        <w:spacing w:after="0" w:line="266" w:lineRule="auto"/>
        <w:jc w:val="both"/>
        <w:sectPr>
          <w:headerReference w:type="default" r:id="rId12"/>
          <w:footerReference w:type="default" r:id="rId13"/>
          <w:pgSz w:w="11910" w:h="16840"/>
          <w:pgMar w:top="1280" w:right="0" w:bottom="1000" w:left="0" w:header="708" w:footer="708"/>
          <w:pgNumType w:start="4"/>
          <w:cols w:space="708"/>
        </w:sectPr>
      </w:pPr>
    </w:p>
    <w:p>
      <w:pPr>
        <w:tabs>
          <w:tab w:val="left" w:pos="1276"/>
          <w:tab w:val="left" w:pos="6088"/>
        </w:tabs>
        <w:spacing w:before="83"/>
        <w:ind w:left="715" w:right="0" w:firstLine="0"/>
        <w:jc w:val="left"/>
        <w:rPr>
          <w:sz w:val="20"/>
        </w:rPr>
      </w:pPr>
      <w:r>
        <w:pict>
          <v:group id="_x0000_s1031" style="width:255.1pt;height:170.45pt;margin-top:17.64pt;margin-left:35.75pt;mso-position-horizontal-relative:page;position:absolute;z-index:251666432" coordorigin="715,353" coordsize="5102,34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width:4618;height:3316;left:968;position:absolute;top:445" stroked="f">
              <v:imagedata r:id="rId14" o:title=""/>
            </v:shape>
            <v:line id="_x0000_s1033" style="position:absolute" from="715,367" to="5817,367" stroked="t" strokecolor="#c00" strokeweight="1.44pt">
              <v:stroke dashstyle="solid"/>
            </v:line>
          </v:group>
        </w:pict>
      </w:r>
      <w:r>
        <w:drawing>
          <wp:anchor distT="0" distB="0" distL="0" distR="0" simplePos="0" relativeHeight="251667456" behindDoc="0" locked="0" layoutInCell="1" allowOverlap="1">
            <wp:simplePos x="0" y="0"/>
            <wp:positionH relativeFrom="page">
              <wp:posOffset>4078351</wp:posOffset>
            </wp:positionH>
            <wp:positionV relativeFrom="paragraph">
              <wp:posOffset>331952</wp:posOffset>
            </wp:positionV>
            <wp:extent cx="2752828" cy="1956816"/>
            <wp:effectExtent l="0" t="0" r="0" b="0"/>
            <wp:wrapNone/>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jpeg"/>
                    <pic:cNvPicPr/>
                  </pic:nvPicPr>
                  <pic:blipFill>
                    <a:blip xmlns:r="http://schemas.openxmlformats.org/officeDocument/2006/relationships" r:embed="rId15" cstate="print"/>
                    <a:stretch>
                      <a:fillRect/>
                    </a:stretch>
                  </pic:blipFill>
                  <pic:spPr>
                    <a:xfrm>
                      <a:off x="0" y="0"/>
                      <a:ext cx="2752828" cy="1956816"/>
                    </a:xfrm>
                    <a:prstGeom prst="rect">
                      <a:avLst/>
                    </a:prstGeom>
                  </pic:spPr>
                </pic:pic>
              </a:graphicData>
            </a:graphic>
          </wp:anchor>
        </w:drawing>
      </w:r>
      <w:r>
        <w:pict>
          <v:line id="_x0000_s1034" style="mso-position-horizontal-relative:page;position:absolute;z-index:251668480" from="304.4pt,18.35pt" to="559.5pt,18.35pt" stroked="t" strokecolor="#c00" strokeweight="1.44pt">
            <v:stroke dashstyle="solid"/>
          </v:line>
        </w:pict>
      </w:r>
      <w:r>
        <w:rPr>
          <w:sz w:val="20"/>
        </w:rPr>
        <w:t>图</w:t>
      </w:r>
      <w:r>
        <w:rPr>
          <w:spacing w:val="-51"/>
          <w:sz w:val="20"/>
        </w:rPr>
        <w:t xml:space="preserve"> </w:t>
      </w:r>
      <w:r>
        <w:rPr>
          <w:rFonts w:ascii="Arial" w:eastAsia="Arial"/>
          <w:sz w:val="20"/>
        </w:rPr>
        <w:t>3</w:t>
        <w:tab/>
        <w:t>2013-2023</w:t>
      </w:r>
      <w:r>
        <w:rPr>
          <w:rFonts w:ascii="Arial" w:eastAsia="Arial"/>
          <w:spacing w:val="-7"/>
          <w:sz w:val="20"/>
        </w:rPr>
        <w:t xml:space="preserve"> </w:t>
      </w:r>
      <w:r>
        <w:rPr>
          <w:sz w:val="20"/>
        </w:rPr>
        <w:t>年保费收入（亿元）及同比增速（</w:t>
      </w:r>
      <w:r>
        <w:rPr>
          <w:rFonts w:ascii="Arial" w:eastAsia="Arial"/>
          <w:sz w:val="20"/>
        </w:rPr>
        <w:t>%</w:t>
      </w:r>
      <w:r>
        <w:rPr>
          <w:sz w:val="20"/>
        </w:rPr>
        <w:t>）</w:t>
        <w:tab/>
        <w:t>图</w:t>
      </w:r>
      <w:r>
        <w:rPr>
          <w:spacing w:val="-51"/>
          <w:sz w:val="20"/>
        </w:rPr>
        <w:t xml:space="preserve"> </w:t>
      </w:r>
      <w:r>
        <w:rPr>
          <w:rFonts w:ascii="Arial" w:eastAsia="Arial"/>
          <w:sz w:val="20"/>
        </w:rPr>
        <w:t>4</w:t>
      </w:r>
      <w:r>
        <w:rPr>
          <w:rFonts w:ascii="Arial" w:eastAsia="Arial"/>
          <w:spacing w:val="31"/>
          <w:sz w:val="20"/>
        </w:rPr>
        <w:t xml:space="preserve"> </w:t>
      </w:r>
      <w:r>
        <w:rPr>
          <w:rFonts w:ascii="Arial" w:eastAsia="Arial"/>
          <w:sz w:val="20"/>
        </w:rPr>
        <w:t>2013-2023</w:t>
      </w:r>
      <w:r>
        <w:rPr>
          <w:rFonts w:ascii="Arial" w:eastAsia="Arial"/>
          <w:spacing w:val="-3"/>
          <w:sz w:val="20"/>
        </w:rPr>
        <w:t xml:space="preserve"> </w:t>
      </w:r>
      <w:r>
        <w:rPr>
          <w:sz w:val="20"/>
        </w:rPr>
        <w:t>年人身险保费收入构成比例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3"/>
        </w:rPr>
      </w:pPr>
      <w:r>
        <w:pict>
          <v:shape id="_x0000_s1035" style="width:255.1pt;height:0.1pt;margin-top:11.43pt;margin-left:35.75pt;mso-position-horizontal-relative:page;mso-wrap-distance-left:0;mso-wrap-distance-right:0;position:absolute;z-index:-251654144" coordorigin="715,229" coordsize="5102,0" path="m715,229l5817,229e" filled="f" stroked="t" strokecolor="#c00" strokeweight="1.44pt">
            <v:stroke dashstyle="solid"/>
            <v:path arrowok="t"/>
            <w10:wrap type="topAndBottom"/>
          </v:shape>
        </w:pict>
      </w:r>
      <w:r>
        <w:pict>
          <v:shape id="_x0000_s1036" style="width:255.1pt;height:0.1pt;margin-top:11.43pt;margin-left:304.4pt;mso-position-horizontal-relative:page;mso-wrap-distance-left:0;mso-wrap-distance-right:0;position:absolute;z-index:-251653120" coordorigin="6088,229" coordsize="5102,0" path="m6088,229l11190,229e" filled="f" stroked="t" strokecolor="#c00" strokeweight="1.44pt">
            <v:stroke dashstyle="solid"/>
            <v:path arrowok="t"/>
            <w10:wrap type="topAndBottom"/>
          </v:shape>
        </w:pict>
      </w:r>
    </w:p>
    <w:p>
      <w:pPr>
        <w:tabs>
          <w:tab w:val="left" w:pos="6088"/>
        </w:tabs>
        <w:spacing w:before="11"/>
        <w:ind w:left="715" w:right="0" w:firstLine="0"/>
        <w:jc w:val="left"/>
        <w:rPr>
          <w:sz w:val="18"/>
        </w:rPr>
      </w:pPr>
      <w:r>
        <w:t xml:space="preserve">资料来源：国家金融监督管理总局， </w:t>
        <w:tab/>
        <w:t xml:space="preserve">资料来源：国家金融监督管理总局， </w:t>
      </w:r>
    </w:p>
    <w:p>
      <w:pPr>
        <w:pStyle w:val="BodyText"/>
        <w:rPr>
          <w:sz w:val="20"/>
        </w:rPr>
      </w:pPr>
    </w:p>
    <w:p>
      <w:pPr>
        <w:pStyle w:val="BodyText"/>
        <w:spacing w:before="11"/>
        <w:rPr>
          <w:sz w:val="27"/>
        </w:rPr>
      </w:pPr>
    </w:p>
    <w:p>
      <w:pPr>
        <w:spacing w:before="80"/>
        <w:ind w:left="2268" w:right="0" w:firstLine="0"/>
        <w:jc w:val="left"/>
        <w:rPr>
          <w:sz w:val="20"/>
        </w:rPr>
      </w:pPr>
      <w:r>
        <w:pict>
          <v:shape id="_x0000_s1037" style="width:368.5pt;height:0.1pt;margin-top:18.95pt;margin-left:113.4pt;mso-position-horizontal-relative:page;mso-wrap-distance-left:0;mso-wrap-distance-right:0;position:absolute;z-index:-251652096" coordorigin="2268,379" coordsize="7370,0" path="m2268,379l9638,379e" filled="f" stroked="t" strokecolor="#c00" strokeweight="1.44pt">
            <v:stroke dashstyle="solid"/>
            <v:path arrowok="t"/>
            <w10:wrap type="topAndBottom"/>
          </v:shape>
        </w:pict>
      </w:r>
      <w:r>
        <w:rPr>
          <w:sz w:val="20"/>
        </w:rPr>
        <w:t xml:space="preserve">图 </w:t>
      </w:r>
      <w:r>
        <w:rPr>
          <w:rFonts w:ascii="Arial" w:eastAsia="Arial"/>
          <w:sz w:val="20"/>
        </w:rPr>
        <w:t xml:space="preserve">5 2013-2023 </w:t>
      </w:r>
      <w:r>
        <w:rPr>
          <w:sz w:val="20"/>
        </w:rPr>
        <w:t>年投连险及万能险规模变动情况</w:t>
      </w:r>
    </w:p>
    <w:p>
      <w:pPr>
        <w:pStyle w:val="BodyText"/>
        <w:spacing w:before="6"/>
        <w:rPr>
          <w:sz w:val="7"/>
        </w:rPr>
      </w:pPr>
    </w:p>
    <w:p>
      <w:pPr>
        <w:pStyle w:val="BodyText"/>
        <w:ind w:left="2418"/>
        <w:rPr>
          <w:sz w:val="20"/>
        </w:rPr>
      </w:pPr>
      <w:r>
        <w:rPr>
          <w:sz w:val="20"/>
        </w:rPr>
        <w:drawing>
          <wp:inline distT="0" distB="0" distL="0" distR="0">
            <wp:extent cx="4492444" cy="2026919"/>
            <wp:effectExtent l="0" t="0" r="0" b="0"/>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pic:cNvPicPr/>
                  </pic:nvPicPr>
                  <pic:blipFill>
                    <a:blip xmlns:r="http://schemas.openxmlformats.org/officeDocument/2006/relationships" r:embed="rId16" cstate="print"/>
                    <a:stretch>
                      <a:fillRect/>
                    </a:stretch>
                  </pic:blipFill>
                  <pic:spPr>
                    <a:xfrm>
                      <a:off x="0" y="0"/>
                      <a:ext cx="4492444" cy="2026919"/>
                    </a:xfrm>
                    <a:prstGeom prst="rect">
                      <a:avLst/>
                    </a:prstGeom>
                  </pic:spPr>
                </pic:pic>
              </a:graphicData>
            </a:graphic>
          </wp:inline>
        </w:drawing>
      </w:r>
    </w:p>
    <w:p>
      <w:pPr>
        <w:pStyle w:val="BodyText"/>
        <w:spacing w:before="4"/>
        <w:rPr>
          <w:sz w:val="6"/>
        </w:rPr>
      </w:pPr>
      <w:r>
        <w:pict>
          <v:shape id="_x0000_s1038" style="width:368.5pt;height:0.1pt;margin-top:6.77pt;margin-left:113.4pt;mso-position-horizontal-relative:page;mso-wrap-distance-left:0;mso-wrap-distance-right:0;position:absolute;z-index:-251651072" coordorigin="2268,135" coordsize="7370,0" path="m2268,135l9638,135e" filled="f" stroked="t" strokecolor="#c00" strokeweight="1.44pt">
            <v:stroke dashstyle="solid"/>
            <v:path arrowok="t"/>
            <w10:wrap type="topAndBottom"/>
          </v:shape>
        </w:pict>
      </w:r>
    </w:p>
    <w:p>
      <w:pPr>
        <w:spacing w:before="11"/>
        <w:ind w:left="2268" w:right="0" w:firstLine="0"/>
        <w:jc w:val="left"/>
        <w:rPr>
          <w:sz w:val="18"/>
        </w:rPr>
      </w:pPr>
      <w:r>
        <w:t xml:space="preserve">资料来源：国家金融监督管理总局， </w:t>
      </w:r>
    </w:p>
    <w:p>
      <w:pPr>
        <w:pStyle w:val="BodyText"/>
        <w:rPr>
          <w:sz w:val="20"/>
        </w:rPr>
      </w:pPr>
    </w:p>
    <w:p>
      <w:pPr>
        <w:pStyle w:val="BodyText"/>
        <w:spacing w:before="3"/>
        <w:rPr>
          <w:sz w:val="24"/>
        </w:rPr>
      </w:pPr>
    </w:p>
    <w:p>
      <w:pPr>
        <w:pStyle w:val="Heading2"/>
        <w:numPr>
          <w:ilvl w:val="1"/>
          <w:numId w:val="5"/>
        </w:numPr>
        <w:tabs>
          <w:tab w:val="left" w:pos="1604"/>
        </w:tabs>
        <w:spacing w:before="75" w:after="0" w:line="240" w:lineRule="auto"/>
        <w:ind w:left="1603" w:right="0" w:hanging="472"/>
        <w:jc w:val="left"/>
      </w:pPr>
      <w:bookmarkStart w:id="2" w:name="_TOC_250010"/>
      <w:bookmarkEnd w:id="2"/>
      <w:r>
        <w:t>资金运用余额高速扩张，多元配置、适当增配固收类资产熨平波动</w:t>
      </w:r>
    </w:p>
    <w:p>
      <w:pPr>
        <w:pStyle w:val="BodyText"/>
        <w:spacing w:before="11"/>
        <w:rPr>
          <w:b/>
          <w:sz w:val="23"/>
        </w:rPr>
      </w:pPr>
    </w:p>
    <w:p>
      <w:pPr>
        <w:spacing w:before="0" w:line="266" w:lineRule="auto"/>
        <w:ind w:left="1132" w:right="1100" w:firstLine="441"/>
        <w:jc w:val="left"/>
        <w:rPr>
          <w:rFonts w:ascii="Arial" w:eastAsia="Arial"/>
          <w:sz w:val="22"/>
        </w:rPr>
      </w:pPr>
      <w:r>
        <w:rPr>
          <w:b/>
          <w:sz w:val="22"/>
        </w:rPr>
        <w:t>根据国家金融监督管理总局公布的数据，</w:t>
      </w:r>
      <w:r>
        <w:rPr>
          <w:rFonts w:ascii="Arial" w:eastAsia="Arial"/>
          <w:b/>
          <w:sz w:val="22"/>
        </w:rPr>
        <w:t>2023</w:t>
      </w:r>
      <w:r>
        <w:rPr>
          <w:rFonts w:ascii="Arial" w:eastAsia="Arial"/>
          <w:b/>
          <w:spacing w:val="12"/>
          <w:sz w:val="22"/>
        </w:rPr>
        <w:t xml:space="preserve"> </w:t>
      </w:r>
      <w:r>
        <w:rPr>
          <w:b/>
          <w:spacing w:val="-4"/>
          <w:sz w:val="22"/>
        </w:rPr>
        <w:t xml:space="preserve">年保险资金运用余额为 </w:t>
      </w:r>
      <w:r>
        <w:rPr>
          <w:rFonts w:ascii="Arial" w:eastAsia="Arial"/>
          <w:b/>
          <w:sz w:val="22"/>
        </w:rPr>
        <w:t>27.67</w:t>
      </w:r>
      <w:r>
        <w:rPr>
          <w:rFonts w:ascii="Arial" w:eastAsia="Arial"/>
          <w:b/>
          <w:spacing w:val="10"/>
          <w:sz w:val="22"/>
        </w:rPr>
        <w:t xml:space="preserve"> </w:t>
      </w:r>
      <w:r>
        <w:rPr>
          <w:b/>
          <w:sz w:val="22"/>
        </w:rPr>
        <w:t>万亿元，较年初大</w:t>
      </w:r>
      <w:r>
        <w:rPr>
          <w:b/>
          <w:spacing w:val="-12"/>
          <w:sz w:val="22"/>
        </w:rPr>
        <w:t xml:space="preserve">幅增长 </w:t>
      </w:r>
      <w:r>
        <w:rPr>
          <w:rFonts w:ascii="Arial" w:eastAsia="Arial"/>
          <w:b/>
          <w:sz w:val="22"/>
        </w:rPr>
        <w:t>10.46%</w:t>
      </w:r>
      <w:r>
        <w:rPr>
          <w:b/>
          <w:sz w:val="22"/>
        </w:rPr>
        <w:t>。</w:t>
      </w:r>
      <w:r>
        <w:rPr>
          <w:spacing w:val="-3"/>
          <w:sz w:val="22"/>
        </w:rPr>
        <w:t xml:space="preserve">分析主要投资资产规模和占比情况，银行存款 </w:t>
      </w:r>
      <w:r>
        <w:rPr>
          <w:rFonts w:ascii="Arial" w:eastAsia="Arial"/>
          <w:sz w:val="22"/>
        </w:rPr>
        <w:t xml:space="preserve">2.72 </w:t>
      </w:r>
      <w:r>
        <w:rPr>
          <w:spacing w:val="-7"/>
          <w:sz w:val="22"/>
        </w:rPr>
        <w:t xml:space="preserve">万亿元，占比 </w:t>
      </w:r>
      <w:r>
        <w:rPr>
          <w:rFonts w:ascii="Arial" w:eastAsia="Arial"/>
          <w:sz w:val="22"/>
        </w:rPr>
        <w:t>9.84%</w:t>
      </w:r>
      <w:r>
        <w:rPr>
          <w:spacing w:val="-12"/>
          <w:sz w:val="22"/>
        </w:rPr>
        <w:t xml:space="preserve">，是近 </w:t>
      </w:r>
      <w:r>
        <w:rPr>
          <w:rFonts w:ascii="Arial" w:eastAsia="Arial"/>
          <w:sz w:val="22"/>
        </w:rPr>
        <w:t>20</w:t>
      </w:r>
    </w:p>
    <w:p>
      <w:pPr>
        <w:pStyle w:val="BodyText"/>
        <w:spacing w:line="280" w:lineRule="exact"/>
        <w:ind w:left="1132"/>
      </w:pPr>
      <w:r>
        <w:rPr>
          <w:spacing w:val="-7"/>
        </w:rPr>
        <w:t xml:space="preserve">年来第一次跌破 </w:t>
      </w:r>
      <w:r>
        <w:rPr>
          <w:rFonts w:ascii="Arial" w:eastAsia="Arial"/>
        </w:rPr>
        <w:t>10%</w:t>
      </w:r>
      <w:r>
        <w:rPr>
          <w:spacing w:val="-14"/>
        </w:rPr>
        <w:t xml:space="preserve">；债券 </w:t>
      </w:r>
      <w:r>
        <w:rPr>
          <w:rFonts w:ascii="Arial" w:eastAsia="Arial"/>
        </w:rPr>
        <w:t>12.57</w:t>
      </w:r>
      <w:r>
        <w:rPr>
          <w:rFonts w:ascii="Arial" w:eastAsia="Arial"/>
          <w:spacing w:val="-6"/>
        </w:rPr>
        <w:t xml:space="preserve"> </w:t>
      </w:r>
      <w:r>
        <w:rPr>
          <w:spacing w:val="-8"/>
        </w:rPr>
        <w:t xml:space="preserve">万亿元，占比 </w:t>
      </w:r>
      <w:r>
        <w:rPr>
          <w:rFonts w:ascii="Arial" w:eastAsia="Arial"/>
        </w:rPr>
        <w:t>45.41%</w:t>
      </w:r>
      <w:r>
        <w:rPr>
          <w:spacing w:val="-11"/>
        </w:rPr>
        <w:t xml:space="preserve">，占比较 </w:t>
      </w:r>
      <w:r>
        <w:rPr>
          <w:rFonts w:ascii="Arial" w:eastAsia="Arial"/>
        </w:rPr>
        <w:t>2022</w:t>
      </w:r>
      <w:r>
        <w:rPr>
          <w:rFonts w:ascii="Arial" w:eastAsia="Arial"/>
          <w:spacing w:val="-6"/>
        </w:rPr>
        <w:t xml:space="preserve"> </w:t>
      </w:r>
      <w:r>
        <w:rPr>
          <w:spacing w:val="-11"/>
        </w:rPr>
        <w:t xml:space="preserve">年增加近 </w:t>
      </w:r>
      <w:r>
        <w:rPr>
          <w:rFonts w:ascii="Arial" w:eastAsia="Arial"/>
        </w:rPr>
        <w:t>5</w:t>
      </w:r>
      <w:r>
        <w:rPr>
          <w:rFonts w:ascii="Arial" w:eastAsia="Arial"/>
          <w:spacing w:val="-4"/>
        </w:rPr>
        <w:t xml:space="preserve"> </w:t>
      </w:r>
      <w:r>
        <w:t>个百分点，实现</w:t>
      </w:r>
    </w:p>
    <w:p>
      <w:pPr>
        <w:pStyle w:val="BodyText"/>
        <w:spacing w:before="30"/>
        <w:ind w:left="1132"/>
      </w:pPr>
      <w:r>
        <w:t xml:space="preserve">了连续 </w:t>
      </w:r>
      <w:r>
        <w:rPr>
          <w:rFonts w:ascii="Arial" w:eastAsia="Arial"/>
        </w:rPr>
        <w:t xml:space="preserve">6 </w:t>
      </w:r>
      <w:r>
        <w:t xml:space="preserve">年增长，也是近 </w:t>
      </w:r>
      <w:r>
        <w:rPr>
          <w:rFonts w:ascii="Arial" w:eastAsia="Arial"/>
        </w:rPr>
        <w:t xml:space="preserve">10 </w:t>
      </w:r>
      <w:r>
        <w:t xml:space="preserve">年来第一次超过 </w:t>
      </w:r>
      <w:r>
        <w:rPr>
          <w:rFonts w:ascii="Arial" w:eastAsia="Arial"/>
        </w:rPr>
        <w:t>45%</w:t>
      </w:r>
      <w:r>
        <w:t xml:space="preserve">；股票和证券投资基金 </w:t>
      </w:r>
      <w:r>
        <w:rPr>
          <w:rFonts w:ascii="Arial" w:eastAsia="Arial"/>
        </w:rPr>
        <w:t xml:space="preserve">3.33 </w:t>
      </w:r>
      <w:r>
        <w:t xml:space="preserve">万亿元，占比 </w:t>
      </w:r>
      <w:r>
        <w:rPr>
          <w:rFonts w:ascii="Arial" w:eastAsia="Arial"/>
        </w:rPr>
        <w:t>12.02%</w:t>
      </w:r>
      <w:r>
        <w:t>，</w:t>
      </w:r>
    </w:p>
    <w:p>
      <w:pPr>
        <w:pStyle w:val="BodyText"/>
        <w:spacing w:before="31"/>
        <w:ind w:left="1132"/>
        <w:rPr>
          <w:rFonts w:ascii="Arial" w:eastAsia="Arial"/>
        </w:rPr>
      </w:pPr>
      <w:r>
        <w:rPr>
          <w:w w:val="100"/>
        </w:rPr>
        <w:t>与</w:t>
      </w:r>
      <w:r>
        <w:rPr>
          <w:spacing w:val="-55"/>
        </w:rPr>
        <w:t xml:space="preserve"> </w:t>
      </w:r>
      <w:r>
        <w:rPr>
          <w:rFonts w:ascii="Arial" w:eastAsia="Arial"/>
          <w:spacing w:val="-1"/>
          <w:w w:val="100"/>
        </w:rPr>
        <w:t>202</w:t>
      </w:r>
      <w:r>
        <w:rPr>
          <w:rFonts w:ascii="Arial" w:eastAsia="Arial"/>
          <w:w w:val="100"/>
        </w:rPr>
        <w:t>2</w:t>
      </w:r>
      <w:r>
        <w:rPr>
          <w:rFonts w:ascii="Arial" w:eastAsia="Arial"/>
          <w:spacing w:val="-7"/>
        </w:rPr>
        <w:t xml:space="preserve"> </w:t>
      </w:r>
      <w:r>
        <w:rPr>
          <w:spacing w:val="-13"/>
          <w:w w:val="100"/>
        </w:rPr>
        <w:t>年基本持平；包含非标资产投资在内的其他资产</w:t>
      </w:r>
      <w:r>
        <w:rPr>
          <w:spacing w:val="-55"/>
        </w:rPr>
        <w:t xml:space="preserve"> </w:t>
      </w:r>
      <w:r>
        <w:rPr>
          <w:rFonts w:ascii="Arial" w:eastAsia="Arial"/>
          <w:spacing w:val="-1"/>
          <w:w w:val="100"/>
        </w:rPr>
        <w:t>9</w:t>
      </w:r>
      <w:r>
        <w:rPr>
          <w:rFonts w:ascii="Arial" w:eastAsia="Arial"/>
          <w:w w:val="100"/>
        </w:rPr>
        <w:t>.</w:t>
      </w:r>
      <w:r>
        <w:rPr>
          <w:rFonts w:ascii="Arial" w:eastAsia="Arial"/>
          <w:spacing w:val="-1"/>
          <w:w w:val="100"/>
        </w:rPr>
        <w:t>0</w:t>
      </w:r>
      <w:r>
        <w:rPr>
          <w:rFonts w:ascii="Arial" w:eastAsia="Arial"/>
          <w:w w:val="100"/>
        </w:rPr>
        <w:t>6</w:t>
      </w:r>
      <w:r>
        <w:rPr>
          <w:rFonts w:ascii="Arial" w:eastAsia="Arial"/>
          <w:spacing w:val="-9"/>
        </w:rPr>
        <w:t xml:space="preserve"> </w:t>
      </w:r>
      <w:r>
        <w:rPr>
          <w:spacing w:val="-20"/>
          <w:w w:val="100"/>
        </w:rPr>
        <w:t>万亿元，占比</w:t>
      </w:r>
      <w:r>
        <w:rPr>
          <w:spacing w:val="-58"/>
        </w:rPr>
        <w:t xml:space="preserve"> </w:t>
      </w:r>
      <w:r>
        <w:rPr>
          <w:rFonts w:ascii="Arial" w:eastAsia="Arial"/>
          <w:spacing w:val="-1"/>
          <w:w w:val="100"/>
        </w:rPr>
        <w:t>32</w:t>
      </w:r>
      <w:r>
        <w:rPr>
          <w:rFonts w:ascii="Arial" w:eastAsia="Arial"/>
          <w:spacing w:val="1"/>
          <w:w w:val="100"/>
        </w:rPr>
        <w:t>.</w:t>
      </w:r>
      <w:r>
        <w:rPr>
          <w:rFonts w:ascii="Arial" w:eastAsia="Arial"/>
          <w:spacing w:val="-1"/>
          <w:w w:val="100"/>
        </w:rPr>
        <w:t>72</w:t>
      </w:r>
      <w:r>
        <w:rPr>
          <w:rFonts w:ascii="Arial" w:eastAsia="Arial"/>
          <w:spacing w:val="-3"/>
          <w:w w:val="100"/>
        </w:rPr>
        <w:t>%</w:t>
      </w:r>
      <w:r>
        <w:rPr>
          <w:spacing w:val="-20"/>
          <w:w w:val="100"/>
        </w:rPr>
        <w:t>，占比略低于</w:t>
      </w:r>
      <w:r>
        <w:rPr>
          <w:spacing w:val="-58"/>
        </w:rPr>
        <w:t xml:space="preserve"> </w:t>
      </w:r>
      <w:r>
        <w:rPr>
          <w:rFonts w:ascii="Arial" w:eastAsia="Arial"/>
          <w:spacing w:val="-1"/>
          <w:w w:val="100"/>
        </w:rPr>
        <w:t>202</w:t>
      </w:r>
      <w:r>
        <w:rPr>
          <w:rFonts w:ascii="Arial" w:eastAsia="Arial"/>
          <w:w w:val="100"/>
        </w:rPr>
        <w:t>2</w:t>
      </w:r>
    </w:p>
    <w:p>
      <w:pPr>
        <w:pStyle w:val="Heading4"/>
        <w:spacing w:before="30" w:line="266" w:lineRule="auto"/>
        <w:ind w:left="1132" w:right="1042"/>
      </w:pPr>
      <w:r>
        <w:rPr>
          <w:b w:val="0"/>
        </w:rPr>
        <w:t>年同期。</w:t>
      </w:r>
      <w:r>
        <w:t xml:space="preserve">整体而言，在权益市场震荡、债券市场走牛的 </w:t>
      </w:r>
      <w:r>
        <w:rPr>
          <w:rFonts w:ascii="Arial" w:eastAsia="Arial"/>
        </w:rPr>
        <w:t xml:space="preserve">2023 </w:t>
      </w:r>
      <w:r>
        <w:t>年，保险资金保持初心、践行绝对收益的理念，总体保持多元化配置，并适当增配一定比例的优质债券资产以应对市场波动。</w:t>
      </w:r>
    </w:p>
    <w:p>
      <w:pPr>
        <w:spacing w:after="0" w:line="266" w:lineRule="auto"/>
        <w:sectPr>
          <w:headerReference w:type="default" r:id="rId17"/>
          <w:footerReference w:type="default" r:id="rId18"/>
          <w:pgSz w:w="11910" w:h="16840"/>
          <w:pgMar w:top="1280" w:right="0" w:bottom="1000" w:left="0" w:header="708" w:footer="708"/>
          <w:pgNumType w:start="5"/>
          <w:cols w:space="708"/>
        </w:sectPr>
      </w:pPr>
    </w:p>
    <w:p>
      <w:pPr>
        <w:tabs>
          <w:tab w:val="left" w:pos="1276"/>
          <w:tab w:val="left" w:pos="6088"/>
        </w:tabs>
        <w:spacing w:before="83" w:after="13"/>
        <w:ind w:left="715" w:right="0" w:firstLine="0"/>
        <w:jc w:val="left"/>
        <w:rPr>
          <w:sz w:val="20"/>
        </w:rPr>
      </w:pPr>
      <w:r>
        <w:rPr>
          <w:sz w:val="20"/>
        </w:rPr>
        <w:t>图</w:t>
      </w:r>
      <w:r>
        <w:rPr>
          <w:spacing w:val="-51"/>
          <w:sz w:val="20"/>
        </w:rPr>
        <w:t xml:space="preserve"> </w:t>
      </w:r>
      <w:r>
        <w:rPr>
          <w:rFonts w:ascii="Arial" w:eastAsia="Arial"/>
          <w:sz w:val="20"/>
        </w:rPr>
        <w:t>6</w:t>
        <w:tab/>
        <w:t>2005-2023</w:t>
      </w:r>
      <w:r>
        <w:rPr>
          <w:rFonts w:ascii="Arial" w:eastAsia="Arial"/>
          <w:spacing w:val="-7"/>
          <w:sz w:val="20"/>
        </w:rPr>
        <w:t xml:space="preserve"> </w:t>
      </w:r>
      <w:r>
        <w:rPr>
          <w:sz w:val="20"/>
        </w:rPr>
        <w:t>年保险资金余额（万亿元）</w:t>
        <w:tab/>
        <w:t>图</w:t>
      </w:r>
      <w:r>
        <w:rPr>
          <w:spacing w:val="-50"/>
          <w:sz w:val="20"/>
        </w:rPr>
        <w:t xml:space="preserve"> </w:t>
      </w:r>
      <w:r>
        <w:rPr>
          <w:rFonts w:ascii="Arial" w:eastAsia="Arial"/>
          <w:sz w:val="20"/>
        </w:rPr>
        <w:t>7</w:t>
      </w:r>
      <w:r>
        <w:rPr>
          <w:rFonts w:ascii="Arial" w:eastAsia="Arial"/>
          <w:spacing w:val="31"/>
          <w:sz w:val="20"/>
        </w:rPr>
        <w:t xml:space="preserve"> </w:t>
      </w:r>
      <w:r>
        <w:rPr>
          <w:rFonts w:ascii="Arial" w:eastAsia="Arial"/>
          <w:sz w:val="20"/>
        </w:rPr>
        <w:t>2005-2023</w:t>
      </w:r>
      <w:r>
        <w:rPr>
          <w:rFonts w:ascii="Arial" w:eastAsia="Arial"/>
          <w:spacing w:val="-4"/>
          <w:sz w:val="20"/>
        </w:rPr>
        <w:t xml:space="preserve"> </w:t>
      </w:r>
      <w:r>
        <w:rPr>
          <w:sz w:val="20"/>
        </w:rPr>
        <w:t>年保险资金资产配置趋势</w:t>
      </w:r>
    </w:p>
    <w:p>
      <w:pPr>
        <w:tabs>
          <w:tab w:val="left" w:pos="6073"/>
        </w:tabs>
        <w:spacing w:line="30" w:lineRule="exact"/>
        <w:ind w:left="700" w:right="0" w:firstLine="0"/>
        <w:rPr>
          <w:sz w:val="3"/>
        </w:rPr>
      </w:pPr>
      <w:r>
        <w:rPr>
          <w:position w:val="0"/>
          <w:sz w:val="3"/>
        </w:rPr>
        <w:pict>
          <v:group id="_x0000_i1039" style="width:255.1pt;height:1.45pt;mso-position-horizontal-relative:char;mso-position-vertical-relative:line" coordorigin="0,0" coordsize="5102,29">
            <v:line id="_x0000_s1040" style="position:absolute" from="0,14" to="5102,14" stroked="t" strokecolor="#c00" strokeweight="1.44pt">
              <v:stroke dashstyle="solid"/>
            </v:line>
            <w10:wrap type="none"/>
          </v:group>
        </w:pict>
      </w:r>
      <w:r>
        <w:rPr>
          <w:position w:val="0"/>
          <w:sz w:val="3"/>
        </w:rPr>
        <w:tab/>
      </w:r>
      <w:r>
        <w:rPr>
          <w:position w:val="0"/>
          <w:sz w:val="3"/>
        </w:rPr>
        <w:pict>
          <v:group id="_x0000_i1041" style="width:255.1pt;height:1.45pt;mso-position-horizontal-relative:char;mso-position-vertical-relative:line" coordorigin="0,0" coordsize="5102,29">
            <v:line id="_x0000_s1042" style="position:absolute" from="0,14" to="5102,14" stroked="t" strokecolor="#c00" strokeweight="1.44pt">
              <v:stroke dashstyle="solid"/>
            </v:line>
            <w10:wrap type="none"/>
          </v:group>
        </w:pict>
      </w:r>
    </w:p>
    <w:p>
      <w:pPr>
        <w:pStyle w:val="BodyText"/>
        <w:spacing w:before="9"/>
        <w:rPr>
          <w:sz w:val="6"/>
        </w:rPr>
      </w:pPr>
      <w:r>
        <w:drawing>
          <wp:anchor distT="0" distB="0" distL="0" distR="0" simplePos="0" relativeHeight="251669504" behindDoc="0" locked="0" layoutInCell="1" allowOverlap="1">
            <wp:simplePos x="0" y="0"/>
            <wp:positionH relativeFrom="page">
              <wp:posOffset>712216</wp:posOffset>
            </wp:positionH>
            <wp:positionV relativeFrom="paragraph">
              <wp:posOffset>89252</wp:posOffset>
            </wp:positionV>
            <wp:extent cx="2755561" cy="2054352"/>
            <wp:effectExtent l="0" t="0" r="0" b="0"/>
            <wp:wrapTopAndBottom/>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pic:nvPicPr>
                  <pic:blipFill>
                    <a:blip xmlns:r="http://schemas.openxmlformats.org/officeDocument/2006/relationships" r:embed="rId19" cstate="print"/>
                    <a:stretch>
                      <a:fillRect/>
                    </a:stretch>
                  </pic:blipFill>
                  <pic:spPr>
                    <a:xfrm>
                      <a:off x="0" y="0"/>
                      <a:ext cx="2755561" cy="2054352"/>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4029583</wp:posOffset>
            </wp:positionH>
            <wp:positionV relativeFrom="paragraph">
              <wp:posOffset>79748</wp:posOffset>
            </wp:positionV>
            <wp:extent cx="2922369" cy="2054352"/>
            <wp:effectExtent l="0" t="0" r="0" b="0"/>
            <wp:wrapTopAndBottom/>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jpeg"/>
                    <pic:cNvPicPr/>
                  </pic:nvPicPr>
                  <pic:blipFill>
                    <a:blip xmlns:r="http://schemas.openxmlformats.org/officeDocument/2006/relationships" r:embed="rId20" cstate="print"/>
                    <a:stretch>
                      <a:fillRect/>
                    </a:stretch>
                  </pic:blipFill>
                  <pic:spPr>
                    <a:xfrm>
                      <a:off x="0" y="0"/>
                      <a:ext cx="2922369" cy="2054352"/>
                    </a:xfrm>
                    <a:prstGeom prst="rect">
                      <a:avLst/>
                    </a:prstGeom>
                  </pic:spPr>
                </pic:pic>
              </a:graphicData>
            </a:graphic>
          </wp:anchor>
        </w:drawing>
      </w:r>
    </w:p>
    <w:p>
      <w:pPr>
        <w:pStyle w:val="BodyText"/>
        <w:spacing w:before="7"/>
        <w:rPr>
          <w:sz w:val="7"/>
        </w:rPr>
      </w:pPr>
    </w:p>
    <w:p>
      <w:pPr>
        <w:tabs>
          <w:tab w:val="left" w:pos="6073"/>
        </w:tabs>
        <w:spacing w:line="30" w:lineRule="exact"/>
        <w:ind w:left="700" w:right="0" w:firstLine="0"/>
        <w:rPr>
          <w:sz w:val="3"/>
        </w:rPr>
      </w:pPr>
      <w:r>
        <w:rPr>
          <w:position w:val="0"/>
          <w:sz w:val="3"/>
        </w:rPr>
        <w:pict>
          <v:group id="_x0000_i1043" style="width:255.1pt;height:1.45pt;mso-position-horizontal-relative:char;mso-position-vertical-relative:line" coordorigin="0,0" coordsize="5102,29">
            <v:line id="_x0000_s1044" style="position:absolute" from="0,14" to="5102,14" stroked="t" strokecolor="#c00" strokeweight="1.44pt">
              <v:stroke dashstyle="solid"/>
            </v:line>
            <w10:wrap type="none"/>
          </v:group>
        </w:pict>
      </w:r>
      <w:r>
        <w:rPr>
          <w:position w:val="0"/>
          <w:sz w:val="3"/>
        </w:rPr>
        <w:tab/>
      </w:r>
      <w:r>
        <w:rPr>
          <w:position w:val="0"/>
          <w:sz w:val="3"/>
        </w:rPr>
        <w:pict>
          <v:group id="_x0000_i1045" style="width:255.1pt;height:1.45pt;mso-position-horizontal-relative:char;mso-position-vertical-relative:line" coordorigin="0,0" coordsize="5102,29">
            <v:line id="_x0000_s1046" style="position:absolute" from="0,14" to="5102,14" stroked="t" strokecolor="#c00" strokeweight="1.44pt">
              <v:stroke dashstyle="solid"/>
            </v:line>
            <w10:wrap type="none"/>
          </v:group>
        </w:pict>
      </w:r>
    </w:p>
    <w:p>
      <w:pPr>
        <w:tabs>
          <w:tab w:val="left" w:pos="6088"/>
        </w:tabs>
        <w:spacing w:before="41"/>
        <w:ind w:left="715" w:right="0" w:firstLine="0"/>
        <w:jc w:val="left"/>
        <w:rPr>
          <w:sz w:val="18"/>
        </w:rPr>
      </w:pPr>
      <w:r>
        <w:t xml:space="preserve">资料来源：国家金融监督管理总局， </w:t>
        <w:tab/>
        <w:t xml:space="preserve">资料来源：国家金融监督管理总局， </w:t>
      </w:r>
    </w:p>
    <w:p>
      <w:pPr>
        <w:pStyle w:val="BodyText"/>
        <w:rPr>
          <w:sz w:val="20"/>
        </w:rPr>
      </w:pPr>
    </w:p>
    <w:p>
      <w:pPr>
        <w:pStyle w:val="BodyText"/>
        <w:rPr>
          <w:sz w:val="20"/>
        </w:rPr>
      </w:pPr>
    </w:p>
    <w:p>
      <w:pPr>
        <w:pStyle w:val="BodyText"/>
        <w:spacing w:before="5"/>
        <w:rPr>
          <w:sz w:val="16"/>
        </w:rPr>
      </w:pPr>
    </w:p>
    <w:p>
      <w:pPr>
        <w:pStyle w:val="Heading2"/>
        <w:numPr>
          <w:ilvl w:val="1"/>
          <w:numId w:val="7"/>
        </w:numPr>
        <w:tabs>
          <w:tab w:val="left" w:pos="1604"/>
        </w:tabs>
        <w:spacing w:before="75" w:after="0" w:line="240" w:lineRule="auto"/>
        <w:ind w:left="1603" w:right="0" w:hanging="472"/>
        <w:jc w:val="left"/>
      </w:pPr>
      <w:bookmarkStart w:id="3" w:name="_TOC_250009"/>
      <w:bookmarkEnd w:id="3"/>
      <w:r>
        <w:t>另类投资产品数量规模双双缩水，资产支持计划逆势而上、步入快车道</w:t>
      </w:r>
    </w:p>
    <w:p>
      <w:pPr>
        <w:pStyle w:val="BodyText"/>
        <w:spacing w:before="11"/>
        <w:rPr>
          <w:b/>
          <w:sz w:val="23"/>
        </w:rPr>
      </w:pPr>
    </w:p>
    <w:p>
      <w:pPr>
        <w:pStyle w:val="BodyText"/>
        <w:ind w:right="1130"/>
        <w:jc w:val="right"/>
      </w:pPr>
      <w:r>
        <w:rPr>
          <w:spacing w:val="-5"/>
        </w:rPr>
        <w:t xml:space="preserve">根据中国保险资产管理业协会披露的数据，截至 </w:t>
      </w:r>
      <w:r>
        <w:rPr>
          <w:rFonts w:ascii="Arial" w:eastAsia="Arial"/>
        </w:rPr>
        <w:t>2023</w:t>
      </w:r>
      <w:r>
        <w:rPr>
          <w:rFonts w:ascii="Arial" w:eastAsia="Arial"/>
          <w:spacing w:val="-4"/>
        </w:rPr>
        <w:t xml:space="preserve"> </w:t>
      </w:r>
      <w:r>
        <w:rPr>
          <w:spacing w:val="-2"/>
        </w:rPr>
        <w:t>年底，保险资产管理机构及保险私募基金</w:t>
      </w:r>
    </w:p>
    <w:p>
      <w:pPr>
        <w:pStyle w:val="BodyText"/>
        <w:spacing w:before="30"/>
        <w:ind w:right="1127"/>
        <w:jc w:val="right"/>
        <w:rPr>
          <w:rFonts w:ascii="Arial" w:eastAsia="Arial"/>
        </w:rPr>
      </w:pPr>
      <w:r>
        <w:rPr>
          <w:spacing w:val="-15"/>
        </w:rPr>
        <w:t xml:space="preserve">管理人累计登记债权投资计划、股权投资计划、保险私募基金和资产支持计划 </w:t>
      </w:r>
      <w:r>
        <w:rPr>
          <w:rFonts w:ascii="Arial" w:eastAsia="Arial"/>
        </w:rPr>
        <w:t>3577</w:t>
      </w:r>
      <w:r>
        <w:rPr>
          <w:rFonts w:ascii="Arial" w:eastAsia="Arial"/>
          <w:spacing w:val="-1"/>
        </w:rPr>
        <w:t xml:space="preserve"> </w:t>
      </w:r>
      <w:r>
        <w:rPr>
          <w:spacing w:val="-21"/>
        </w:rPr>
        <w:t xml:space="preserve">只，登记规模 </w:t>
      </w:r>
      <w:r>
        <w:rPr>
          <w:rFonts w:ascii="Arial" w:eastAsia="Arial"/>
        </w:rPr>
        <w:t>8.10</w:t>
      </w:r>
    </w:p>
    <w:p>
      <w:pPr>
        <w:pStyle w:val="BodyText"/>
        <w:spacing w:before="31"/>
        <w:ind w:left="1132"/>
      </w:pPr>
      <w:r>
        <w:rPr>
          <w:spacing w:val="-6"/>
        </w:rPr>
        <w:t xml:space="preserve">万亿元。具体来看，债权投资计划登记 </w:t>
      </w:r>
      <w:r>
        <w:rPr>
          <w:rFonts w:ascii="Arial" w:eastAsia="Arial"/>
        </w:rPr>
        <w:t>3131</w:t>
      </w:r>
      <w:r>
        <w:rPr>
          <w:rFonts w:ascii="Arial" w:eastAsia="Arial"/>
          <w:spacing w:val="-4"/>
        </w:rPr>
        <w:t xml:space="preserve"> </w:t>
      </w:r>
      <w:r>
        <w:rPr>
          <w:spacing w:val="-10"/>
        </w:rPr>
        <w:t xml:space="preserve">只，登记规模 </w:t>
      </w:r>
      <w:r>
        <w:rPr>
          <w:rFonts w:ascii="Arial" w:eastAsia="Arial"/>
        </w:rPr>
        <w:t>6.08</w:t>
      </w:r>
      <w:r>
        <w:rPr>
          <w:rFonts w:ascii="Arial" w:eastAsia="Arial"/>
          <w:spacing w:val="-4"/>
        </w:rPr>
        <w:t xml:space="preserve"> </w:t>
      </w:r>
      <w:r>
        <w:rPr>
          <w:spacing w:val="-7"/>
        </w:rPr>
        <w:t xml:space="preserve">万亿元；股权投资计划登记 </w:t>
      </w:r>
      <w:r>
        <w:rPr>
          <w:rFonts w:ascii="Arial" w:eastAsia="Arial"/>
        </w:rPr>
        <w:t>130</w:t>
      </w:r>
      <w:r>
        <w:rPr>
          <w:rFonts w:ascii="Arial" w:eastAsia="Arial"/>
          <w:spacing w:val="-7"/>
        </w:rPr>
        <w:t xml:space="preserve"> </w:t>
      </w:r>
      <w:r>
        <w:t>只，</w:t>
      </w:r>
    </w:p>
    <w:p>
      <w:pPr>
        <w:pStyle w:val="BodyText"/>
        <w:spacing w:before="30"/>
        <w:ind w:left="1132"/>
      </w:pPr>
      <w:r>
        <w:rPr>
          <w:spacing w:val="-12"/>
        </w:rPr>
        <w:t xml:space="preserve">登记规模 </w:t>
      </w:r>
      <w:r>
        <w:rPr>
          <w:rFonts w:ascii="Arial" w:eastAsia="Arial"/>
        </w:rPr>
        <w:t>0.51</w:t>
      </w:r>
      <w:r>
        <w:rPr>
          <w:rFonts w:ascii="Arial" w:eastAsia="Arial"/>
          <w:spacing w:val="-7"/>
        </w:rPr>
        <w:t xml:space="preserve"> </w:t>
      </w:r>
      <w:r>
        <w:rPr>
          <w:spacing w:val="-10"/>
        </w:rPr>
        <w:t xml:space="preserve">万亿元；保险私募基金登记 </w:t>
      </w:r>
      <w:r>
        <w:rPr>
          <w:rFonts w:ascii="Arial" w:eastAsia="Arial"/>
        </w:rPr>
        <w:t>89</w:t>
      </w:r>
      <w:r>
        <w:rPr>
          <w:rFonts w:ascii="Arial" w:eastAsia="Arial"/>
          <w:spacing w:val="-5"/>
        </w:rPr>
        <w:t xml:space="preserve"> </w:t>
      </w:r>
      <w:r>
        <w:rPr>
          <w:spacing w:val="-14"/>
        </w:rPr>
        <w:t xml:space="preserve">只，登记规模 </w:t>
      </w:r>
      <w:r>
        <w:rPr>
          <w:rFonts w:ascii="Arial" w:eastAsia="Arial"/>
        </w:rPr>
        <w:t>0.51</w:t>
      </w:r>
      <w:r>
        <w:rPr>
          <w:rFonts w:ascii="Arial" w:eastAsia="Arial"/>
          <w:spacing w:val="-8"/>
        </w:rPr>
        <w:t xml:space="preserve"> </w:t>
      </w:r>
      <w:r>
        <w:rPr>
          <w:spacing w:val="-10"/>
        </w:rPr>
        <w:t xml:space="preserve">万亿元；资产支持计划登记 </w:t>
      </w:r>
      <w:r>
        <w:rPr>
          <w:rFonts w:ascii="Arial" w:eastAsia="Arial"/>
        </w:rPr>
        <w:t>227</w:t>
      </w:r>
      <w:r>
        <w:rPr>
          <w:rFonts w:ascii="Arial" w:eastAsia="Arial"/>
          <w:spacing w:val="-7"/>
        </w:rPr>
        <w:t xml:space="preserve"> </w:t>
      </w:r>
      <w:r>
        <w:t>只，</w:t>
      </w:r>
    </w:p>
    <w:p>
      <w:pPr>
        <w:pStyle w:val="BodyText"/>
        <w:spacing w:before="30"/>
        <w:ind w:left="1132"/>
      </w:pPr>
      <w:r>
        <w:t xml:space="preserve">登记规模 </w:t>
      </w:r>
      <w:r>
        <w:rPr>
          <w:rFonts w:ascii="Arial" w:eastAsia="Arial"/>
        </w:rPr>
        <w:t xml:space="preserve">1.00 </w:t>
      </w:r>
      <w:r>
        <w:t>万亿元。</w:t>
      </w:r>
    </w:p>
    <w:p>
      <w:pPr>
        <w:pStyle w:val="BodyText"/>
        <w:spacing w:before="186" w:line="266" w:lineRule="auto"/>
        <w:ind w:left="1132" w:right="1124" w:firstLine="441"/>
        <w:jc w:val="both"/>
      </w:pPr>
      <w:r>
        <w:rPr>
          <w:rFonts w:ascii="Arial" w:eastAsia="Arial"/>
        </w:rPr>
        <w:t xml:space="preserve">2023 </w:t>
      </w:r>
      <w:r>
        <w:rPr>
          <w:spacing w:val="-2"/>
        </w:rPr>
        <w:t xml:space="preserve">年全年，保险资产管理机构登记债权投资计划、股权投资计划和保险私募基金 </w:t>
      </w:r>
      <w:r>
        <w:rPr>
          <w:rFonts w:ascii="Arial" w:eastAsia="Arial"/>
        </w:rPr>
        <w:t xml:space="preserve">468 </w:t>
      </w:r>
      <w:r>
        <w:t>只，合</w:t>
      </w:r>
      <w:r>
        <w:rPr>
          <w:spacing w:val="-10"/>
        </w:rPr>
        <w:t xml:space="preserve">计注册规模 </w:t>
      </w:r>
      <w:r>
        <w:rPr>
          <w:rFonts w:ascii="Arial" w:eastAsia="Arial"/>
        </w:rPr>
        <w:t xml:space="preserve">8545.73 </w:t>
      </w:r>
      <w:r>
        <w:rPr>
          <w:spacing w:val="-17"/>
        </w:rPr>
        <w:t xml:space="preserve">亿元，较 </w:t>
      </w:r>
      <w:r>
        <w:rPr>
          <w:rFonts w:ascii="Arial" w:eastAsia="Arial"/>
        </w:rPr>
        <w:t xml:space="preserve">2022 </w:t>
      </w:r>
      <w:r>
        <w:rPr>
          <w:spacing w:val="-7"/>
        </w:rPr>
        <w:t xml:space="preserve">年数量和规模分别同比减少 </w:t>
      </w:r>
      <w:r>
        <w:rPr>
          <w:rFonts w:ascii="Arial" w:eastAsia="Arial"/>
        </w:rPr>
        <w:t>11.53%</w:t>
      </w:r>
      <w:r>
        <w:rPr>
          <w:spacing w:val="-29"/>
        </w:rPr>
        <w:t xml:space="preserve">和 </w:t>
      </w:r>
      <w:r>
        <w:rPr>
          <w:rFonts w:ascii="Arial" w:eastAsia="Arial"/>
        </w:rPr>
        <w:t>18.67%</w:t>
      </w:r>
      <w:r>
        <w:rPr>
          <w:spacing w:val="-8"/>
        </w:rPr>
        <w:t>。具体来看，债权</w:t>
      </w:r>
      <w:r>
        <w:rPr>
          <w:spacing w:val="-16"/>
        </w:rPr>
        <w:t xml:space="preserve">投资计划 </w:t>
      </w:r>
      <w:r>
        <w:rPr>
          <w:rFonts w:ascii="Arial" w:eastAsia="Arial"/>
        </w:rPr>
        <w:t xml:space="preserve">433 </w:t>
      </w:r>
      <w:r>
        <w:rPr>
          <w:spacing w:val="-15"/>
        </w:rPr>
        <w:t xml:space="preserve">只，规模 </w:t>
      </w:r>
      <w:r>
        <w:rPr>
          <w:rFonts w:ascii="Arial" w:eastAsia="Arial"/>
        </w:rPr>
        <w:t xml:space="preserve">7356.61 </w:t>
      </w:r>
      <w:r>
        <w:rPr>
          <w:spacing w:val="-10"/>
        </w:rPr>
        <w:t xml:space="preserve">亿元，规模同比减少 </w:t>
      </w:r>
      <w:r>
        <w:rPr>
          <w:rFonts w:ascii="Arial" w:eastAsia="Arial"/>
          <w:spacing w:val="-3"/>
        </w:rPr>
        <w:t>15.56%</w:t>
      </w:r>
      <w:r>
        <w:rPr>
          <w:spacing w:val="-10"/>
        </w:rPr>
        <w:t xml:space="preserve">；股权投资计划 </w:t>
      </w:r>
      <w:r>
        <w:rPr>
          <w:rFonts w:ascii="Arial" w:eastAsia="Arial"/>
        </w:rPr>
        <w:t xml:space="preserve">21 </w:t>
      </w:r>
      <w:r>
        <w:rPr>
          <w:spacing w:val="-15"/>
        </w:rPr>
        <w:t xml:space="preserve">只，规模 </w:t>
      </w:r>
      <w:r>
        <w:rPr>
          <w:rFonts w:ascii="Arial" w:eastAsia="Arial"/>
        </w:rPr>
        <w:t xml:space="preserve">661.85 </w:t>
      </w:r>
      <w:r>
        <w:t>亿</w:t>
      </w:r>
    </w:p>
    <w:p>
      <w:pPr>
        <w:pStyle w:val="BodyText"/>
        <w:spacing w:line="266" w:lineRule="auto"/>
        <w:ind w:left="1132" w:right="1122"/>
        <w:jc w:val="both"/>
      </w:pPr>
      <w:r>
        <w:rPr>
          <w:spacing w:val="-17"/>
          <w:w w:val="100"/>
        </w:rPr>
        <w:t>元，尽管较</w:t>
      </w:r>
      <w:r>
        <w:rPr>
          <w:rFonts w:ascii="Arial" w:eastAsia="Arial"/>
          <w:spacing w:val="-1"/>
          <w:w w:val="100"/>
        </w:rPr>
        <w:t>202</w:t>
      </w:r>
      <w:r>
        <w:rPr>
          <w:rFonts w:ascii="Arial" w:eastAsia="Arial"/>
          <w:w w:val="100"/>
        </w:rPr>
        <w:t>2</w:t>
      </w:r>
      <w:r>
        <w:rPr>
          <w:rFonts w:ascii="Arial" w:eastAsia="Arial"/>
        </w:rPr>
        <w:t xml:space="preserve"> </w:t>
      </w:r>
      <w:r>
        <w:rPr>
          <w:spacing w:val="-9"/>
          <w:w w:val="100"/>
        </w:rPr>
        <w:t>年数量有所下行，但规模同比增加</w:t>
      </w:r>
      <w:r>
        <w:rPr>
          <w:rFonts w:ascii="Arial" w:eastAsia="Arial"/>
          <w:spacing w:val="-1"/>
          <w:w w:val="100"/>
        </w:rPr>
        <w:t>14</w:t>
      </w:r>
      <w:r>
        <w:rPr>
          <w:rFonts w:ascii="Arial" w:eastAsia="Arial"/>
          <w:spacing w:val="1"/>
          <w:w w:val="100"/>
        </w:rPr>
        <w:t>.</w:t>
      </w:r>
      <w:r>
        <w:rPr>
          <w:rFonts w:ascii="Arial" w:eastAsia="Arial"/>
          <w:spacing w:val="-1"/>
          <w:w w:val="100"/>
        </w:rPr>
        <w:t>68</w:t>
      </w:r>
      <w:r>
        <w:rPr>
          <w:rFonts w:ascii="Arial" w:eastAsia="Arial"/>
          <w:spacing w:val="-3"/>
          <w:w w:val="100"/>
        </w:rPr>
        <w:t>%</w:t>
      </w:r>
      <w:r>
        <w:rPr>
          <w:spacing w:val="-14"/>
          <w:w w:val="100"/>
        </w:rPr>
        <w:t>；保险私募基金</w:t>
      </w:r>
      <w:r>
        <w:rPr>
          <w:rFonts w:ascii="Arial" w:eastAsia="Arial"/>
          <w:spacing w:val="-1"/>
          <w:w w:val="100"/>
        </w:rPr>
        <w:t>1</w:t>
      </w:r>
      <w:r>
        <w:rPr>
          <w:rFonts w:ascii="Arial" w:eastAsia="Arial"/>
          <w:w w:val="100"/>
        </w:rPr>
        <w:t>4</w:t>
      </w:r>
      <w:r>
        <w:rPr>
          <w:rFonts w:ascii="Arial" w:eastAsia="Arial"/>
        </w:rPr>
        <w:t xml:space="preserve"> </w:t>
      </w:r>
      <w:r>
        <w:rPr>
          <w:spacing w:val="-12"/>
          <w:w w:val="100"/>
        </w:rPr>
        <w:t>只，合计登记规模</w:t>
      </w:r>
      <w:r>
        <w:rPr>
          <w:rFonts w:ascii="Arial" w:eastAsia="Arial"/>
          <w:spacing w:val="-1"/>
          <w:w w:val="100"/>
        </w:rPr>
        <w:t>527</w:t>
      </w:r>
      <w:r>
        <w:rPr>
          <w:rFonts w:ascii="Arial" w:eastAsia="Arial"/>
          <w:w w:val="100"/>
        </w:rPr>
        <w:t>.</w:t>
      </w:r>
      <w:r>
        <w:rPr>
          <w:rFonts w:ascii="Arial" w:eastAsia="Arial"/>
          <w:spacing w:val="-3"/>
          <w:w w:val="100"/>
        </w:rPr>
        <w:t>2</w:t>
      </w:r>
      <w:r>
        <w:rPr>
          <w:rFonts w:ascii="Arial" w:eastAsia="Arial"/>
          <w:w w:val="100"/>
        </w:rPr>
        <w:t>7</w:t>
      </w:r>
      <w:r>
        <w:rPr>
          <w:spacing w:val="-9"/>
        </w:rPr>
        <w:t xml:space="preserve">亿元，数量和规模同比减少 </w:t>
      </w:r>
      <w:r>
        <w:rPr>
          <w:rFonts w:ascii="Arial" w:eastAsia="Arial"/>
        </w:rPr>
        <w:t>33.33%</w:t>
      </w:r>
      <w:r>
        <w:rPr>
          <w:spacing w:val="-27"/>
        </w:rPr>
        <w:t xml:space="preserve">和 </w:t>
      </w:r>
      <w:r>
        <w:rPr>
          <w:rFonts w:ascii="Arial" w:eastAsia="Arial"/>
        </w:rPr>
        <w:t>56.72%</w:t>
      </w:r>
      <w:r>
        <w:rPr>
          <w:spacing w:val="-9"/>
        </w:rPr>
        <w:t xml:space="preserve">。资产支持计划方面，保险资产管理机构 </w:t>
      </w:r>
      <w:r>
        <w:rPr>
          <w:rFonts w:ascii="Arial" w:eastAsia="Arial"/>
        </w:rPr>
        <w:t xml:space="preserve">2023 </w:t>
      </w:r>
      <w:r>
        <w:rPr>
          <w:spacing w:val="-2"/>
        </w:rPr>
        <w:t>年全年</w:t>
      </w:r>
      <w:r>
        <w:rPr>
          <w:spacing w:val="-13"/>
        </w:rPr>
        <w:t xml:space="preserve">合计登记 </w:t>
      </w:r>
      <w:r>
        <w:rPr>
          <w:rFonts w:ascii="Arial" w:eastAsia="Arial"/>
        </w:rPr>
        <w:t xml:space="preserve">93 </w:t>
      </w:r>
      <w:r>
        <w:rPr>
          <w:spacing w:val="-10"/>
        </w:rPr>
        <w:t xml:space="preserve">项，登记规模达 </w:t>
      </w:r>
      <w:r>
        <w:rPr>
          <w:rFonts w:ascii="Arial" w:eastAsia="Arial"/>
        </w:rPr>
        <w:t xml:space="preserve">4595.74 </w:t>
      </w:r>
      <w:r>
        <w:rPr>
          <w:spacing w:val="-3"/>
        </w:rPr>
        <w:t>亿元，实现了数量和规模双增长。</w:t>
      </w:r>
    </w:p>
    <w:p>
      <w:pPr>
        <w:pStyle w:val="BodyText"/>
        <w:spacing w:before="151"/>
        <w:ind w:left="1574"/>
        <w:jc w:val="both"/>
      </w:pPr>
      <w:r>
        <w:t xml:space="preserve">整体来看，在 </w:t>
      </w:r>
      <w:r>
        <w:rPr>
          <w:rFonts w:ascii="Arial" w:eastAsia="Arial"/>
        </w:rPr>
        <w:t xml:space="preserve">2023 </w:t>
      </w:r>
      <w:r>
        <w:t>年经济复苏斜率放缓、投融资情绪相对低迷、监管趋严的大背景下，保险资</w:t>
      </w:r>
    </w:p>
    <w:p>
      <w:pPr>
        <w:pStyle w:val="BodyText"/>
        <w:spacing w:before="30" w:line="266" w:lineRule="auto"/>
        <w:ind w:left="1132" w:right="1130"/>
        <w:jc w:val="both"/>
      </w:pPr>
      <w:r>
        <w:rPr>
          <w:spacing w:val="-13"/>
        </w:rPr>
        <w:t xml:space="preserve">管机构 </w:t>
      </w:r>
      <w:r>
        <w:rPr>
          <w:rFonts w:ascii="Arial" w:eastAsia="Arial"/>
        </w:rPr>
        <w:t xml:space="preserve">2023 </w:t>
      </w:r>
      <w:r>
        <w:rPr>
          <w:spacing w:val="-3"/>
        </w:rPr>
        <w:t>年登记的另类投资产品的数量和规模均呈现下行态势，其中细分品类出现分化，仅有资产支持计划实现双增长，步入发展快车道。</w:t>
      </w:r>
    </w:p>
    <w:p>
      <w:pPr>
        <w:spacing w:before="164" w:after="29"/>
        <w:ind w:left="1524" w:right="0" w:firstLine="0"/>
        <w:jc w:val="both"/>
        <w:rPr>
          <w:sz w:val="20"/>
        </w:rPr>
      </w:pPr>
      <w:r>
        <w:rPr>
          <w:sz w:val="20"/>
        </w:rPr>
        <w:t xml:space="preserve">表 </w:t>
      </w:r>
      <w:r>
        <w:rPr>
          <w:rFonts w:ascii="Arial" w:eastAsia="Arial"/>
          <w:sz w:val="20"/>
        </w:rPr>
        <w:t xml:space="preserve">1 </w:t>
      </w:r>
      <w:r>
        <w:rPr>
          <w:sz w:val="20"/>
        </w:rPr>
        <w:t>保险另类投资产品累计登记情况</w:t>
      </w:r>
    </w:p>
    <w:tbl>
      <w:tblPr>
        <w:tblStyle w:val="TableNormal0"/>
        <w:tblW w:w="0" w:type="auto"/>
        <w:jc w:val="left"/>
        <w:tblInd w:w="1422"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3682"/>
        <w:gridCol w:w="2839"/>
        <w:gridCol w:w="2551"/>
      </w:tblGrid>
      <w:tr>
        <w:tblPrEx>
          <w:tblW w:w="0" w:type="auto"/>
          <w:jc w:val="left"/>
          <w:tblInd w:w="1422"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312"/>
          <w:jc w:val="left"/>
        </w:trPr>
        <w:tc>
          <w:tcPr>
            <w:tcW w:w="3682" w:type="dxa"/>
            <w:tcBorders>
              <w:left w:val="dotted" w:sz="4" w:space="0" w:color="000000"/>
              <w:bottom w:val="single" w:sz="6" w:space="0" w:color="BD0000"/>
              <w:right w:val="dotted" w:sz="4" w:space="0" w:color="000000"/>
            </w:tcBorders>
          </w:tcPr>
          <w:p>
            <w:pPr>
              <w:pStyle w:val="TableParagraph"/>
              <w:spacing w:before="29"/>
              <w:ind w:left="1218" w:right="1209"/>
              <w:rPr>
                <w:b/>
                <w:sz w:val="20"/>
              </w:rPr>
            </w:pPr>
            <w:r>
              <w:rPr>
                <w:b/>
                <w:sz w:val="20"/>
              </w:rPr>
              <w:t>类型</w:t>
            </w:r>
          </w:p>
        </w:tc>
        <w:tc>
          <w:tcPr>
            <w:tcW w:w="2839" w:type="dxa"/>
            <w:tcBorders>
              <w:left w:val="dotted" w:sz="4" w:space="0" w:color="000000"/>
              <w:bottom w:val="single" w:sz="6" w:space="0" w:color="BD0000"/>
              <w:right w:val="dotted" w:sz="4" w:space="0" w:color="000000"/>
            </w:tcBorders>
          </w:tcPr>
          <w:p>
            <w:pPr>
              <w:pStyle w:val="TableParagraph"/>
              <w:spacing w:before="29"/>
              <w:ind w:left="1064" w:right="1055"/>
              <w:rPr>
                <w:b/>
                <w:sz w:val="20"/>
              </w:rPr>
            </w:pPr>
            <w:r>
              <w:rPr>
                <w:b/>
                <w:sz w:val="20"/>
              </w:rPr>
              <w:t>数量</w:t>
            </w:r>
            <w:r>
              <w:rPr>
                <w:rFonts w:ascii="Arial" w:eastAsia="Arial"/>
                <w:b/>
                <w:sz w:val="20"/>
              </w:rPr>
              <w:t>-</w:t>
            </w:r>
            <w:r>
              <w:rPr>
                <w:b/>
                <w:sz w:val="20"/>
              </w:rPr>
              <w:t>项</w:t>
            </w:r>
          </w:p>
        </w:tc>
        <w:tc>
          <w:tcPr>
            <w:tcW w:w="2551" w:type="dxa"/>
            <w:tcBorders>
              <w:left w:val="dotted" w:sz="4" w:space="0" w:color="000000"/>
              <w:bottom w:val="single" w:sz="6" w:space="0" w:color="BD0000"/>
              <w:right w:val="dotted" w:sz="4" w:space="0" w:color="000000"/>
            </w:tcBorders>
          </w:tcPr>
          <w:p>
            <w:pPr>
              <w:pStyle w:val="TableParagraph"/>
              <w:spacing w:before="29"/>
              <w:ind w:left="720" w:right="709"/>
              <w:rPr>
                <w:b/>
                <w:sz w:val="20"/>
              </w:rPr>
            </w:pPr>
            <w:r>
              <w:rPr>
                <w:b/>
                <w:sz w:val="20"/>
              </w:rPr>
              <w:t>规模</w:t>
            </w:r>
            <w:r>
              <w:rPr>
                <w:rFonts w:ascii="Arial" w:eastAsia="Arial"/>
                <w:b/>
                <w:sz w:val="20"/>
              </w:rPr>
              <w:t>-</w:t>
            </w:r>
            <w:r>
              <w:rPr>
                <w:b/>
                <w:sz w:val="20"/>
              </w:rPr>
              <w:t>万亿元</w:t>
            </w:r>
          </w:p>
        </w:tc>
      </w:tr>
      <w:tr>
        <w:tblPrEx>
          <w:tblW w:w="0" w:type="auto"/>
          <w:jc w:val="left"/>
          <w:tblInd w:w="1422" w:type="dxa"/>
          <w:tblLayout w:type="fixed"/>
          <w:tblCellMar>
            <w:top w:w="0" w:type="dxa"/>
            <w:left w:w="0" w:type="dxa"/>
            <w:bottom w:w="0" w:type="dxa"/>
            <w:right w:w="0" w:type="dxa"/>
          </w:tblCellMar>
          <w:tblLook w:val="01E0"/>
        </w:tblPrEx>
        <w:trPr>
          <w:trHeight w:val="312"/>
          <w:jc w:val="left"/>
        </w:trPr>
        <w:tc>
          <w:tcPr>
            <w:tcW w:w="3682"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28"/>
              <w:ind w:left="1218" w:right="1209"/>
              <w:rPr>
                <w:b/>
                <w:sz w:val="20"/>
              </w:rPr>
            </w:pPr>
            <w:r>
              <w:rPr>
                <w:b/>
                <w:sz w:val="20"/>
              </w:rPr>
              <w:t>债权投资计划</w:t>
            </w:r>
          </w:p>
        </w:tc>
        <w:tc>
          <w:tcPr>
            <w:tcW w:w="2839"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40"/>
              <w:ind w:left="1062" w:right="1055"/>
              <w:rPr>
                <w:rFonts w:ascii="Arial"/>
                <w:sz w:val="20"/>
              </w:rPr>
            </w:pPr>
            <w:r>
              <w:rPr>
                <w:rFonts w:ascii="Arial"/>
                <w:sz w:val="20"/>
              </w:rPr>
              <w:t>3131</w:t>
            </w:r>
          </w:p>
        </w:tc>
        <w:tc>
          <w:tcPr>
            <w:tcW w:w="2551"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40"/>
              <w:ind w:left="716" w:right="709"/>
              <w:rPr>
                <w:rFonts w:ascii="Arial"/>
                <w:sz w:val="20"/>
              </w:rPr>
            </w:pPr>
            <w:r>
              <w:rPr>
                <w:rFonts w:ascii="Arial"/>
                <w:sz w:val="20"/>
              </w:rPr>
              <w:t>6.08</w:t>
            </w:r>
          </w:p>
        </w:tc>
      </w:tr>
      <w:tr>
        <w:tblPrEx>
          <w:tblW w:w="0" w:type="auto"/>
          <w:jc w:val="left"/>
          <w:tblInd w:w="1422" w:type="dxa"/>
          <w:tblLayout w:type="fixed"/>
          <w:tblCellMar>
            <w:top w:w="0" w:type="dxa"/>
            <w:left w:w="0" w:type="dxa"/>
            <w:bottom w:w="0" w:type="dxa"/>
            <w:right w:w="0" w:type="dxa"/>
          </w:tblCellMar>
          <w:tblLook w:val="01E0"/>
        </w:tblPrEx>
        <w:trPr>
          <w:trHeight w:val="312"/>
          <w:jc w:val="left"/>
        </w:trPr>
        <w:tc>
          <w:tcPr>
            <w:tcW w:w="3682" w:type="dxa"/>
            <w:tcBorders>
              <w:top w:val="dotted" w:sz="4" w:space="0" w:color="000000"/>
              <w:left w:val="dotted" w:sz="4" w:space="0" w:color="000000"/>
              <w:bottom w:val="dotted" w:sz="4" w:space="0" w:color="000000"/>
              <w:right w:val="dotted" w:sz="4" w:space="0" w:color="000000"/>
            </w:tcBorders>
          </w:tcPr>
          <w:p>
            <w:pPr>
              <w:pStyle w:val="TableParagraph"/>
              <w:spacing w:before="28"/>
              <w:ind w:left="1218" w:right="1209"/>
              <w:rPr>
                <w:b/>
                <w:sz w:val="20"/>
              </w:rPr>
            </w:pPr>
            <w:r>
              <w:rPr>
                <w:b/>
                <w:sz w:val="20"/>
              </w:rPr>
              <w:t>股权投资计划</w:t>
            </w:r>
          </w:p>
        </w:tc>
        <w:tc>
          <w:tcPr>
            <w:tcW w:w="2839" w:type="dxa"/>
            <w:tcBorders>
              <w:top w:val="dotted" w:sz="4" w:space="0" w:color="000000"/>
              <w:left w:val="dotted" w:sz="4" w:space="0" w:color="000000"/>
              <w:bottom w:val="dotted" w:sz="4" w:space="0" w:color="000000"/>
              <w:right w:val="dotted" w:sz="4" w:space="0" w:color="000000"/>
            </w:tcBorders>
          </w:tcPr>
          <w:p>
            <w:pPr>
              <w:pStyle w:val="TableParagraph"/>
              <w:spacing w:before="42"/>
              <w:ind w:left="1064" w:right="1055"/>
              <w:rPr>
                <w:rFonts w:ascii="Arial"/>
                <w:sz w:val="20"/>
              </w:rPr>
            </w:pPr>
            <w:r>
              <w:rPr>
                <w:rFonts w:ascii="Arial"/>
                <w:sz w:val="20"/>
              </w:rPr>
              <w:t>130</w:t>
            </w:r>
          </w:p>
        </w:tc>
        <w:tc>
          <w:tcPr>
            <w:tcW w:w="2551" w:type="dxa"/>
            <w:tcBorders>
              <w:top w:val="dotted" w:sz="4" w:space="0" w:color="000000"/>
              <w:left w:val="dotted" w:sz="4" w:space="0" w:color="000000"/>
              <w:bottom w:val="dotted" w:sz="4" w:space="0" w:color="000000"/>
              <w:right w:val="dotted" w:sz="4" w:space="0" w:color="000000"/>
            </w:tcBorders>
          </w:tcPr>
          <w:p>
            <w:pPr>
              <w:pStyle w:val="TableParagraph"/>
              <w:spacing w:before="42"/>
              <w:ind w:left="716" w:right="709"/>
              <w:rPr>
                <w:rFonts w:ascii="Arial"/>
                <w:sz w:val="20"/>
              </w:rPr>
            </w:pPr>
            <w:r>
              <w:rPr>
                <w:rFonts w:ascii="Arial"/>
                <w:sz w:val="20"/>
              </w:rPr>
              <w:t>0.51</w:t>
            </w:r>
          </w:p>
        </w:tc>
      </w:tr>
      <w:tr>
        <w:tblPrEx>
          <w:tblW w:w="0" w:type="auto"/>
          <w:jc w:val="left"/>
          <w:tblInd w:w="1422" w:type="dxa"/>
          <w:tblLayout w:type="fixed"/>
          <w:tblCellMar>
            <w:top w:w="0" w:type="dxa"/>
            <w:left w:w="0" w:type="dxa"/>
            <w:bottom w:w="0" w:type="dxa"/>
            <w:right w:w="0" w:type="dxa"/>
          </w:tblCellMar>
          <w:tblLook w:val="01E0"/>
        </w:tblPrEx>
        <w:trPr>
          <w:trHeight w:val="312"/>
          <w:jc w:val="left"/>
        </w:trPr>
        <w:tc>
          <w:tcPr>
            <w:tcW w:w="368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218" w:right="1209"/>
              <w:rPr>
                <w:b/>
                <w:sz w:val="20"/>
              </w:rPr>
            </w:pPr>
            <w:r>
              <w:rPr>
                <w:b/>
                <w:sz w:val="20"/>
              </w:rPr>
              <w:t>保险私募基金</w:t>
            </w:r>
          </w:p>
        </w:tc>
        <w:tc>
          <w:tcPr>
            <w:tcW w:w="2839"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2"/>
              <w:ind w:left="1064" w:right="1055"/>
              <w:rPr>
                <w:rFonts w:ascii="Arial"/>
                <w:sz w:val="20"/>
              </w:rPr>
            </w:pPr>
            <w:r>
              <w:rPr>
                <w:rFonts w:ascii="Arial"/>
                <w:sz w:val="20"/>
              </w:rPr>
              <w:t>89</w:t>
            </w:r>
          </w:p>
        </w:tc>
        <w:tc>
          <w:tcPr>
            <w:tcW w:w="25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2"/>
              <w:ind w:left="716" w:right="709"/>
              <w:rPr>
                <w:rFonts w:ascii="Arial"/>
                <w:sz w:val="20"/>
              </w:rPr>
            </w:pPr>
            <w:r>
              <w:rPr>
                <w:rFonts w:ascii="Arial"/>
                <w:sz w:val="20"/>
              </w:rPr>
              <w:t>0.51</w:t>
            </w:r>
          </w:p>
        </w:tc>
      </w:tr>
      <w:tr>
        <w:tblPrEx>
          <w:tblW w:w="0" w:type="auto"/>
          <w:jc w:val="left"/>
          <w:tblInd w:w="1422" w:type="dxa"/>
          <w:tblLayout w:type="fixed"/>
          <w:tblCellMar>
            <w:top w:w="0" w:type="dxa"/>
            <w:left w:w="0" w:type="dxa"/>
            <w:bottom w:w="0" w:type="dxa"/>
            <w:right w:w="0" w:type="dxa"/>
          </w:tblCellMar>
          <w:tblLook w:val="01E0"/>
        </w:tblPrEx>
        <w:trPr>
          <w:trHeight w:val="312"/>
          <w:jc w:val="left"/>
        </w:trPr>
        <w:tc>
          <w:tcPr>
            <w:tcW w:w="3682" w:type="dxa"/>
            <w:tcBorders>
              <w:top w:val="dotted" w:sz="4" w:space="0" w:color="000000"/>
              <w:left w:val="dotted" w:sz="4" w:space="0" w:color="000000"/>
              <w:bottom w:val="dotted" w:sz="4" w:space="0" w:color="000000"/>
              <w:right w:val="dotted" w:sz="4" w:space="0" w:color="000000"/>
            </w:tcBorders>
          </w:tcPr>
          <w:p>
            <w:pPr>
              <w:pStyle w:val="TableParagraph"/>
              <w:spacing w:before="27"/>
              <w:ind w:left="1218" w:right="1209"/>
              <w:rPr>
                <w:b/>
                <w:sz w:val="20"/>
              </w:rPr>
            </w:pPr>
            <w:r>
              <w:rPr>
                <w:b/>
                <w:sz w:val="20"/>
              </w:rPr>
              <w:t>资产支持计划</w:t>
            </w:r>
          </w:p>
        </w:tc>
        <w:tc>
          <w:tcPr>
            <w:tcW w:w="2839" w:type="dxa"/>
            <w:tcBorders>
              <w:top w:val="dotted" w:sz="4" w:space="0" w:color="000000"/>
              <w:left w:val="dotted" w:sz="4" w:space="0" w:color="000000"/>
              <w:bottom w:val="dotted" w:sz="4" w:space="0" w:color="000000"/>
              <w:right w:val="dotted" w:sz="4" w:space="0" w:color="000000"/>
            </w:tcBorders>
          </w:tcPr>
          <w:p>
            <w:pPr>
              <w:pStyle w:val="TableParagraph"/>
              <w:ind w:left="1064" w:right="1055"/>
              <w:rPr>
                <w:rFonts w:ascii="Arial"/>
                <w:sz w:val="20"/>
              </w:rPr>
            </w:pPr>
            <w:r>
              <w:rPr>
                <w:rFonts w:ascii="Arial"/>
                <w:sz w:val="20"/>
              </w:rPr>
              <w:t>227</w:t>
            </w:r>
          </w:p>
        </w:tc>
        <w:tc>
          <w:tcPr>
            <w:tcW w:w="2551" w:type="dxa"/>
            <w:tcBorders>
              <w:top w:val="dotted" w:sz="4" w:space="0" w:color="000000"/>
              <w:left w:val="dotted" w:sz="4" w:space="0" w:color="000000"/>
              <w:bottom w:val="dotted" w:sz="4" w:space="0" w:color="000000"/>
              <w:right w:val="dotted" w:sz="4" w:space="0" w:color="000000"/>
            </w:tcBorders>
          </w:tcPr>
          <w:p>
            <w:pPr>
              <w:pStyle w:val="TableParagraph"/>
              <w:ind w:left="716" w:right="709"/>
              <w:rPr>
                <w:rFonts w:ascii="Arial"/>
                <w:sz w:val="20"/>
              </w:rPr>
            </w:pPr>
            <w:r>
              <w:rPr>
                <w:rFonts w:ascii="Arial"/>
                <w:sz w:val="20"/>
              </w:rPr>
              <w:t>1.00</w:t>
            </w:r>
          </w:p>
        </w:tc>
      </w:tr>
      <w:tr>
        <w:tblPrEx>
          <w:tblW w:w="0" w:type="auto"/>
          <w:jc w:val="left"/>
          <w:tblInd w:w="1422" w:type="dxa"/>
          <w:tblLayout w:type="fixed"/>
          <w:tblCellMar>
            <w:top w:w="0" w:type="dxa"/>
            <w:left w:w="0" w:type="dxa"/>
            <w:bottom w:w="0" w:type="dxa"/>
            <w:right w:w="0" w:type="dxa"/>
          </w:tblCellMar>
          <w:tblLook w:val="01E0"/>
        </w:tblPrEx>
        <w:trPr>
          <w:trHeight w:val="311"/>
          <w:jc w:val="left"/>
        </w:trPr>
        <w:tc>
          <w:tcPr>
            <w:tcW w:w="3682" w:type="dxa"/>
            <w:tcBorders>
              <w:top w:val="dotted" w:sz="4" w:space="0" w:color="000000"/>
              <w:left w:val="dotted" w:sz="4" w:space="0" w:color="000000"/>
              <w:bottom w:val="single" w:sz="12" w:space="0" w:color="C00000"/>
              <w:right w:val="dotted" w:sz="4" w:space="0" w:color="000000"/>
            </w:tcBorders>
            <w:shd w:val="clear" w:color="auto" w:fill="F1F1F1"/>
          </w:tcPr>
          <w:p>
            <w:pPr>
              <w:pStyle w:val="TableParagraph"/>
              <w:spacing w:before="29"/>
              <w:ind w:left="1215" w:right="1209"/>
              <w:rPr>
                <w:b/>
                <w:sz w:val="20"/>
              </w:rPr>
            </w:pPr>
            <w:r>
              <w:rPr>
                <w:b/>
                <w:sz w:val="20"/>
              </w:rPr>
              <w:t>合计数</w:t>
            </w:r>
          </w:p>
        </w:tc>
        <w:tc>
          <w:tcPr>
            <w:tcW w:w="2839" w:type="dxa"/>
            <w:tcBorders>
              <w:top w:val="dotted" w:sz="4" w:space="0" w:color="000000"/>
              <w:left w:val="dotted" w:sz="4" w:space="0" w:color="000000"/>
              <w:bottom w:val="single" w:sz="12" w:space="0" w:color="C00000"/>
              <w:right w:val="dotted" w:sz="4" w:space="0" w:color="000000"/>
            </w:tcBorders>
            <w:shd w:val="clear" w:color="auto" w:fill="F1F1F1"/>
          </w:tcPr>
          <w:p>
            <w:pPr>
              <w:pStyle w:val="TableParagraph"/>
              <w:ind w:left="1062" w:right="1055"/>
              <w:rPr>
                <w:rFonts w:ascii="Arial"/>
                <w:sz w:val="20"/>
              </w:rPr>
            </w:pPr>
            <w:r>
              <w:rPr>
                <w:rFonts w:ascii="Arial"/>
                <w:sz w:val="20"/>
              </w:rPr>
              <w:t>3577</w:t>
            </w:r>
          </w:p>
        </w:tc>
        <w:tc>
          <w:tcPr>
            <w:tcW w:w="2551" w:type="dxa"/>
            <w:tcBorders>
              <w:top w:val="dotted" w:sz="4" w:space="0" w:color="000000"/>
              <w:left w:val="dotted" w:sz="4" w:space="0" w:color="000000"/>
              <w:bottom w:val="single" w:sz="12" w:space="0" w:color="C00000"/>
              <w:right w:val="dotted" w:sz="4" w:space="0" w:color="000000"/>
            </w:tcBorders>
            <w:shd w:val="clear" w:color="auto" w:fill="F1F1F1"/>
          </w:tcPr>
          <w:p>
            <w:pPr>
              <w:pStyle w:val="TableParagraph"/>
              <w:ind w:left="716" w:right="709"/>
              <w:rPr>
                <w:rFonts w:ascii="Arial"/>
                <w:sz w:val="20"/>
              </w:rPr>
            </w:pPr>
            <w:r>
              <w:rPr>
                <w:rFonts w:ascii="Arial"/>
                <w:sz w:val="20"/>
              </w:rPr>
              <w:t>8.10</w:t>
            </w:r>
          </w:p>
        </w:tc>
      </w:tr>
    </w:tbl>
    <w:p>
      <w:pPr>
        <w:spacing w:before="41" w:line="324" w:lineRule="auto"/>
        <w:ind w:left="1524" w:right="2641" w:firstLine="0"/>
        <w:jc w:val="left"/>
        <w:rPr>
          <w:rFonts w:ascii="Arial" w:eastAsia="Arial"/>
          <w:sz w:val="18"/>
        </w:rPr>
      </w:pPr>
      <w:r>
        <w:t>资料来源：中国保险资产管理业协会，中保保险资产登记交易系统有限公司， 注：时间截至 2023.12.31</w:t>
      </w:r>
    </w:p>
    <w:p>
      <w:pPr>
        <w:pStyle w:val="BodyText"/>
        <w:rPr>
          <w:rFonts w:ascii="Arial"/>
          <w:sz w:val="20"/>
        </w:rPr>
      </w:pPr>
    </w:p>
    <w:p>
      <w:pPr>
        <w:pStyle w:val="BodyText"/>
        <w:rPr>
          <w:rFonts w:ascii="Arial"/>
          <w:sz w:val="21"/>
        </w:rPr>
      </w:pPr>
    </w:p>
    <w:p>
      <w:pPr>
        <w:spacing w:before="0"/>
        <w:ind w:left="1512" w:right="0" w:firstLine="0"/>
        <w:jc w:val="left"/>
        <w:rPr>
          <w:sz w:val="20"/>
        </w:rPr>
      </w:pPr>
      <w:r>
        <w:pict>
          <v:shape id="_x0000_s1047" style="width:396.9pt;height:0.1pt;margin-top:15.67pt;margin-left:70.25pt;mso-position-horizontal-relative:page;mso-wrap-distance-left:0;mso-wrap-distance-right:0;position:absolute;z-index:-251644928" coordorigin="1405,313" coordsize="7938,0" path="m1405,313l9343,313e" filled="f" stroked="t" strokecolor="#bd0000" strokeweight="1.44pt">
            <v:stroke dashstyle="solid"/>
            <v:path arrowok="t"/>
            <w10:wrap type="topAndBottom"/>
          </v:shape>
        </w:pict>
      </w:r>
      <w:r>
        <w:rPr>
          <w:sz w:val="20"/>
        </w:rPr>
        <w:t xml:space="preserve">表 </w:t>
      </w:r>
      <w:r>
        <w:rPr>
          <w:rFonts w:ascii="Arial" w:eastAsia="Arial"/>
          <w:sz w:val="20"/>
        </w:rPr>
        <w:t xml:space="preserve">2 2023 </w:t>
      </w:r>
      <w:r>
        <w:rPr>
          <w:sz w:val="20"/>
        </w:rPr>
        <w:t>年另类投资产品登记情况</w:t>
      </w:r>
    </w:p>
    <w:p>
      <w:pPr>
        <w:spacing w:after="0"/>
        <w:jc w:val="left"/>
        <w:rPr>
          <w:sz w:val="20"/>
        </w:rPr>
        <w:sectPr>
          <w:headerReference w:type="default" r:id="rId21"/>
          <w:footerReference w:type="default" r:id="rId22"/>
          <w:pgSz w:w="11910" w:h="16840"/>
          <w:pgMar w:top="1280" w:right="0" w:bottom="1000" w:left="0" w:header="708" w:footer="708"/>
          <w:pgNumType w:start="6"/>
          <w:cols w:space="708"/>
        </w:sectPr>
      </w:pPr>
    </w:p>
    <w:p>
      <w:pPr>
        <w:pStyle w:val="BodyText"/>
        <w:spacing w:before="4"/>
        <w:rPr>
          <w:sz w:val="4"/>
        </w:rPr>
      </w:pPr>
    </w:p>
    <w:tbl>
      <w:tblPr>
        <w:tblStyle w:val="TableNormal1"/>
        <w:tblW w:w="0" w:type="auto"/>
        <w:jc w:val="left"/>
        <w:tblInd w:w="1410"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2217"/>
        <w:gridCol w:w="1327"/>
        <w:gridCol w:w="1850"/>
        <w:gridCol w:w="1851"/>
        <w:gridCol w:w="1851"/>
      </w:tblGrid>
      <w:tr>
        <w:tblPrEx>
          <w:tblW w:w="0" w:type="auto"/>
          <w:jc w:val="left"/>
          <w:tblInd w:w="1410"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312"/>
          <w:jc w:val="left"/>
        </w:trPr>
        <w:tc>
          <w:tcPr>
            <w:tcW w:w="2217" w:type="dxa"/>
            <w:tcBorders>
              <w:left w:val="dotted" w:sz="4" w:space="0" w:color="000000"/>
              <w:bottom w:val="single" w:sz="6" w:space="0" w:color="BD0000"/>
              <w:right w:val="dotted" w:sz="4" w:space="0" w:color="000000"/>
            </w:tcBorders>
          </w:tcPr>
          <w:p>
            <w:pPr>
              <w:pStyle w:val="TableParagraph"/>
              <w:spacing w:before="29"/>
              <w:ind w:left="785" w:right="775"/>
              <w:rPr>
                <w:b/>
                <w:sz w:val="20"/>
              </w:rPr>
            </w:pPr>
            <w:r>
              <w:rPr>
                <w:b/>
                <w:sz w:val="20"/>
              </w:rPr>
              <w:t>类型</w:t>
            </w:r>
          </w:p>
        </w:tc>
        <w:tc>
          <w:tcPr>
            <w:tcW w:w="1327" w:type="dxa"/>
            <w:tcBorders>
              <w:left w:val="dotted" w:sz="4" w:space="0" w:color="000000"/>
              <w:bottom w:val="single" w:sz="6" w:space="0" w:color="BD0000"/>
              <w:right w:val="dotted" w:sz="4" w:space="0" w:color="000000"/>
            </w:tcBorders>
          </w:tcPr>
          <w:p>
            <w:pPr>
              <w:pStyle w:val="TableParagraph"/>
              <w:spacing w:before="0"/>
              <w:jc w:val="left"/>
              <w:rPr>
                <w:rFonts w:ascii="Times New Roman"/>
                <w:sz w:val="20"/>
              </w:rPr>
            </w:pPr>
          </w:p>
        </w:tc>
        <w:tc>
          <w:tcPr>
            <w:tcW w:w="1850" w:type="dxa"/>
            <w:tcBorders>
              <w:left w:val="dotted" w:sz="4" w:space="0" w:color="000000"/>
              <w:bottom w:val="single" w:sz="6" w:space="0" w:color="BD0000"/>
              <w:right w:val="dotted" w:sz="4" w:space="0" w:color="000000"/>
            </w:tcBorders>
          </w:tcPr>
          <w:p>
            <w:pPr>
              <w:pStyle w:val="TableParagraph"/>
              <w:spacing w:before="29"/>
              <w:ind w:left="487" w:right="478"/>
              <w:rPr>
                <w:b/>
                <w:sz w:val="20"/>
              </w:rPr>
            </w:pPr>
            <w:r>
              <w:rPr>
                <w:rFonts w:ascii="Arial" w:eastAsia="Arial"/>
                <w:b/>
                <w:sz w:val="20"/>
              </w:rPr>
              <w:t xml:space="preserve">2023 </w:t>
            </w:r>
            <w:r>
              <w:rPr>
                <w:b/>
                <w:sz w:val="20"/>
              </w:rPr>
              <w:t>年</w:t>
            </w:r>
          </w:p>
        </w:tc>
        <w:tc>
          <w:tcPr>
            <w:tcW w:w="1851" w:type="dxa"/>
            <w:tcBorders>
              <w:left w:val="dotted" w:sz="4" w:space="0" w:color="000000"/>
              <w:bottom w:val="single" w:sz="6" w:space="0" w:color="BD0000"/>
              <w:right w:val="dotted" w:sz="4" w:space="0" w:color="000000"/>
            </w:tcBorders>
          </w:tcPr>
          <w:p>
            <w:pPr>
              <w:pStyle w:val="TableParagraph"/>
              <w:spacing w:before="29"/>
              <w:ind w:right="567"/>
              <w:jc w:val="right"/>
              <w:rPr>
                <w:b/>
                <w:sz w:val="20"/>
              </w:rPr>
            </w:pPr>
            <w:r>
              <w:rPr>
                <w:rFonts w:ascii="Arial" w:eastAsia="Arial"/>
                <w:b/>
                <w:sz w:val="20"/>
              </w:rPr>
              <w:t xml:space="preserve">2022 </w:t>
            </w:r>
            <w:r>
              <w:rPr>
                <w:b/>
                <w:sz w:val="20"/>
              </w:rPr>
              <w:t>年</w:t>
            </w:r>
          </w:p>
        </w:tc>
        <w:tc>
          <w:tcPr>
            <w:tcW w:w="1851" w:type="dxa"/>
            <w:tcBorders>
              <w:left w:val="dotted" w:sz="4" w:space="0" w:color="000000"/>
              <w:bottom w:val="single" w:sz="6" w:space="0" w:color="BD0000"/>
              <w:right w:val="dotted" w:sz="4" w:space="0" w:color="000000"/>
            </w:tcBorders>
          </w:tcPr>
          <w:p>
            <w:pPr>
              <w:pStyle w:val="TableParagraph"/>
              <w:spacing w:before="29"/>
              <w:ind w:left="531" w:right="523"/>
              <w:rPr>
                <w:b/>
                <w:sz w:val="20"/>
              </w:rPr>
            </w:pPr>
            <w:r>
              <w:rPr>
                <w:b/>
                <w:sz w:val="20"/>
              </w:rPr>
              <w:t>增幅</w:t>
            </w:r>
          </w:p>
        </w:tc>
      </w:tr>
      <w:tr>
        <w:tblPrEx>
          <w:tblW w:w="0" w:type="auto"/>
          <w:jc w:val="left"/>
          <w:tblInd w:w="1410" w:type="dxa"/>
          <w:tblLayout w:type="fixed"/>
          <w:tblCellMar>
            <w:top w:w="0" w:type="dxa"/>
            <w:left w:w="0" w:type="dxa"/>
            <w:bottom w:w="0" w:type="dxa"/>
            <w:right w:w="0" w:type="dxa"/>
          </w:tblCellMar>
          <w:tblLook w:val="01E0"/>
        </w:tblPrEx>
        <w:trPr>
          <w:trHeight w:val="343"/>
          <w:jc w:val="left"/>
        </w:trPr>
        <w:tc>
          <w:tcPr>
            <w:tcW w:w="2217" w:type="dxa"/>
            <w:vMerge w:val="restart"/>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2"/>
              <w:jc w:val="left"/>
              <w:rPr>
                <w:sz w:val="17"/>
              </w:rPr>
            </w:pPr>
          </w:p>
          <w:p>
            <w:pPr>
              <w:pStyle w:val="TableParagraph"/>
              <w:spacing w:before="0"/>
              <w:ind w:left="507"/>
              <w:jc w:val="left"/>
              <w:rPr>
                <w:b/>
                <w:sz w:val="20"/>
              </w:rPr>
            </w:pPr>
            <w:r>
              <w:rPr>
                <w:b/>
                <w:sz w:val="20"/>
              </w:rPr>
              <w:t>债权投资计划</w:t>
            </w:r>
          </w:p>
        </w:tc>
        <w:tc>
          <w:tcPr>
            <w:tcW w:w="1327"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42"/>
              <w:ind w:left="208" w:right="200"/>
              <w:rPr>
                <w:sz w:val="20"/>
              </w:rPr>
            </w:pPr>
            <w:r>
              <w:rPr>
                <w:sz w:val="20"/>
              </w:rPr>
              <w:t>数量</w:t>
            </w:r>
            <w:r>
              <w:rPr>
                <w:rFonts w:ascii="Arial" w:eastAsia="Arial"/>
                <w:sz w:val="20"/>
              </w:rPr>
              <w:t>-</w:t>
            </w:r>
            <w:r>
              <w:rPr>
                <w:sz w:val="20"/>
              </w:rPr>
              <w:t>项</w:t>
            </w:r>
          </w:p>
        </w:tc>
        <w:tc>
          <w:tcPr>
            <w:tcW w:w="1850"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57"/>
              <w:ind w:left="485" w:right="478"/>
              <w:rPr>
                <w:rFonts w:ascii="Arial"/>
                <w:sz w:val="20"/>
              </w:rPr>
            </w:pPr>
            <w:r>
              <w:rPr>
                <w:rFonts w:ascii="Arial"/>
                <w:sz w:val="20"/>
              </w:rPr>
              <w:t>433</w:t>
            </w:r>
          </w:p>
        </w:tc>
        <w:tc>
          <w:tcPr>
            <w:tcW w:w="1851"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57"/>
              <w:ind w:left="530" w:right="523"/>
              <w:rPr>
                <w:rFonts w:ascii="Arial"/>
                <w:sz w:val="20"/>
              </w:rPr>
            </w:pPr>
            <w:r>
              <w:rPr>
                <w:rFonts w:ascii="Arial"/>
                <w:sz w:val="20"/>
              </w:rPr>
              <w:t>485</w:t>
            </w:r>
          </w:p>
        </w:tc>
        <w:tc>
          <w:tcPr>
            <w:tcW w:w="1851"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57"/>
              <w:ind w:left="532" w:right="523"/>
              <w:rPr>
                <w:rFonts w:ascii="Arial"/>
                <w:sz w:val="20"/>
              </w:rPr>
            </w:pPr>
            <w:r>
              <w:rPr>
                <w:rFonts w:ascii="Arial"/>
                <w:sz w:val="20"/>
              </w:rPr>
              <w:t>-10.72%</w:t>
            </w:r>
          </w:p>
        </w:tc>
      </w:tr>
      <w:tr>
        <w:tblPrEx>
          <w:tblW w:w="0" w:type="auto"/>
          <w:jc w:val="left"/>
          <w:tblInd w:w="1410" w:type="dxa"/>
          <w:tblLayout w:type="fixed"/>
          <w:tblCellMar>
            <w:top w:w="0" w:type="dxa"/>
            <w:left w:w="0" w:type="dxa"/>
            <w:bottom w:w="0" w:type="dxa"/>
            <w:right w:w="0" w:type="dxa"/>
          </w:tblCellMar>
          <w:tblLook w:val="01E0"/>
        </w:tblPrEx>
        <w:trPr>
          <w:trHeight w:val="342"/>
          <w:jc w:val="left"/>
        </w:trPr>
        <w:tc>
          <w:tcPr>
            <w:tcW w:w="221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1327"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2"/>
              <w:ind w:left="208" w:right="202"/>
              <w:rPr>
                <w:sz w:val="20"/>
              </w:rPr>
            </w:pPr>
            <w:r>
              <w:rPr>
                <w:sz w:val="20"/>
              </w:rPr>
              <w:t>规模</w:t>
            </w:r>
            <w:r>
              <w:rPr>
                <w:rFonts w:ascii="Arial" w:eastAsia="Arial"/>
                <w:sz w:val="20"/>
              </w:rPr>
              <w:t>-</w:t>
            </w:r>
            <w:r>
              <w:rPr>
                <w:sz w:val="20"/>
              </w:rPr>
              <w:t>亿元</w:t>
            </w:r>
          </w:p>
        </w:tc>
        <w:tc>
          <w:tcPr>
            <w:tcW w:w="1850"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7"/>
              <w:ind w:left="485" w:right="478"/>
              <w:rPr>
                <w:rFonts w:ascii="Arial"/>
                <w:sz w:val="20"/>
              </w:rPr>
            </w:pPr>
            <w:r>
              <w:rPr>
                <w:rFonts w:ascii="Arial"/>
                <w:sz w:val="20"/>
              </w:rPr>
              <w:t>7356.61</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7"/>
              <w:ind w:right="554"/>
              <w:jc w:val="right"/>
              <w:rPr>
                <w:rFonts w:ascii="Arial"/>
                <w:sz w:val="20"/>
              </w:rPr>
            </w:pPr>
            <w:r>
              <w:rPr>
                <w:rFonts w:ascii="Arial"/>
                <w:sz w:val="20"/>
              </w:rPr>
              <w:t>8711.78</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7"/>
              <w:ind w:left="532" w:right="523"/>
              <w:rPr>
                <w:rFonts w:ascii="Arial"/>
                <w:sz w:val="20"/>
              </w:rPr>
            </w:pPr>
            <w:r>
              <w:rPr>
                <w:rFonts w:ascii="Arial"/>
                <w:sz w:val="20"/>
              </w:rPr>
              <w:t>-15.56%</w:t>
            </w:r>
          </w:p>
        </w:tc>
      </w:tr>
      <w:tr>
        <w:tblPrEx>
          <w:tblW w:w="0" w:type="auto"/>
          <w:jc w:val="left"/>
          <w:tblInd w:w="1410" w:type="dxa"/>
          <w:tblLayout w:type="fixed"/>
          <w:tblCellMar>
            <w:top w:w="0" w:type="dxa"/>
            <w:left w:w="0" w:type="dxa"/>
            <w:bottom w:w="0" w:type="dxa"/>
            <w:right w:w="0" w:type="dxa"/>
          </w:tblCellMar>
          <w:tblLook w:val="01E0"/>
        </w:tblPrEx>
        <w:trPr>
          <w:trHeight w:val="343"/>
          <w:jc w:val="left"/>
        </w:trPr>
        <w:tc>
          <w:tcPr>
            <w:tcW w:w="2217"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1"/>
              <w:jc w:val="left"/>
              <w:rPr>
                <w:sz w:val="17"/>
              </w:rPr>
            </w:pPr>
          </w:p>
          <w:p>
            <w:pPr>
              <w:pStyle w:val="TableParagraph"/>
              <w:spacing w:before="0"/>
              <w:ind w:left="507"/>
              <w:jc w:val="left"/>
              <w:rPr>
                <w:b/>
                <w:sz w:val="20"/>
              </w:rPr>
            </w:pPr>
            <w:r>
              <w:rPr>
                <w:b/>
                <w:sz w:val="20"/>
              </w:rPr>
              <w:t>股权投资计划</w:t>
            </w:r>
          </w:p>
        </w:tc>
        <w:tc>
          <w:tcPr>
            <w:tcW w:w="1327" w:type="dxa"/>
            <w:tcBorders>
              <w:top w:val="dotted" w:sz="4" w:space="0" w:color="000000"/>
              <w:left w:val="dotted" w:sz="4" w:space="0" w:color="000000"/>
              <w:bottom w:val="dotted" w:sz="4" w:space="0" w:color="000000"/>
              <w:right w:val="dotted" w:sz="4" w:space="0" w:color="000000"/>
            </w:tcBorders>
          </w:tcPr>
          <w:p>
            <w:pPr>
              <w:pStyle w:val="TableParagraph"/>
              <w:spacing w:before="42"/>
              <w:ind w:left="208" w:right="200"/>
              <w:rPr>
                <w:sz w:val="20"/>
              </w:rPr>
            </w:pPr>
            <w:r>
              <w:rPr>
                <w:sz w:val="20"/>
              </w:rPr>
              <w:t>数量</w:t>
            </w:r>
            <w:r>
              <w:rPr>
                <w:rFonts w:ascii="Arial" w:eastAsia="Arial"/>
                <w:sz w:val="20"/>
              </w:rPr>
              <w:t>-</w:t>
            </w:r>
            <w:r>
              <w:rPr>
                <w:sz w:val="20"/>
              </w:rPr>
              <w:t>项</w:t>
            </w:r>
          </w:p>
        </w:tc>
        <w:tc>
          <w:tcPr>
            <w:tcW w:w="1850" w:type="dxa"/>
            <w:tcBorders>
              <w:top w:val="dotted" w:sz="4" w:space="0" w:color="000000"/>
              <w:left w:val="dotted" w:sz="4" w:space="0" w:color="000000"/>
              <w:bottom w:val="dotted" w:sz="4" w:space="0" w:color="000000"/>
              <w:right w:val="dotted" w:sz="4" w:space="0" w:color="000000"/>
            </w:tcBorders>
          </w:tcPr>
          <w:p>
            <w:pPr>
              <w:pStyle w:val="TableParagraph"/>
              <w:spacing w:before="56"/>
              <w:ind w:left="485" w:right="478"/>
              <w:rPr>
                <w:rFonts w:ascii="Arial"/>
                <w:sz w:val="20"/>
              </w:rPr>
            </w:pPr>
            <w:r>
              <w:rPr>
                <w:rFonts w:ascii="Arial"/>
                <w:sz w:val="20"/>
              </w:rPr>
              <w:t>21</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spacing w:before="56"/>
              <w:ind w:left="530" w:right="523"/>
              <w:rPr>
                <w:rFonts w:ascii="Arial"/>
                <w:sz w:val="20"/>
              </w:rPr>
            </w:pPr>
            <w:r>
              <w:rPr>
                <w:rFonts w:ascii="Arial"/>
                <w:sz w:val="20"/>
              </w:rPr>
              <w:t>23</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spacing w:before="56"/>
              <w:ind w:left="532" w:right="523"/>
              <w:rPr>
                <w:rFonts w:ascii="Arial"/>
                <w:sz w:val="20"/>
              </w:rPr>
            </w:pPr>
            <w:r>
              <w:rPr>
                <w:rFonts w:ascii="Arial"/>
                <w:sz w:val="20"/>
              </w:rPr>
              <w:t>-8.70%</w:t>
            </w:r>
          </w:p>
        </w:tc>
      </w:tr>
      <w:tr>
        <w:tblPrEx>
          <w:tblW w:w="0" w:type="auto"/>
          <w:jc w:val="left"/>
          <w:tblInd w:w="1410" w:type="dxa"/>
          <w:tblLayout w:type="fixed"/>
          <w:tblCellMar>
            <w:top w:w="0" w:type="dxa"/>
            <w:left w:w="0" w:type="dxa"/>
            <w:bottom w:w="0" w:type="dxa"/>
            <w:right w:w="0" w:type="dxa"/>
          </w:tblCellMar>
          <w:tblLook w:val="01E0"/>
        </w:tblPrEx>
        <w:trPr>
          <w:trHeight w:val="342"/>
          <w:jc w:val="left"/>
        </w:trPr>
        <w:tc>
          <w:tcPr>
            <w:tcW w:w="2217" w:type="dxa"/>
            <w:vMerge/>
            <w:tcBorders>
              <w:top w:val="nil"/>
              <w:left w:val="dotted" w:sz="4" w:space="0" w:color="000000"/>
              <w:bottom w:val="dotted" w:sz="4" w:space="0" w:color="000000"/>
              <w:right w:val="dotted" w:sz="4" w:space="0" w:color="000000"/>
            </w:tcBorders>
          </w:tcPr>
          <w:p>
            <w:pPr>
              <w:rPr>
                <w:sz w:val="2"/>
                <w:szCs w:val="2"/>
              </w:rPr>
            </w:pPr>
          </w:p>
        </w:tc>
        <w:tc>
          <w:tcPr>
            <w:tcW w:w="1327" w:type="dxa"/>
            <w:tcBorders>
              <w:top w:val="dotted" w:sz="4" w:space="0" w:color="000000"/>
              <w:left w:val="dotted" w:sz="4" w:space="0" w:color="000000"/>
              <w:bottom w:val="dotted" w:sz="4" w:space="0" w:color="000000"/>
              <w:right w:val="dotted" w:sz="4" w:space="0" w:color="000000"/>
            </w:tcBorders>
          </w:tcPr>
          <w:p>
            <w:pPr>
              <w:pStyle w:val="TableParagraph"/>
              <w:spacing w:before="44"/>
              <w:ind w:left="208" w:right="202"/>
              <w:rPr>
                <w:sz w:val="20"/>
              </w:rPr>
            </w:pPr>
            <w:r>
              <w:rPr>
                <w:sz w:val="20"/>
              </w:rPr>
              <w:t>规模</w:t>
            </w:r>
            <w:r>
              <w:rPr>
                <w:rFonts w:ascii="Arial" w:eastAsia="Arial"/>
                <w:sz w:val="20"/>
              </w:rPr>
              <w:t>-</w:t>
            </w:r>
            <w:r>
              <w:rPr>
                <w:sz w:val="20"/>
              </w:rPr>
              <w:t>亿元</w:t>
            </w:r>
          </w:p>
        </w:tc>
        <w:tc>
          <w:tcPr>
            <w:tcW w:w="1850" w:type="dxa"/>
            <w:tcBorders>
              <w:top w:val="dotted" w:sz="4" w:space="0" w:color="000000"/>
              <w:left w:val="dotted" w:sz="4" w:space="0" w:color="000000"/>
              <w:bottom w:val="dotted" w:sz="4" w:space="0" w:color="000000"/>
              <w:right w:val="dotted" w:sz="4" w:space="0" w:color="000000"/>
            </w:tcBorders>
          </w:tcPr>
          <w:p>
            <w:pPr>
              <w:pStyle w:val="TableParagraph"/>
              <w:spacing w:before="56"/>
              <w:ind w:left="485" w:right="478"/>
              <w:rPr>
                <w:rFonts w:ascii="Arial"/>
                <w:sz w:val="20"/>
              </w:rPr>
            </w:pPr>
            <w:r>
              <w:rPr>
                <w:rFonts w:ascii="Arial"/>
                <w:color w:val="FF0000"/>
                <w:sz w:val="20"/>
              </w:rPr>
              <w:t>661.85</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spacing w:before="56"/>
              <w:ind w:left="619"/>
              <w:jc w:val="left"/>
              <w:rPr>
                <w:rFonts w:ascii="Arial"/>
                <w:sz w:val="20"/>
              </w:rPr>
            </w:pPr>
            <w:r>
              <w:rPr>
                <w:rFonts w:ascii="Arial"/>
                <w:color w:val="FF0000"/>
                <w:sz w:val="20"/>
              </w:rPr>
              <w:t>577.15</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spacing w:before="56"/>
              <w:ind w:left="532" w:right="523"/>
              <w:rPr>
                <w:rFonts w:ascii="Arial"/>
                <w:sz w:val="20"/>
              </w:rPr>
            </w:pPr>
            <w:r>
              <w:rPr>
                <w:rFonts w:ascii="Arial"/>
                <w:color w:val="FF0000"/>
                <w:sz w:val="20"/>
              </w:rPr>
              <w:t>14.68%</w:t>
            </w:r>
          </w:p>
        </w:tc>
      </w:tr>
      <w:tr>
        <w:tblPrEx>
          <w:tblW w:w="0" w:type="auto"/>
          <w:jc w:val="left"/>
          <w:tblInd w:w="1410" w:type="dxa"/>
          <w:tblLayout w:type="fixed"/>
          <w:tblCellMar>
            <w:top w:w="0" w:type="dxa"/>
            <w:left w:w="0" w:type="dxa"/>
            <w:bottom w:w="0" w:type="dxa"/>
            <w:right w:w="0" w:type="dxa"/>
          </w:tblCellMar>
          <w:tblLook w:val="01E0"/>
        </w:tblPrEx>
        <w:trPr>
          <w:trHeight w:val="342"/>
          <w:jc w:val="left"/>
        </w:trPr>
        <w:tc>
          <w:tcPr>
            <w:tcW w:w="2217" w:type="dxa"/>
            <w:vMerge w:val="restart"/>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1"/>
              <w:jc w:val="left"/>
              <w:rPr>
                <w:sz w:val="17"/>
              </w:rPr>
            </w:pPr>
          </w:p>
          <w:p>
            <w:pPr>
              <w:pStyle w:val="TableParagraph"/>
              <w:spacing w:before="0"/>
              <w:ind w:left="507"/>
              <w:jc w:val="left"/>
              <w:rPr>
                <w:b/>
                <w:sz w:val="20"/>
              </w:rPr>
            </w:pPr>
            <w:r>
              <w:rPr>
                <w:b/>
                <w:sz w:val="20"/>
              </w:rPr>
              <w:t>保险私募基金</w:t>
            </w:r>
          </w:p>
        </w:tc>
        <w:tc>
          <w:tcPr>
            <w:tcW w:w="1327"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4"/>
              <w:ind w:left="208" w:right="200"/>
              <w:rPr>
                <w:sz w:val="20"/>
              </w:rPr>
            </w:pPr>
            <w:r>
              <w:rPr>
                <w:sz w:val="20"/>
              </w:rPr>
              <w:t>数量</w:t>
            </w:r>
            <w:r>
              <w:rPr>
                <w:rFonts w:ascii="Arial" w:eastAsia="Arial"/>
                <w:sz w:val="20"/>
              </w:rPr>
              <w:t>-</w:t>
            </w:r>
            <w:r>
              <w:rPr>
                <w:sz w:val="20"/>
              </w:rPr>
              <w:t>项</w:t>
            </w:r>
          </w:p>
        </w:tc>
        <w:tc>
          <w:tcPr>
            <w:tcW w:w="1850"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6"/>
              <w:ind w:left="485" w:right="478"/>
              <w:rPr>
                <w:rFonts w:ascii="Arial"/>
                <w:sz w:val="20"/>
              </w:rPr>
            </w:pPr>
            <w:r>
              <w:rPr>
                <w:rFonts w:ascii="Arial"/>
                <w:sz w:val="20"/>
              </w:rPr>
              <w:t>14</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6"/>
              <w:ind w:left="530" w:right="523"/>
              <w:rPr>
                <w:rFonts w:ascii="Arial"/>
                <w:sz w:val="20"/>
              </w:rPr>
            </w:pPr>
            <w:r>
              <w:rPr>
                <w:rFonts w:ascii="Arial"/>
                <w:sz w:val="20"/>
              </w:rPr>
              <w:t>21</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6"/>
              <w:ind w:left="532" w:right="523"/>
              <w:rPr>
                <w:rFonts w:ascii="Arial"/>
                <w:sz w:val="20"/>
              </w:rPr>
            </w:pPr>
            <w:r>
              <w:rPr>
                <w:rFonts w:ascii="Arial"/>
                <w:sz w:val="20"/>
              </w:rPr>
              <w:t>-33.33%</w:t>
            </w:r>
          </w:p>
        </w:tc>
      </w:tr>
      <w:tr>
        <w:tblPrEx>
          <w:tblW w:w="0" w:type="auto"/>
          <w:jc w:val="left"/>
          <w:tblInd w:w="1410" w:type="dxa"/>
          <w:tblLayout w:type="fixed"/>
          <w:tblCellMar>
            <w:top w:w="0" w:type="dxa"/>
            <w:left w:w="0" w:type="dxa"/>
            <w:bottom w:w="0" w:type="dxa"/>
            <w:right w:w="0" w:type="dxa"/>
          </w:tblCellMar>
          <w:tblLook w:val="01E0"/>
        </w:tblPrEx>
        <w:trPr>
          <w:trHeight w:val="342"/>
          <w:jc w:val="left"/>
        </w:trPr>
        <w:tc>
          <w:tcPr>
            <w:tcW w:w="221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1327"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3"/>
              <w:ind w:left="208" w:right="202"/>
              <w:rPr>
                <w:sz w:val="20"/>
              </w:rPr>
            </w:pPr>
            <w:r>
              <w:rPr>
                <w:sz w:val="20"/>
              </w:rPr>
              <w:t>规模</w:t>
            </w:r>
            <w:r>
              <w:rPr>
                <w:rFonts w:ascii="Arial" w:eastAsia="Arial"/>
                <w:sz w:val="20"/>
              </w:rPr>
              <w:t>-</w:t>
            </w:r>
            <w:r>
              <w:rPr>
                <w:sz w:val="20"/>
              </w:rPr>
              <w:t>亿元</w:t>
            </w:r>
          </w:p>
        </w:tc>
        <w:tc>
          <w:tcPr>
            <w:tcW w:w="1850"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6"/>
              <w:ind w:left="485" w:right="478"/>
              <w:rPr>
                <w:rFonts w:ascii="Arial"/>
                <w:sz w:val="20"/>
              </w:rPr>
            </w:pPr>
            <w:r>
              <w:rPr>
                <w:rFonts w:ascii="Arial"/>
                <w:sz w:val="20"/>
              </w:rPr>
              <w:t>527.27</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6"/>
              <w:ind w:right="554"/>
              <w:jc w:val="right"/>
              <w:rPr>
                <w:rFonts w:ascii="Arial"/>
                <w:sz w:val="20"/>
              </w:rPr>
            </w:pPr>
            <w:r>
              <w:rPr>
                <w:rFonts w:ascii="Arial"/>
                <w:sz w:val="20"/>
              </w:rPr>
              <w:t>1218.28</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6"/>
              <w:ind w:left="532" w:right="523"/>
              <w:rPr>
                <w:rFonts w:ascii="Arial"/>
                <w:sz w:val="20"/>
              </w:rPr>
            </w:pPr>
            <w:r>
              <w:rPr>
                <w:rFonts w:ascii="Arial"/>
                <w:sz w:val="20"/>
              </w:rPr>
              <w:t>-56.72%</w:t>
            </w:r>
          </w:p>
        </w:tc>
      </w:tr>
      <w:tr>
        <w:tblPrEx>
          <w:tblW w:w="0" w:type="auto"/>
          <w:jc w:val="left"/>
          <w:tblInd w:w="1410" w:type="dxa"/>
          <w:tblLayout w:type="fixed"/>
          <w:tblCellMar>
            <w:top w:w="0" w:type="dxa"/>
            <w:left w:w="0" w:type="dxa"/>
            <w:bottom w:w="0" w:type="dxa"/>
            <w:right w:w="0" w:type="dxa"/>
          </w:tblCellMar>
          <w:tblLook w:val="01E0"/>
        </w:tblPrEx>
        <w:trPr>
          <w:trHeight w:val="342"/>
          <w:jc w:val="left"/>
        </w:trPr>
        <w:tc>
          <w:tcPr>
            <w:tcW w:w="2217"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17"/>
              </w:rPr>
            </w:pPr>
          </w:p>
          <w:p>
            <w:pPr>
              <w:pStyle w:val="TableParagraph"/>
              <w:spacing w:before="0"/>
              <w:ind w:left="507"/>
              <w:jc w:val="left"/>
              <w:rPr>
                <w:b/>
                <w:sz w:val="20"/>
              </w:rPr>
            </w:pPr>
            <w:r>
              <w:rPr>
                <w:b/>
                <w:sz w:val="20"/>
              </w:rPr>
              <w:t>资产支持计划</w:t>
            </w:r>
          </w:p>
        </w:tc>
        <w:tc>
          <w:tcPr>
            <w:tcW w:w="1327" w:type="dxa"/>
            <w:tcBorders>
              <w:top w:val="dotted" w:sz="4" w:space="0" w:color="000000"/>
              <w:left w:val="dotted" w:sz="4" w:space="0" w:color="000000"/>
              <w:bottom w:val="dotted" w:sz="4" w:space="0" w:color="000000"/>
              <w:right w:val="dotted" w:sz="4" w:space="0" w:color="000000"/>
            </w:tcBorders>
          </w:tcPr>
          <w:p>
            <w:pPr>
              <w:pStyle w:val="TableParagraph"/>
              <w:spacing w:before="29"/>
              <w:ind w:left="208" w:right="200"/>
              <w:rPr>
                <w:sz w:val="20"/>
              </w:rPr>
            </w:pPr>
            <w:r>
              <w:rPr>
                <w:sz w:val="20"/>
              </w:rPr>
              <w:t>数量</w:t>
            </w:r>
            <w:r>
              <w:rPr>
                <w:rFonts w:ascii="Arial" w:eastAsia="Arial"/>
                <w:sz w:val="20"/>
              </w:rPr>
              <w:t>-</w:t>
            </w:r>
            <w:r>
              <w:rPr>
                <w:sz w:val="20"/>
              </w:rPr>
              <w:t>项</w:t>
            </w:r>
          </w:p>
        </w:tc>
        <w:tc>
          <w:tcPr>
            <w:tcW w:w="1850" w:type="dxa"/>
            <w:tcBorders>
              <w:top w:val="dotted" w:sz="4" w:space="0" w:color="000000"/>
              <w:left w:val="dotted" w:sz="4" w:space="0" w:color="000000"/>
              <w:bottom w:val="dotted" w:sz="4" w:space="0" w:color="000000"/>
              <w:right w:val="dotted" w:sz="4" w:space="0" w:color="000000"/>
            </w:tcBorders>
          </w:tcPr>
          <w:p>
            <w:pPr>
              <w:pStyle w:val="TableParagraph"/>
              <w:ind w:left="485" w:right="478"/>
              <w:rPr>
                <w:rFonts w:ascii="Arial"/>
                <w:sz w:val="20"/>
              </w:rPr>
            </w:pPr>
            <w:r>
              <w:rPr>
                <w:rFonts w:ascii="Arial"/>
                <w:color w:val="FF0000"/>
                <w:sz w:val="20"/>
              </w:rPr>
              <w:t>93</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ind w:left="530" w:right="523"/>
              <w:rPr>
                <w:rFonts w:ascii="Arial"/>
                <w:sz w:val="20"/>
              </w:rPr>
            </w:pPr>
            <w:r>
              <w:rPr>
                <w:rFonts w:ascii="Arial"/>
                <w:color w:val="FF0000"/>
                <w:sz w:val="20"/>
              </w:rPr>
              <w:t>65</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ind w:left="532" w:right="523"/>
              <w:rPr>
                <w:rFonts w:ascii="Arial"/>
                <w:sz w:val="20"/>
              </w:rPr>
            </w:pPr>
            <w:r>
              <w:rPr>
                <w:rFonts w:ascii="Arial"/>
                <w:color w:val="FF0000"/>
                <w:sz w:val="20"/>
              </w:rPr>
              <w:t>43.08%</w:t>
            </w:r>
          </w:p>
        </w:tc>
      </w:tr>
      <w:tr>
        <w:tblPrEx>
          <w:tblW w:w="0" w:type="auto"/>
          <w:jc w:val="left"/>
          <w:tblInd w:w="1410" w:type="dxa"/>
          <w:tblLayout w:type="fixed"/>
          <w:tblCellMar>
            <w:top w:w="0" w:type="dxa"/>
            <w:left w:w="0" w:type="dxa"/>
            <w:bottom w:w="0" w:type="dxa"/>
            <w:right w:w="0" w:type="dxa"/>
          </w:tblCellMar>
          <w:tblLook w:val="01E0"/>
        </w:tblPrEx>
        <w:trPr>
          <w:trHeight w:val="343"/>
          <w:jc w:val="left"/>
        </w:trPr>
        <w:tc>
          <w:tcPr>
            <w:tcW w:w="2217" w:type="dxa"/>
            <w:vMerge/>
            <w:tcBorders>
              <w:top w:val="nil"/>
              <w:left w:val="dotted" w:sz="4" w:space="0" w:color="000000"/>
              <w:bottom w:val="dotted" w:sz="4" w:space="0" w:color="000000"/>
              <w:right w:val="dotted" w:sz="4" w:space="0" w:color="000000"/>
            </w:tcBorders>
          </w:tcPr>
          <w:p>
            <w:pPr>
              <w:rPr>
                <w:sz w:val="2"/>
                <w:szCs w:val="2"/>
              </w:rPr>
            </w:pPr>
          </w:p>
        </w:tc>
        <w:tc>
          <w:tcPr>
            <w:tcW w:w="1327" w:type="dxa"/>
            <w:tcBorders>
              <w:top w:val="dotted" w:sz="4" w:space="0" w:color="000000"/>
              <w:left w:val="dotted" w:sz="4" w:space="0" w:color="000000"/>
              <w:bottom w:val="dotted" w:sz="4" w:space="0" w:color="000000"/>
              <w:right w:val="dotted" w:sz="4" w:space="0" w:color="000000"/>
            </w:tcBorders>
          </w:tcPr>
          <w:p>
            <w:pPr>
              <w:pStyle w:val="TableParagraph"/>
              <w:spacing w:before="29"/>
              <w:ind w:left="208" w:right="202"/>
              <w:rPr>
                <w:sz w:val="20"/>
              </w:rPr>
            </w:pPr>
            <w:r>
              <w:rPr>
                <w:sz w:val="20"/>
              </w:rPr>
              <w:t>规模</w:t>
            </w:r>
            <w:r>
              <w:rPr>
                <w:rFonts w:ascii="Arial" w:eastAsia="Arial"/>
                <w:sz w:val="20"/>
              </w:rPr>
              <w:t>-</w:t>
            </w:r>
            <w:r>
              <w:rPr>
                <w:sz w:val="20"/>
              </w:rPr>
              <w:t>亿元</w:t>
            </w:r>
          </w:p>
        </w:tc>
        <w:tc>
          <w:tcPr>
            <w:tcW w:w="1850" w:type="dxa"/>
            <w:tcBorders>
              <w:top w:val="dotted" w:sz="4" w:space="0" w:color="000000"/>
              <w:left w:val="dotted" w:sz="4" w:space="0" w:color="000000"/>
              <w:bottom w:val="dotted" w:sz="4" w:space="0" w:color="000000"/>
              <w:right w:val="dotted" w:sz="4" w:space="0" w:color="000000"/>
            </w:tcBorders>
          </w:tcPr>
          <w:p>
            <w:pPr>
              <w:pStyle w:val="TableParagraph"/>
              <w:ind w:left="485" w:right="478"/>
              <w:rPr>
                <w:rFonts w:ascii="Arial"/>
                <w:sz w:val="20"/>
              </w:rPr>
            </w:pPr>
            <w:r>
              <w:rPr>
                <w:rFonts w:ascii="Arial"/>
                <w:color w:val="FF0000"/>
                <w:sz w:val="20"/>
              </w:rPr>
              <w:t>4595.74</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ind w:right="554"/>
              <w:jc w:val="right"/>
              <w:rPr>
                <w:rFonts w:ascii="Arial"/>
                <w:sz w:val="20"/>
              </w:rPr>
            </w:pPr>
            <w:r>
              <w:rPr>
                <w:rFonts w:ascii="Arial"/>
                <w:color w:val="FF0000"/>
                <w:sz w:val="20"/>
              </w:rPr>
              <w:t>3044.93</w:t>
            </w:r>
          </w:p>
        </w:tc>
        <w:tc>
          <w:tcPr>
            <w:tcW w:w="1851" w:type="dxa"/>
            <w:tcBorders>
              <w:top w:val="dotted" w:sz="4" w:space="0" w:color="000000"/>
              <w:left w:val="dotted" w:sz="4" w:space="0" w:color="000000"/>
              <w:bottom w:val="dotted" w:sz="4" w:space="0" w:color="000000"/>
              <w:right w:val="dotted" w:sz="4" w:space="0" w:color="000000"/>
            </w:tcBorders>
          </w:tcPr>
          <w:p>
            <w:pPr>
              <w:pStyle w:val="TableParagraph"/>
              <w:ind w:left="532" w:right="523"/>
              <w:rPr>
                <w:rFonts w:ascii="Arial"/>
                <w:sz w:val="20"/>
              </w:rPr>
            </w:pPr>
            <w:r>
              <w:rPr>
                <w:rFonts w:ascii="Arial"/>
                <w:color w:val="FF0000"/>
                <w:sz w:val="20"/>
              </w:rPr>
              <w:t>50.93%</w:t>
            </w:r>
          </w:p>
        </w:tc>
      </w:tr>
      <w:tr>
        <w:tblPrEx>
          <w:tblW w:w="0" w:type="auto"/>
          <w:jc w:val="left"/>
          <w:tblInd w:w="1410" w:type="dxa"/>
          <w:tblLayout w:type="fixed"/>
          <w:tblCellMar>
            <w:top w:w="0" w:type="dxa"/>
            <w:left w:w="0" w:type="dxa"/>
            <w:bottom w:w="0" w:type="dxa"/>
            <w:right w:w="0" w:type="dxa"/>
          </w:tblCellMar>
          <w:tblLook w:val="01E0"/>
        </w:tblPrEx>
        <w:trPr>
          <w:trHeight w:val="332"/>
          <w:jc w:val="left"/>
        </w:trPr>
        <w:tc>
          <w:tcPr>
            <w:tcW w:w="2217" w:type="dxa"/>
            <w:vMerge w:val="restart"/>
            <w:tcBorders>
              <w:top w:val="dotted" w:sz="4" w:space="0" w:color="000000"/>
              <w:left w:val="dotted" w:sz="4" w:space="0" w:color="000000"/>
              <w:right w:val="dotted" w:sz="4" w:space="0" w:color="000000"/>
            </w:tcBorders>
            <w:shd w:val="clear" w:color="auto" w:fill="F1F1F1"/>
          </w:tcPr>
          <w:p>
            <w:pPr>
              <w:pStyle w:val="TableParagraph"/>
              <w:spacing w:before="12"/>
              <w:jc w:val="left"/>
              <w:rPr>
                <w:sz w:val="17"/>
              </w:rPr>
            </w:pPr>
          </w:p>
          <w:p>
            <w:pPr>
              <w:pStyle w:val="TableParagraph"/>
              <w:spacing w:before="0"/>
              <w:ind w:left="785" w:right="778"/>
              <w:rPr>
                <w:b/>
                <w:sz w:val="20"/>
              </w:rPr>
            </w:pPr>
            <w:r>
              <w:rPr>
                <w:b/>
                <w:sz w:val="20"/>
              </w:rPr>
              <w:t>合计数</w:t>
            </w:r>
          </w:p>
        </w:tc>
        <w:tc>
          <w:tcPr>
            <w:tcW w:w="1327"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3"/>
              <w:ind w:left="208" w:right="200"/>
              <w:rPr>
                <w:sz w:val="20"/>
              </w:rPr>
            </w:pPr>
            <w:r>
              <w:rPr>
                <w:sz w:val="20"/>
              </w:rPr>
              <w:t>数量</w:t>
            </w:r>
            <w:r>
              <w:rPr>
                <w:rFonts w:ascii="Arial" w:eastAsia="Arial"/>
                <w:sz w:val="20"/>
              </w:rPr>
              <w:t>-</w:t>
            </w:r>
            <w:r>
              <w:rPr>
                <w:sz w:val="20"/>
              </w:rPr>
              <w:t>项</w:t>
            </w:r>
          </w:p>
        </w:tc>
        <w:tc>
          <w:tcPr>
            <w:tcW w:w="1850"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ind w:left="485" w:right="478"/>
              <w:rPr>
                <w:rFonts w:ascii="Arial"/>
                <w:sz w:val="20"/>
              </w:rPr>
            </w:pPr>
            <w:r>
              <w:rPr>
                <w:rFonts w:ascii="Arial"/>
                <w:sz w:val="20"/>
              </w:rPr>
              <w:t>561</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ind w:left="530" w:right="523"/>
              <w:rPr>
                <w:rFonts w:ascii="Arial"/>
                <w:sz w:val="20"/>
              </w:rPr>
            </w:pPr>
            <w:r>
              <w:rPr>
                <w:rFonts w:ascii="Arial"/>
                <w:sz w:val="20"/>
              </w:rPr>
              <w:t>594</w:t>
            </w:r>
          </w:p>
        </w:tc>
        <w:tc>
          <w:tcPr>
            <w:tcW w:w="185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ind w:left="532" w:right="523"/>
              <w:rPr>
                <w:rFonts w:ascii="Arial"/>
                <w:sz w:val="20"/>
              </w:rPr>
            </w:pPr>
            <w:r>
              <w:rPr>
                <w:rFonts w:ascii="Arial"/>
                <w:sz w:val="20"/>
              </w:rPr>
              <w:t>-5.56%</w:t>
            </w:r>
          </w:p>
        </w:tc>
      </w:tr>
      <w:tr>
        <w:tblPrEx>
          <w:tblW w:w="0" w:type="auto"/>
          <w:jc w:val="left"/>
          <w:tblInd w:w="1410" w:type="dxa"/>
          <w:tblLayout w:type="fixed"/>
          <w:tblCellMar>
            <w:top w:w="0" w:type="dxa"/>
            <w:left w:w="0" w:type="dxa"/>
            <w:bottom w:w="0" w:type="dxa"/>
            <w:right w:w="0" w:type="dxa"/>
          </w:tblCellMar>
          <w:tblLook w:val="01E0"/>
        </w:tblPrEx>
        <w:trPr>
          <w:trHeight w:val="352"/>
          <w:jc w:val="left"/>
        </w:trPr>
        <w:tc>
          <w:tcPr>
            <w:tcW w:w="2217" w:type="dxa"/>
            <w:vMerge/>
            <w:tcBorders>
              <w:top w:val="nil"/>
              <w:left w:val="dotted" w:sz="4" w:space="0" w:color="000000"/>
              <w:right w:val="dotted" w:sz="4" w:space="0" w:color="000000"/>
            </w:tcBorders>
            <w:shd w:val="clear" w:color="auto" w:fill="F1F1F1"/>
          </w:tcPr>
          <w:p>
            <w:pPr>
              <w:rPr>
                <w:sz w:val="2"/>
                <w:szCs w:val="2"/>
              </w:rPr>
            </w:pPr>
          </w:p>
        </w:tc>
        <w:tc>
          <w:tcPr>
            <w:tcW w:w="1327" w:type="dxa"/>
            <w:tcBorders>
              <w:top w:val="dotted" w:sz="4" w:space="0" w:color="000000"/>
              <w:left w:val="dotted" w:sz="4" w:space="0" w:color="000000"/>
              <w:right w:val="dotted" w:sz="4" w:space="0" w:color="000000"/>
            </w:tcBorders>
            <w:shd w:val="clear" w:color="auto" w:fill="F1F1F1"/>
          </w:tcPr>
          <w:p>
            <w:pPr>
              <w:pStyle w:val="TableParagraph"/>
              <w:spacing w:before="42"/>
              <w:ind w:left="208" w:right="202"/>
              <w:rPr>
                <w:sz w:val="20"/>
              </w:rPr>
            </w:pPr>
            <w:r>
              <w:rPr>
                <w:sz w:val="20"/>
              </w:rPr>
              <w:t>规模</w:t>
            </w:r>
            <w:r>
              <w:rPr>
                <w:rFonts w:ascii="Arial" w:eastAsia="Arial"/>
                <w:sz w:val="20"/>
              </w:rPr>
              <w:t>-</w:t>
            </w:r>
            <w:r>
              <w:rPr>
                <w:sz w:val="20"/>
              </w:rPr>
              <w:t>亿元</w:t>
            </w:r>
          </w:p>
        </w:tc>
        <w:tc>
          <w:tcPr>
            <w:tcW w:w="1850" w:type="dxa"/>
            <w:tcBorders>
              <w:top w:val="dotted" w:sz="4" w:space="0" w:color="000000"/>
              <w:left w:val="dotted" w:sz="4" w:space="0" w:color="000000"/>
              <w:right w:val="dotted" w:sz="4" w:space="0" w:color="000000"/>
            </w:tcBorders>
            <w:shd w:val="clear" w:color="auto" w:fill="F1F1F1"/>
          </w:tcPr>
          <w:p>
            <w:pPr>
              <w:pStyle w:val="TableParagraph"/>
              <w:spacing w:before="31"/>
              <w:ind w:left="487" w:right="478"/>
              <w:rPr>
                <w:rFonts w:ascii="Arial"/>
                <w:sz w:val="20"/>
              </w:rPr>
            </w:pPr>
            <w:r>
              <w:rPr>
                <w:rFonts w:ascii="Arial"/>
                <w:sz w:val="20"/>
              </w:rPr>
              <w:t>13141.47</w:t>
            </w:r>
          </w:p>
        </w:tc>
        <w:tc>
          <w:tcPr>
            <w:tcW w:w="1851" w:type="dxa"/>
            <w:tcBorders>
              <w:top w:val="dotted" w:sz="4" w:space="0" w:color="000000"/>
              <w:left w:val="dotted" w:sz="4" w:space="0" w:color="000000"/>
              <w:right w:val="dotted" w:sz="4" w:space="0" w:color="000000"/>
            </w:tcBorders>
            <w:shd w:val="clear" w:color="auto" w:fill="F1F1F1"/>
          </w:tcPr>
          <w:p>
            <w:pPr>
              <w:pStyle w:val="TableParagraph"/>
              <w:spacing w:before="31"/>
              <w:ind w:right="497"/>
              <w:jc w:val="right"/>
              <w:rPr>
                <w:rFonts w:ascii="Arial"/>
                <w:sz w:val="20"/>
              </w:rPr>
            </w:pPr>
            <w:r>
              <w:rPr>
                <w:rFonts w:ascii="Arial"/>
                <w:sz w:val="20"/>
              </w:rPr>
              <w:t>13552.14</w:t>
            </w:r>
          </w:p>
        </w:tc>
        <w:tc>
          <w:tcPr>
            <w:tcW w:w="1851" w:type="dxa"/>
            <w:tcBorders>
              <w:top w:val="dotted" w:sz="4" w:space="0" w:color="000000"/>
              <w:left w:val="dotted" w:sz="4" w:space="0" w:color="000000"/>
              <w:right w:val="dotted" w:sz="4" w:space="0" w:color="000000"/>
            </w:tcBorders>
            <w:shd w:val="clear" w:color="auto" w:fill="F1F1F1"/>
          </w:tcPr>
          <w:p>
            <w:pPr>
              <w:pStyle w:val="TableParagraph"/>
              <w:spacing w:before="31"/>
              <w:ind w:left="530" w:right="523"/>
              <w:rPr>
                <w:rFonts w:ascii="Arial"/>
                <w:sz w:val="20"/>
              </w:rPr>
            </w:pPr>
            <w:r>
              <w:rPr>
                <w:rFonts w:ascii="Arial"/>
                <w:sz w:val="20"/>
              </w:rPr>
              <w:t>-3.03%</w:t>
            </w:r>
          </w:p>
        </w:tc>
      </w:tr>
    </w:tbl>
    <w:p>
      <w:pPr>
        <w:spacing w:before="48"/>
        <w:ind w:left="1512" w:right="0" w:firstLine="0"/>
        <w:jc w:val="left"/>
        <w:rPr>
          <w:sz w:val="18"/>
        </w:rPr>
      </w:pPr>
      <w:r>
        <w:t xml:space="preserve">资料来源：中国保险资产管理业协会，中保保险资产登记交易系统有限公司， </w:t>
      </w:r>
    </w:p>
    <w:p>
      <w:pPr>
        <w:pStyle w:val="BodyText"/>
        <w:rPr>
          <w:sz w:val="20"/>
        </w:rPr>
      </w:pPr>
    </w:p>
    <w:p>
      <w:pPr>
        <w:pStyle w:val="BodyText"/>
        <w:spacing w:before="8"/>
        <w:rPr>
          <w:sz w:val="23"/>
        </w:rPr>
      </w:pPr>
    </w:p>
    <w:p>
      <w:pPr>
        <w:pStyle w:val="Heading1"/>
        <w:spacing w:before="74"/>
      </w:pPr>
      <w:bookmarkStart w:id="4" w:name="_TOC_250008"/>
      <w:r>
        <w:rPr>
          <w:rFonts w:ascii="Arial" w:eastAsia="Arial"/>
        </w:rPr>
        <w:t xml:space="preserve">2.2023 </w:t>
      </w:r>
      <w:bookmarkEnd w:id="4"/>
      <w:r>
        <w:t>年保险业政策回顾</w:t>
      </w:r>
    </w:p>
    <w:p>
      <w:pPr>
        <w:pStyle w:val="BodyText"/>
        <w:spacing w:before="291" w:line="266" w:lineRule="auto"/>
        <w:ind w:left="1132" w:right="1127" w:firstLine="441"/>
        <w:jc w:val="both"/>
      </w:pPr>
      <w:r>
        <w:rPr>
          <w:spacing w:val="-7"/>
        </w:rPr>
        <w:t xml:space="preserve">在金融监管格局步入新时代的 </w:t>
      </w:r>
      <w:r>
        <w:rPr>
          <w:rFonts w:ascii="Arial" w:eastAsia="Arial"/>
        </w:rPr>
        <w:t xml:space="preserve">2023 </w:t>
      </w:r>
      <w:r>
        <w:rPr>
          <w:spacing w:val="-11"/>
        </w:rPr>
        <w:t>年，保险行业政策频出， 较好地发挥了其作为经济减震器和社会稳定器的功能。整体而言，</w:t>
      </w:r>
      <w:r>
        <w:rPr>
          <w:rFonts w:ascii="Arial" w:eastAsia="Arial"/>
          <w:spacing w:val="-11"/>
        </w:rPr>
        <w:t xml:space="preserve">2023 </w:t>
      </w:r>
      <w:r>
        <w:t>年全年保险行业的政策主要可以从监管政策日趋收紧、持续深</w:t>
      </w:r>
      <w:r>
        <w:rPr>
          <w:spacing w:val="-3"/>
        </w:rPr>
        <w:t>化保险产品供给侧改革、做好养老金融大文章和坚持不懈服务实体经济等方面来进行展开。</w:t>
      </w:r>
    </w:p>
    <w:p>
      <w:pPr>
        <w:pStyle w:val="BodyText"/>
        <w:spacing w:before="2"/>
        <w:rPr>
          <w:sz w:val="21"/>
        </w:rPr>
      </w:pPr>
    </w:p>
    <w:p>
      <w:pPr>
        <w:pStyle w:val="Heading2"/>
        <w:numPr>
          <w:ilvl w:val="1"/>
          <w:numId w:val="4"/>
        </w:numPr>
        <w:tabs>
          <w:tab w:val="left" w:pos="1604"/>
        </w:tabs>
        <w:spacing w:before="0" w:after="0" w:line="240" w:lineRule="auto"/>
        <w:ind w:left="1603" w:right="0" w:hanging="472"/>
        <w:jc w:val="left"/>
      </w:pPr>
      <w:bookmarkStart w:id="5" w:name="_TOC_250007"/>
      <w:bookmarkEnd w:id="5"/>
      <w:r>
        <w:t>监管新格局正式落成，制度铁篱笆不断扎紧</w:t>
      </w:r>
    </w:p>
    <w:p>
      <w:pPr>
        <w:pStyle w:val="BodyText"/>
        <w:spacing w:before="9"/>
        <w:rPr>
          <w:b/>
          <w:sz w:val="23"/>
        </w:rPr>
      </w:pPr>
    </w:p>
    <w:p>
      <w:pPr>
        <w:spacing w:before="0" w:line="266" w:lineRule="auto"/>
        <w:ind w:left="1132" w:right="983" w:firstLine="441"/>
        <w:jc w:val="left"/>
        <w:rPr>
          <w:b/>
          <w:sz w:val="22"/>
        </w:rPr>
      </w:pPr>
      <w:r>
        <w:rPr>
          <w:rFonts w:ascii="Arial" w:eastAsia="Arial" w:hAnsi="Arial"/>
          <w:sz w:val="22"/>
        </w:rPr>
        <w:t xml:space="preserve">2023 </w:t>
      </w:r>
      <w:r>
        <w:rPr>
          <w:spacing w:val="-5"/>
          <w:sz w:val="22"/>
        </w:rPr>
        <w:t>年在中国金融监管史上具有里程碑式的意义，新的监管格局正式落成。</w:t>
      </w:r>
      <w:r>
        <w:rPr>
          <w:rFonts w:ascii="Arial" w:eastAsia="Arial" w:hAnsi="Arial"/>
          <w:sz w:val="22"/>
        </w:rPr>
        <w:t xml:space="preserve">2023 </w:t>
      </w:r>
      <w:r>
        <w:rPr>
          <w:spacing w:val="-27"/>
          <w:sz w:val="22"/>
        </w:rPr>
        <w:t xml:space="preserve">年 </w:t>
      </w:r>
      <w:r>
        <w:rPr>
          <w:rFonts w:ascii="Arial" w:eastAsia="Arial" w:hAnsi="Arial"/>
          <w:sz w:val="22"/>
        </w:rPr>
        <w:t xml:space="preserve">3 </w:t>
      </w:r>
      <w:r>
        <w:rPr>
          <w:spacing w:val="-7"/>
          <w:sz w:val="22"/>
        </w:rPr>
        <w:t>月，《党和国家机构改革方案》出台，决定在中国银行保险监督管理委员会的基础上组建国家金融监督管理总局，统一负责除证券业之外的金融业监管，不再保留中国银行保险监督管理委员会。</w:t>
      </w:r>
      <w:r>
        <w:rPr>
          <w:rFonts w:ascii="Arial" w:eastAsia="Arial" w:hAnsi="Arial"/>
          <w:b/>
          <w:sz w:val="22"/>
        </w:rPr>
        <w:t xml:space="preserve">2023 </w:t>
      </w:r>
      <w:r>
        <w:rPr>
          <w:b/>
          <w:spacing w:val="-27"/>
          <w:sz w:val="22"/>
        </w:rPr>
        <w:t xml:space="preserve">年 </w:t>
      </w:r>
      <w:r>
        <w:rPr>
          <w:rFonts w:ascii="Arial" w:eastAsia="Arial" w:hAnsi="Arial"/>
          <w:b/>
          <w:sz w:val="22"/>
        </w:rPr>
        <w:t xml:space="preserve">5 </w:t>
      </w:r>
      <w:r>
        <w:rPr>
          <w:b/>
          <w:spacing w:val="-27"/>
          <w:sz w:val="22"/>
        </w:rPr>
        <w:t xml:space="preserve">月 </w:t>
      </w:r>
      <w:r>
        <w:rPr>
          <w:rFonts w:ascii="Arial" w:eastAsia="Arial" w:hAnsi="Arial"/>
          <w:b/>
          <w:sz w:val="22"/>
        </w:rPr>
        <w:t xml:space="preserve">18 </w:t>
      </w:r>
      <w:r>
        <w:rPr>
          <w:b/>
          <w:spacing w:val="-12"/>
          <w:sz w:val="22"/>
        </w:rPr>
        <w:t>日，国家金融监督管理总局正式揭牌，标志着金融监管格局完成了从“一行两会”向“一行一局一会” 的顺利过渡，“双峰监管”雏形显现。</w:t>
      </w:r>
    </w:p>
    <w:p>
      <w:pPr>
        <w:pStyle w:val="BodyText"/>
        <w:spacing w:before="152" w:line="266" w:lineRule="auto"/>
        <w:ind w:left="1132" w:right="1017" w:firstLine="441"/>
      </w:pPr>
      <w:r>
        <w:rPr>
          <w:spacing w:val="-14"/>
        </w:rPr>
        <w:t xml:space="preserve">在“强监管、严监管、长牙带刺、敢于亮剑”的金融监管总基调的大背景下，保险行业政策频出， </w:t>
      </w:r>
      <w:r>
        <w:rPr>
          <w:spacing w:val="-9"/>
        </w:rPr>
        <w:t>“报行合一”、“系统重要性保险公司”、“保险销售分类分级”等成为了保险行业监管政策的关键词。</w:t>
      </w:r>
    </w:p>
    <w:p>
      <w:pPr>
        <w:pStyle w:val="BodyText"/>
        <w:spacing w:before="153" w:line="266" w:lineRule="auto"/>
        <w:ind w:left="1132" w:right="911" w:firstLine="441"/>
        <w:rPr>
          <w:b/>
        </w:rPr>
      </w:pPr>
      <w:r>
        <w:rPr>
          <w:spacing w:val="-8"/>
        </w:rPr>
        <w:t xml:space="preserve">“报行合一”并非是全新概念，早前监管就已多次发声要求推行，简而言之，“报行合一”指保 </w:t>
      </w:r>
      <w:r>
        <w:rPr>
          <w:spacing w:val="-7"/>
        </w:rPr>
        <w:t xml:space="preserve">险公司在保险产品销售时，实际使用手续费的取值范围和使用规则需要与报备至监管部门的保持一致， </w:t>
      </w:r>
      <w:r>
        <w:rPr>
          <w:spacing w:val="-8"/>
        </w:rPr>
        <w:t>不能说一套做一套。近些年，保险行业同质化竞争严峻，且费用管理普遍较为粗放，实际费用超出了 报备水平的情况时有发生，严重扰乱了行业秩序。</w:t>
      </w:r>
      <w:r>
        <w:rPr>
          <w:rFonts w:ascii="Arial" w:eastAsia="Arial" w:hAnsi="Arial"/>
          <w:spacing w:val="-8"/>
        </w:rPr>
        <w:t xml:space="preserve">2023 </w:t>
      </w:r>
      <w:r>
        <w:rPr>
          <w:spacing w:val="-15"/>
        </w:rPr>
        <w:t xml:space="preserve">年 </w:t>
      </w:r>
      <w:r>
        <w:rPr>
          <w:rFonts w:ascii="Arial" w:eastAsia="Arial" w:hAnsi="Arial"/>
        </w:rPr>
        <w:t xml:space="preserve">8 </w:t>
      </w:r>
      <w:r>
        <w:t>月国家金融监督管理总局发布《关于规范</w:t>
      </w:r>
      <w:r>
        <w:rPr>
          <w:spacing w:val="-7"/>
        </w:rPr>
        <w:t>银行代理渠道保险产品的通知》，要求各公司通过银行代销销售的产品，在产品备案时，应当按监 管</w:t>
      </w:r>
      <w:r>
        <w:rPr>
          <w:spacing w:val="-6"/>
        </w:rPr>
        <w:t>规定在产品精算报告中明确说明费用假设、费用结构，并列示佣金上限，应据实列支向银行支付的 佣</w:t>
      </w:r>
      <w:r>
        <w:rPr>
          <w:spacing w:val="-7"/>
        </w:rPr>
        <w:t xml:space="preserve">金费用，佣金等实际费用应与备案材料保持一致。根据国家金融监督管理总局于 </w:t>
      </w:r>
      <w:r>
        <w:rPr>
          <w:rFonts w:ascii="Arial" w:eastAsia="Arial" w:hAnsi="Arial"/>
        </w:rPr>
        <w:t xml:space="preserve">2023 </w:t>
      </w:r>
      <w:r>
        <w:rPr>
          <w:spacing w:val="-13"/>
        </w:rPr>
        <w:t xml:space="preserve">年 </w:t>
      </w:r>
      <w:r>
        <w:rPr>
          <w:rFonts w:ascii="Arial" w:eastAsia="Arial" w:hAnsi="Arial"/>
        </w:rPr>
        <w:t xml:space="preserve">10 </w:t>
      </w:r>
      <w:r>
        <w:rPr>
          <w:spacing w:val="-1"/>
        </w:rPr>
        <w:t>月召开的</w:t>
      </w:r>
      <w:r>
        <w:rPr>
          <w:spacing w:val="-7"/>
        </w:rPr>
        <w:t>三季度银行业保险业数据信息新闻发布会，在银保渠道全面推进“报行合一”后，平均手续费水 平压</w:t>
      </w:r>
      <w:r>
        <w:rPr>
          <w:spacing w:val="4"/>
        </w:rPr>
        <w:t xml:space="preserve">低了 </w:t>
      </w:r>
      <w:r>
        <w:rPr>
          <w:rFonts w:ascii="Arial" w:eastAsia="Arial" w:hAnsi="Arial"/>
        </w:rPr>
        <w:t>30%</w:t>
      </w:r>
      <w:r>
        <w:t>左右，“降本增效”效果显著。</w:t>
      </w:r>
      <w:r>
        <w:rPr>
          <w:b/>
        </w:rPr>
        <w:t>整体来看，在保险投资收益率全面下行的现在，“报行合一”是助力保险公司降本增效、重塑核心竞争力，推动保险行业高质量发展转型的必然之举。</w:t>
      </w:r>
    </w:p>
    <w:p>
      <w:pPr>
        <w:pStyle w:val="Heading4"/>
        <w:spacing w:before="147" w:line="266" w:lineRule="auto"/>
        <w:ind w:left="1132" w:right="1099" w:firstLine="441"/>
        <w:rPr>
          <w:b w:val="0"/>
        </w:rPr>
      </w:pPr>
      <w:r>
        <w:rPr>
          <w:spacing w:val="-6"/>
        </w:rPr>
        <w:t xml:space="preserve">销售方面，为了深切践行消费者保护，国家金融监督管理总局于 </w:t>
      </w:r>
      <w:r>
        <w:rPr>
          <w:rFonts w:ascii="Arial" w:eastAsia="Arial"/>
        </w:rPr>
        <w:t xml:space="preserve">2023 </w:t>
      </w:r>
      <w:r>
        <w:rPr>
          <w:spacing w:val="-27"/>
        </w:rPr>
        <w:t xml:space="preserve">年 </w:t>
      </w:r>
      <w:r>
        <w:rPr>
          <w:rFonts w:ascii="Arial" w:eastAsia="Arial"/>
        </w:rPr>
        <w:t xml:space="preserve">9 </w:t>
      </w:r>
      <w:r>
        <w:t>月出台了统一保险销</w:t>
      </w:r>
      <w:r>
        <w:rPr>
          <w:spacing w:val="-15"/>
        </w:rPr>
        <w:t>售行为的《保险销售行为管理办法》，这也是首次从全行业层面出台统一的监管文件。</w:t>
      </w:r>
      <w:r>
        <w:rPr>
          <w:b w:val="0"/>
          <w:spacing w:val="-14"/>
        </w:rPr>
        <w:t>具体来看，《保</w:t>
      </w:r>
    </w:p>
    <w:p>
      <w:pPr>
        <w:spacing w:after="0" w:line="266" w:lineRule="auto"/>
        <w:sectPr>
          <w:headerReference w:type="default" r:id="rId23"/>
          <w:footerReference w:type="default" r:id="rId24"/>
          <w:pgSz w:w="11910" w:h="16840"/>
          <w:pgMar w:top="1280" w:right="0" w:bottom="1000" w:left="0" w:header="708" w:footer="708"/>
          <w:pgNumType w:start="7"/>
          <w:cols w:space="708"/>
        </w:sectPr>
      </w:pPr>
    </w:p>
    <w:p>
      <w:pPr>
        <w:pStyle w:val="BodyText"/>
        <w:spacing w:before="72" w:line="266" w:lineRule="auto"/>
        <w:ind w:left="1132" w:right="1022"/>
      </w:pPr>
      <w:r>
        <w:rPr>
          <w:spacing w:val="-13"/>
        </w:rPr>
        <w:t xml:space="preserve">险销售行为管理办法》从售前、售中、售后对保险销售行为进行了全链条的覆盖，明确保险销售资质， </w:t>
      </w:r>
      <w:r>
        <w:rPr>
          <w:spacing w:val="-6"/>
        </w:rPr>
        <w:t>并对销售人员和保险产品分别进行分级、必须按级销售。</w:t>
      </w:r>
      <w:r>
        <w:rPr>
          <w:rFonts w:ascii="Arial" w:eastAsia="Arial"/>
        </w:rPr>
        <w:t xml:space="preserve">2023 </w:t>
      </w:r>
      <w:r>
        <w:rPr>
          <w:spacing w:val="-28"/>
        </w:rPr>
        <w:t xml:space="preserve">年 </w:t>
      </w:r>
      <w:r>
        <w:rPr>
          <w:rFonts w:ascii="Arial" w:eastAsia="Arial"/>
        </w:rPr>
        <w:t xml:space="preserve">11 </w:t>
      </w:r>
      <w:r>
        <w:rPr>
          <w:spacing w:val="-6"/>
        </w:rPr>
        <w:t>月，中国保险行业协会出台《个</w:t>
      </w:r>
      <w:r>
        <w:rPr>
          <w:spacing w:val="-4"/>
        </w:rPr>
        <w:t>人保险代理人销售能力资质等级标准</w:t>
      </w:r>
      <w:r>
        <w:t>（</w:t>
      </w:r>
      <w:r>
        <w:rPr>
          <w:spacing w:val="-3"/>
        </w:rPr>
        <w:t>人身保险方向</w:t>
      </w:r>
      <w:r>
        <w:rPr>
          <w:spacing w:val="-9"/>
        </w:rPr>
        <w:t>）（</w:t>
      </w:r>
      <w:r>
        <w:rPr>
          <w:spacing w:val="-2"/>
        </w:rPr>
        <w:t>讨论稿</w:t>
      </w:r>
      <w:r>
        <w:rPr>
          <w:spacing w:val="-8"/>
        </w:rPr>
        <w:t>）</w:t>
      </w:r>
      <w:r>
        <w:rPr>
          <w:spacing w:val="-5"/>
        </w:rPr>
        <w:t>》和《个人保险代理人销售能力资</w:t>
      </w:r>
      <w:r>
        <w:rPr>
          <w:spacing w:val="-4"/>
        </w:rPr>
        <w:t>质等级标准</w:t>
      </w:r>
      <w:r>
        <w:t>（</w:t>
      </w:r>
      <w:r>
        <w:rPr>
          <w:spacing w:val="-3"/>
        </w:rPr>
        <w:t>人身保险方向</w:t>
      </w:r>
      <w:r>
        <w:rPr>
          <w:spacing w:val="-8"/>
        </w:rPr>
        <w:t>）</w:t>
      </w:r>
      <w:r>
        <w:rPr>
          <w:spacing w:val="-4"/>
        </w:rPr>
        <w:t>知识大纲</w:t>
      </w:r>
      <w:r>
        <w:t>（</w:t>
      </w:r>
      <w:r>
        <w:rPr>
          <w:spacing w:val="-2"/>
        </w:rPr>
        <w:t>讨论稿</w:t>
      </w:r>
      <w:r>
        <w:rPr>
          <w:spacing w:val="-8"/>
        </w:rPr>
        <w:t>）</w:t>
      </w:r>
      <w:r>
        <w:rPr>
          <w:spacing w:val="-6"/>
        </w:rPr>
        <w:t>》，旨在提高个险代理人的展业门槛，推动行业由</w:t>
      </w:r>
      <w:r>
        <w:rPr>
          <w:spacing w:val="-5"/>
        </w:rPr>
        <w:t>以产品为核心的销售模式向以客户需求为核心的顾问模式转变、由保险推销向全生命周期的风险管理</w:t>
      </w:r>
      <w:r>
        <w:rPr>
          <w:spacing w:val="-3"/>
        </w:rPr>
        <w:t>服务转变、由保险规划向全面财富管理服务转变。</w:t>
      </w:r>
    </w:p>
    <w:p>
      <w:pPr>
        <w:pStyle w:val="BodyText"/>
        <w:spacing w:before="151" w:line="266" w:lineRule="auto"/>
        <w:ind w:left="1132" w:right="1019" w:firstLine="441"/>
      </w:pPr>
      <w:r>
        <w:rPr>
          <w:b/>
          <w:spacing w:val="-4"/>
        </w:rPr>
        <w:t>维护金融系统的稳定一直是监管的宗旨之一，大型保险集团稳健经营对保持我国金融秩序及稳定</w:t>
      </w:r>
      <w:r>
        <w:rPr>
          <w:b/>
          <w:spacing w:val="-6"/>
        </w:rPr>
        <w:t>性起到重要作用。</w:t>
      </w:r>
      <w:r>
        <w:rPr>
          <w:rFonts w:ascii="Arial" w:eastAsia="Arial"/>
          <w:b/>
        </w:rPr>
        <w:t xml:space="preserve">2023 </w:t>
      </w:r>
      <w:r>
        <w:rPr>
          <w:b/>
          <w:spacing w:val="-28"/>
        </w:rPr>
        <w:t xml:space="preserve">年 </w:t>
      </w:r>
      <w:r>
        <w:rPr>
          <w:rFonts w:ascii="Arial" w:eastAsia="Arial"/>
        </w:rPr>
        <w:t xml:space="preserve">10 </w:t>
      </w:r>
      <w:r>
        <w:rPr>
          <w:spacing w:val="-8"/>
        </w:rPr>
        <w:t>月，中国人民银行、国家金融监督管理总局联合发布《系统重要性保险公司评估办法》，旨在识别系统重要性保险公司，对系统重要性保险公司进行差异化监管，以降低其</w:t>
      </w:r>
      <w:r>
        <w:rPr>
          <w:spacing w:val="-7"/>
        </w:rPr>
        <w:t xml:space="preserve">发生重大风险的可能性，防范系统性风险。自 </w:t>
      </w:r>
      <w:r>
        <w:rPr>
          <w:rFonts w:ascii="Arial" w:eastAsia="Arial"/>
        </w:rPr>
        <w:t xml:space="preserve">2024 </w:t>
      </w:r>
      <w:r>
        <w:rPr>
          <w:spacing w:val="-26"/>
        </w:rPr>
        <w:t xml:space="preserve">年 </w:t>
      </w:r>
      <w:r>
        <w:rPr>
          <w:rFonts w:ascii="Arial" w:eastAsia="Arial"/>
        </w:rPr>
        <w:t xml:space="preserve">1 </w:t>
      </w:r>
      <w:r>
        <w:rPr>
          <w:spacing w:val="-27"/>
        </w:rPr>
        <w:t xml:space="preserve">月 </w:t>
      </w:r>
      <w:r>
        <w:rPr>
          <w:rFonts w:ascii="Arial" w:eastAsia="Arial"/>
        </w:rPr>
        <w:t xml:space="preserve">1 </w:t>
      </w:r>
      <w:r>
        <w:rPr>
          <w:spacing w:val="-3"/>
        </w:rPr>
        <w:t>日起，系统重要性保险公司将于每两年</w:t>
      </w:r>
      <w:r>
        <w:rPr>
          <w:spacing w:val="-6"/>
        </w:rPr>
        <w:t>评定一次，纳入评估范围内的主要有两类公司，一类是年度合并资产负债表期末资产合计在所有保险</w:t>
      </w:r>
      <w:r>
        <w:rPr>
          <w:spacing w:val="-12"/>
        </w:rPr>
        <w:t xml:space="preserve">公司中排名处于前 </w:t>
      </w:r>
      <w:r>
        <w:rPr>
          <w:rFonts w:ascii="Arial" w:eastAsia="Arial"/>
        </w:rPr>
        <w:t xml:space="preserve">10 </w:t>
      </w:r>
      <w:r>
        <w:t>位的，另一类是在上一年度被评为系统重要性保险公司的。我国部分大型保险</w:t>
      </w:r>
      <w:r>
        <w:rPr>
          <w:spacing w:val="-7"/>
        </w:rPr>
        <w:t>集团复杂性高、跨业经营特征显著，在金融市场中起到关键作用，其稳健经营对保持我国金融秩序及</w:t>
      </w:r>
      <w:r>
        <w:rPr>
          <w:spacing w:val="-3"/>
        </w:rPr>
        <w:t xml:space="preserve">稳定性起到重要作用。《系统重要性保险公司评估办法》对确定系统重要性保险公司名单提供依据， </w:t>
      </w:r>
      <w:r>
        <w:rPr>
          <w:spacing w:val="-5"/>
        </w:rPr>
        <w:t xml:space="preserve">对维护国内金融稳定发展意义重大。在已经披露 </w:t>
      </w:r>
      <w:r>
        <w:rPr>
          <w:rFonts w:ascii="Arial" w:eastAsia="Arial"/>
        </w:rPr>
        <w:t xml:space="preserve">2023 </w:t>
      </w:r>
      <w:r>
        <w:rPr>
          <w:spacing w:val="-3"/>
        </w:rPr>
        <w:t xml:space="preserve">年年报的保险公司中，资产规模位于前 </w:t>
      </w:r>
      <w:r>
        <w:rPr>
          <w:rFonts w:ascii="Arial" w:eastAsia="Arial"/>
        </w:rPr>
        <w:t xml:space="preserve">10 </w:t>
      </w:r>
      <w:r>
        <w:t>的</w:t>
      </w:r>
      <w:r>
        <w:rPr>
          <w:spacing w:val="-13"/>
        </w:rPr>
        <w:t>分别是中国平安、国寿集团、中国人保、中国太保、泰康保险集团、中国太平、新华保险、中再集团、</w:t>
      </w:r>
      <w:r>
        <w:rPr>
          <w:spacing w:val="-8"/>
        </w:rPr>
        <w:t>阳光保险集团和中邮人寿。对于保险公司而言，入选系统重要性保险公司一方面将面临更为严格的监</w:t>
      </w:r>
      <w:r>
        <w:rPr>
          <w:spacing w:val="-3"/>
        </w:rPr>
        <w:t>管标准要求，另一方面也将倒逼其加强运营的稳健性。</w:t>
      </w:r>
    </w:p>
    <w:p>
      <w:pPr>
        <w:spacing w:before="156" w:after="29"/>
        <w:ind w:left="674" w:right="0" w:firstLine="0"/>
        <w:jc w:val="left"/>
        <w:rPr>
          <w:sz w:val="20"/>
        </w:rPr>
      </w:pPr>
      <w:r>
        <w:rPr>
          <w:sz w:val="20"/>
        </w:rPr>
        <w:t xml:space="preserve">表 </w:t>
      </w:r>
      <w:r>
        <w:rPr>
          <w:rFonts w:ascii="Arial" w:eastAsia="Arial"/>
          <w:sz w:val="20"/>
        </w:rPr>
        <w:t xml:space="preserve">3 2023 </w:t>
      </w:r>
      <w:r>
        <w:rPr>
          <w:sz w:val="20"/>
        </w:rPr>
        <w:t>年强化监管的相关政策文件</w:t>
      </w:r>
    </w:p>
    <w:tbl>
      <w:tblPr>
        <w:tblStyle w:val="TableNormal2"/>
        <w:tblW w:w="0" w:type="auto"/>
        <w:jc w:val="left"/>
        <w:tblInd w:w="571"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1117"/>
        <w:gridCol w:w="2711"/>
        <w:gridCol w:w="6945"/>
      </w:tblGrid>
      <w:tr>
        <w:tblPrEx>
          <w:tblW w:w="0" w:type="auto"/>
          <w:jc w:val="left"/>
          <w:tblInd w:w="571"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624"/>
          <w:jc w:val="left"/>
        </w:trPr>
        <w:tc>
          <w:tcPr>
            <w:tcW w:w="1117"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137" w:right="126"/>
              <w:rPr>
                <w:b/>
                <w:sz w:val="20"/>
              </w:rPr>
            </w:pPr>
            <w:r>
              <w:rPr>
                <w:b/>
                <w:sz w:val="20"/>
              </w:rPr>
              <w:t>发布时间</w:t>
            </w:r>
          </w:p>
        </w:tc>
        <w:tc>
          <w:tcPr>
            <w:tcW w:w="2711"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933" w:right="924"/>
              <w:rPr>
                <w:b/>
                <w:sz w:val="20"/>
              </w:rPr>
            </w:pPr>
            <w:r>
              <w:rPr>
                <w:b/>
                <w:sz w:val="20"/>
              </w:rPr>
              <w:t>发布主体</w:t>
            </w:r>
          </w:p>
        </w:tc>
        <w:tc>
          <w:tcPr>
            <w:tcW w:w="6945"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3050" w:right="3040"/>
              <w:rPr>
                <w:b/>
                <w:sz w:val="20"/>
              </w:rPr>
            </w:pPr>
            <w:r>
              <w:rPr>
                <w:b/>
                <w:sz w:val="20"/>
              </w:rPr>
              <w:t>政策文件</w:t>
            </w:r>
          </w:p>
        </w:tc>
      </w:tr>
      <w:tr>
        <w:tblPrEx>
          <w:tblW w:w="0" w:type="auto"/>
          <w:jc w:val="left"/>
          <w:tblInd w:w="571" w:type="dxa"/>
          <w:tblLayout w:type="fixed"/>
          <w:tblCellMar>
            <w:top w:w="0" w:type="dxa"/>
            <w:left w:w="0" w:type="dxa"/>
            <w:bottom w:w="0" w:type="dxa"/>
            <w:right w:w="0" w:type="dxa"/>
          </w:tblCellMar>
          <w:tblLook w:val="01E0"/>
        </w:tblPrEx>
        <w:trPr>
          <w:trHeight w:val="312"/>
          <w:jc w:val="left"/>
        </w:trPr>
        <w:tc>
          <w:tcPr>
            <w:tcW w:w="1117" w:type="dxa"/>
            <w:tcBorders>
              <w:top w:val="single" w:sz="6" w:space="0" w:color="C00000"/>
              <w:left w:val="dotted" w:sz="2" w:space="0" w:color="000000"/>
              <w:bottom w:val="dotted" w:sz="2" w:space="0" w:color="000000"/>
              <w:right w:val="dotted" w:sz="2" w:space="0" w:color="000000"/>
            </w:tcBorders>
            <w:shd w:val="clear" w:color="auto" w:fill="F1F1F1"/>
          </w:tcPr>
          <w:p>
            <w:pPr>
              <w:pStyle w:val="TableParagraph"/>
              <w:spacing w:before="40"/>
              <w:ind w:left="178" w:right="171"/>
              <w:rPr>
                <w:rFonts w:ascii="Arial"/>
                <w:sz w:val="20"/>
              </w:rPr>
            </w:pPr>
            <w:r>
              <w:rPr>
                <w:rFonts w:ascii="Arial"/>
                <w:sz w:val="20"/>
              </w:rPr>
              <w:t>2023.01</w:t>
            </w:r>
          </w:p>
        </w:tc>
        <w:tc>
          <w:tcPr>
            <w:tcW w:w="2711" w:type="dxa"/>
            <w:tcBorders>
              <w:top w:val="single" w:sz="6" w:space="0" w:color="C00000"/>
              <w:left w:val="dotted" w:sz="2" w:space="0" w:color="000000"/>
              <w:bottom w:val="dotted" w:sz="2" w:space="0" w:color="000000"/>
              <w:right w:val="dotted" w:sz="2" w:space="0" w:color="000000"/>
            </w:tcBorders>
            <w:shd w:val="clear" w:color="auto" w:fill="F1F1F1"/>
          </w:tcPr>
          <w:p>
            <w:pPr>
              <w:pStyle w:val="TableParagraph"/>
              <w:spacing w:before="28"/>
              <w:ind w:left="334" w:right="330"/>
              <w:rPr>
                <w:sz w:val="20"/>
              </w:rPr>
            </w:pPr>
            <w:r>
              <w:rPr>
                <w:sz w:val="20"/>
              </w:rPr>
              <w:t>原银保监会</w:t>
            </w:r>
          </w:p>
        </w:tc>
        <w:tc>
          <w:tcPr>
            <w:tcW w:w="6945" w:type="dxa"/>
            <w:tcBorders>
              <w:top w:val="single" w:sz="6" w:space="0" w:color="C00000"/>
              <w:left w:val="dotted" w:sz="2" w:space="0" w:color="000000"/>
              <w:bottom w:val="dotted" w:sz="2" w:space="0" w:color="000000"/>
              <w:right w:val="dotted" w:sz="2" w:space="0" w:color="000000"/>
            </w:tcBorders>
            <w:shd w:val="clear" w:color="auto" w:fill="F1F1F1"/>
          </w:tcPr>
          <w:p>
            <w:pPr>
              <w:pStyle w:val="TableParagraph"/>
              <w:spacing w:before="28"/>
              <w:ind w:left="117" w:right="112"/>
              <w:rPr>
                <w:sz w:val="20"/>
              </w:rPr>
            </w:pPr>
            <w:r>
              <w:rPr>
                <w:sz w:val="20"/>
              </w:rPr>
              <w:t>《银行保险监管统计管理办法》</w:t>
            </w:r>
          </w:p>
        </w:tc>
      </w:tr>
      <w:tr>
        <w:tblPrEx>
          <w:tblW w:w="0" w:type="auto"/>
          <w:jc w:val="left"/>
          <w:tblInd w:w="571" w:type="dxa"/>
          <w:tblLayout w:type="fixed"/>
          <w:tblCellMar>
            <w:top w:w="0" w:type="dxa"/>
            <w:left w:w="0" w:type="dxa"/>
            <w:bottom w:w="0" w:type="dxa"/>
            <w:right w:w="0" w:type="dxa"/>
          </w:tblCellMar>
          <w:tblLook w:val="01E0"/>
        </w:tblPrEx>
        <w:trPr>
          <w:trHeight w:val="311"/>
          <w:jc w:val="left"/>
        </w:trPr>
        <w:tc>
          <w:tcPr>
            <w:tcW w:w="1117" w:type="dxa"/>
            <w:tcBorders>
              <w:top w:val="dotted" w:sz="2" w:space="0" w:color="000000"/>
              <w:left w:val="dotted" w:sz="2" w:space="0" w:color="000000"/>
              <w:bottom w:val="dotted" w:sz="2" w:space="0" w:color="000000"/>
              <w:right w:val="dotted" w:sz="2" w:space="0" w:color="000000"/>
            </w:tcBorders>
          </w:tcPr>
          <w:p>
            <w:pPr>
              <w:pStyle w:val="TableParagraph"/>
              <w:spacing w:before="42"/>
              <w:ind w:left="178" w:right="171"/>
              <w:rPr>
                <w:rFonts w:ascii="Arial"/>
                <w:sz w:val="20"/>
              </w:rPr>
            </w:pPr>
            <w:r>
              <w:rPr>
                <w:rFonts w:ascii="Arial"/>
                <w:sz w:val="20"/>
              </w:rPr>
              <w:t>2023.02</w:t>
            </w:r>
          </w:p>
        </w:tc>
        <w:tc>
          <w:tcPr>
            <w:tcW w:w="2711" w:type="dxa"/>
            <w:tcBorders>
              <w:top w:val="dotted" w:sz="2" w:space="0" w:color="000000"/>
              <w:left w:val="dotted" w:sz="2" w:space="0" w:color="000000"/>
              <w:bottom w:val="dotted" w:sz="2" w:space="0" w:color="000000"/>
              <w:right w:val="dotted" w:sz="2" w:space="0" w:color="000000"/>
            </w:tcBorders>
          </w:tcPr>
          <w:p>
            <w:pPr>
              <w:pStyle w:val="TableParagraph"/>
              <w:spacing w:before="27"/>
              <w:ind w:left="334" w:right="330"/>
              <w:rPr>
                <w:sz w:val="20"/>
              </w:rPr>
            </w:pPr>
            <w:r>
              <w:rPr>
                <w:sz w:val="20"/>
              </w:rPr>
              <w:t>原银保监会</w:t>
            </w:r>
          </w:p>
        </w:tc>
        <w:tc>
          <w:tcPr>
            <w:tcW w:w="6945" w:type="dxa"/>
            <w:tcBorders>
              <w:top w:val="dotted" w:sz="2" w:space="0" w:color="000000"/>
              <w:left w:val="dotted" w:sz="2" w:space="0" w:color="000000"/>
              <w:bottom w:val="dotted" w:sz="2" w:space="0" w:color="000000"/>
              <w:right w:val="dotted" w:sz="2" w:space="0" w:color="000000"/>
            </w:tcBorders>
          </w:tcPr>
          <w:p>
            <w:pPr>
              <w:pStyle w:val="TableParagraph"/>
              <w:spacing w:before="27"/>
              <w:ind w:left="120" w:right="112"/>
              <w:rPr>
                <w:sz w:val="20"/>
              </w:rPr>
            </w:pPr>
            <w:r>
              <w:rPr>
                <w:sz w:val="20"/>
              </w:rPr>
              <w:t>《人身保险公司分类监管办法</w:t>
            </w:r>
            <w:r>
              <w:rPr>
                <w:rFonts w:ascii="Arial" w:eastAsia="Arial"/>
                <w:sz w:val="20"/>
              </w:rPr>
              <w:t>(</w:t>
            </w:r>
            <w:r>
              <w:rPr>
                <w:sz w:val="20"/>
              </w:rPr>
              <w:t>征求意见稿</w:t>
            </w:r>
            <w:r>
              <w:rPr>
                <w:rFonts w:ascii="Arial" w:eastAsia="Arial"/>
                <w:sz w:val="20"/>
              </w:rPr>
              <w:t>)</w:t>
            </w:r>
            <w:r>
              <w:rPr>
                <w:sz w:val="20"/>
              </w:rPr>
              <w:t>》</w:t>
            </w:r>
          </w:p>
        </w:tc>
      </w:tr>
      <w:tr>
        <w:tblPrEx>
          <w:tblW w:w="0" w:type="auto"/>
          <w:jc w:val="left"/>
          <w:tblInd w:w="571" w:type="dxa"/>
          <w:tblLayout w:type="fixed"/>
          <w:tblCellMar>
            <w:top w:w="0" w:type="dxa"/>
            <w:left w:w="0" w:type="dxa"/>
            <w:bottom w:w="0" w:type="dxa"/>
            <w:right w:w="0" w:type="dxa"/>
          </w:tblCellMar>
          <w:tblLook w:val="01E0"/>
        </w:tblPrEx>
        <w:trPr>
          <w:trHeight w:val="312"/>
          <w:jc w:val="left"/>
        </w:trPr>
        <w:tc>
          <w:tcPr>
            <w:tcW w:w="1117"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2"/>
              <w:ind w:left="178" w:right="171"/>
              <w:rPr>
                <w:rFonts w:ascii="Arial"/>
                <w:sz w:val="20"/>
              </w:rPr>
            </w:pPr>
            <w:r>
              <w:rPr>
                <w:rFonts w:ascii="Arial"/>
                <w:sz w:val="20"/>
              </w:rPr>
              <w:t>2023.08</w:t>
            </w:r>
          </w:p>
        </w:tc>
        <w:tc>
          <w:tcPr>
            <w:tcW w:w="2711"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336" w:right="330"/>
              <w:rPr>
                <w:sz w:val="20"/>
              </w:rPr>
            </w:pPr>
            <w:r>
              <w:rPr>
                <w:sz w:val="20"/>
              </w:rPr>
              <w:t>国家金融监督管理总局</w:t>
            </w:r>
          </w:p>
        </w:tc>
        <w:tc>
          <w:tcPr>
            <w:tcW w:w="6945"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20" w:right="112"/>
              <w:rPr>
                <w:sz w:val="20"/>
              </w:rPr>
            </w:pPr>
            <w:r>
              <w:rPr>
                <w:sz w:val="20"/>
              </w:rPr>
              <w:t>《关于规范银行代理渠道保险产品的通知》</w:t>
            </w:r>
          </w:p>
        </w:tc>
      </w:tr>
      <w:tr>
        <w:tblPrEx>
          <w:tblW w:w="0" w:type="auto"/>
          <w:jc w:val="left"/>
          <w:tblInd w:w="571" w:type="dxa"/>
          <w:tblLayout w:type="fixed"/>
          <w:tblCellMar>
            <w:top w:w="0" w:type="dxa"/>
            <w:left w:w="0" w:type="dxa"/>
            <w:bottom w:w="0" w:type="dxa"/>
            <w:right w:w="0" w:type="dxa"/>
          </w:tblCellMar>
          <w:tblLook w:val="01E0"/>
        </w:tblPrEx>
        <w:trPr>
          <w:trHeight w:val="311"/>
          <w:jc w:val="left"/>
        </w:trPr>
        <w:tc>
          <w:tcPr>
            <w:tcW w:w="1117" w:type="dxa"/>
            <w:tcBorders>
              <w:top w:val="dotted" w:sz="2" w:space="0" w:color="000000"/>
              <w:left w:val="dotted" w:sz="2" w:space="0" w:color="000000"/>
              <w:bottom w:val="dotted" w:sz="2" w:space="0" w:color="000000"/>
              <w:right w:val="dotted" w:sz="2" w:space="0" w:color="000000"/>
            </w:tcBorders>
          </w:tcPr>
          <w:p>
            <w:pPr>
              <w:pStyle w:val="TableParagraph"/>
              <w:spacing w:before="42"/>
              <w:ind w:left="178" w:right="171"/>
              <w:rPr>
                <w:rFonts w:ascii="Arial"/>
                <w:sz w:val="20"/>
              </w:rPr>
            </w:pPr>
            <w:r>
              <w:rPr>
                <w:rFonts w:ascii="Arial"/>
                <w:sz w:val="20"/>
              </w:rPr>
              <w:t>2023.09</w:t>
            </w:r>
          </w:p>
        </w:tc>
        <w:tc>
          <w:tcPr>
            <w:tcW w:w="2711" w:type="dxa"/>
            <w:tcBorders>
              <w:top w:val="dotted" w:sz="2" w:space="0" w:color="000000"/>
              <w:left w:val="dotted" w:sz="2" w:space="0" w:color="000000"/>
              <w:bottom w:val="dotted" w:sz="2" w:space="0" w:color="000000"/>
              <w:right w:val="dotted" w:sz="2" w:space="0" w:color="000000"/>
            </w:tcBorders>
          </w:tcPr>
          <w:p>
            <w:pPr>
              <w:pStyle w:val="TableParagraph"/>
              <w:spacing w:before="27"/>
              <w:ind w:left="336" w:right="330"/>
              <w:rPr>
                <w:sz w:val="20"/>
              </w:rPr>
            </w:pPr>
            <w:r>
              <w:rPr>
                <w:sz w:val="20"/>
              </w:rPr>
              <w:t>国家金融监督管理总局</w:t>
            </w:r>
          </w:p>
        </w:tc>
        <w:tc>
          <w:tcPr>
            <w:tcW w:w="6945" w:type="dxa"/>
            <w:tcBorders>
              <w:top w:val="dotted" w:sz="2" w:space="0" w:color="000000"/>
              <w:left w:val="dotted" w:sz="2" w:space="0" w:color="000000"/>
              <w:bottom w:val="dotted" w:sz="2" w:space="0" w:color="000000"/>
              <w:right w:val="dotted" w:sz="2" w:space="0" w:color="000000"/>
            </w:tcBorders>
          </w:tcPr>
          <w:p>
            <w:pPr>
              <w:pStyle w:val="TableParagraph"/>
              <w:spacing w:before="27"/>
              <w:ind w:left="117" w:right="112"/>
              <w:rPr>
                <w:sz w:val="20"/>
              </w:rPr>
            </w:pPr>
            <w:r>
              <w:rPr>
                <w:sz w:val="20"/>
              </w:rPr>
              <w:t>《保险销售行为管理办法》</w:t>
            </w:r>
          </w:p>
        </w:tc>
      </w:tr>
      <w:tr>
        <w:tblPrEx>
          <w:tblW w:w="0" w:type="auto"/>
          <w:jc w:val="left"/>
          <w:tblInd w:w="571" w:type="dxa"/>
          <w:tblLayout w:type="fixed"/>
          <w:tblCellMar>
            <w:top w:w="0" w:type="dxa"/>
            <w:left w:w="0" w:type="dxa"/>
            <w:bottom w:w="0" w:type="dxa"/>
            <w:right w:w="0" w:type="dxa"/>
          </w:tblCellMar>
          <w:tblLook w:val="01E0"/>
        </w:tblPrEx>
        <w:trPr>
          <w:trHeight w:val="624"/>
          <w:jc w:val="left"/>
        </w:trPr>
        <w:tc>
          <w:tcPr>
            <w:tcW w:w="1117"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198"/>
              <w:ind w:left="178" w:right="171"/>
              <w:rPr>
                <w:rFonts w:ascii="Arial"/>
                <w:sz w:val="20"/>
              </w:rPr>
            </w:pPr>
            <w:r>
              <w:rPr>
                <w:rFonts w:ascii="Arial"/>
                <w:sz w:val="20"/>
              </w:rPr>
              <w:t>2023.10</w:t>
            </w:r>
          </w:p>
        </w:tc>
        <w:tc>
          <w:tcPr>
            <w:tcW w:w="2711"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336" w:right="327"/>
              <w:rPr>
                <w:sz w:val="20"/>
              </w:rPr>
            </w:pPr>
            <w:r>
              <w:rPr>
                <w:sz w:val="20"/>
              </w:rPr>
              <w:t>中国人民银行</w:t>
            </w:r>
          </w:p>
          <w:p>
            <w:pPr>
              <w:pStyle w:val="TableParagraph"/>
              <w:spacing w:before="56"/>
              <w:ind w:left="336" w:right="330"/>
              <w:rPr>
                <w:sz w:val="20"/>
              </w:rPr>
            </w:pPr>
            <w:r>
              <w:rPr>
                <w:sz w:val="20"/>
              </w:rPr>
              <w:t>国家金融监督管理总局</w:t>
            </w:r>
          </w:p>
        </w:tc>
        <w:tc>
          <w:tcPr>
            <w:tcW w:w="6945"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3"/>
              <w:jc w:val="left"/>
              <w:rPr>
                <w:sz w:val="14"/>
              </w:rPr>
            </w:pPr>
          </w:p>
          <w:p>
            <w:pPr>
              <w:pStyle w:val="TableParagraph"/>
              <w:spacing w:before="0"/>
              <w:ind w:left="117" w:right="112"/>
              <w:rPr>
                <w:sz w:val="20"/>
              </w:rPr>
            </w:pPr>
            <w:r>
              <w:rPr>
                <w:sz w:val="20"/>
              </w:rPr>
              <w:t>《系统重要性保险公司评估办法》</w:t>
            </w:r>
          </w:p>
        </w:tc>
      </w:tr>
      <w:tr>
        <w:tblPrEx>
          <w:tblW w:w="0" w:type="auto"/>
          <w:jc w:val="left"/>
          <w:tblInd w:w="571" w:type="dxa"/>
          <w:tblLayout w:type="fixed"/>
          <w:tblCellMar>
            <w:top w:w="0" w:type="dxa"/>
            <w:left w:w="0" w:type="dxa"/>
            <w:bottom w:w="0" w:type="dxa"/>
            <w:right w:w="0" w:type="dxa"/>
          </w:tblCellMar>
          <w:tblLook w:val="01E0"/>
        </w:tblPrEx>
        <w:trPr>
          <w:trHeight w:val="320"/>
          <w:jc w:val="left"/>
        </w:trPr>
        <w:tc>
          <w:tcPr>
            <w:tcW w:w="1117" w:type="dxa"/>
            <w:tcBorders>
              <w:top w:val="dotted" w:sz="2" w:space="0" w:color="000000"/>
              <w:left w:val="dotted" w:sz="2" w:space="0" w:color="000000"/>
              <w:bottom w:val="dotted" w:sz="2" w:space="0" w:color="000000"/>
              <w:right w:val="dotted" w:sz="2" w:space="0" w:color="000000"/>
            </w:tcBorders>
          </w:tcPr>
          <w:p>
            <w:pPr>
              <w:pStyle w:val="TableParagraph"/>
              <w:spacing w:before="46"/>
              <w:ind w:left="178" w:right="171"/>
              <w:rPr>
                <w:rFonts w:ascii="Arial"/>
                <w:sz w:val="20"/>
              </w:rPr>
            </w:pPr>
            <w:r>
              <w:rPr>
                <w:rFonts w:ascii="Arial"/>
                <w:sz w:val="20"/>
              </w:rPr>
              <w:t>2023.11</w:t>
            </w:r>
          </w:p>
        </w:tc>
        <w:tc>
          <w:tcPr>
            <w:tcW w:w="2711" w:type="dxa"/>
            <w:tcBorders>
              <w:top w:val="dotted" w:sz="2" w:space="0" w:color="000000"/>
              <w:left w:val="dotted" w:sz="2" w:space="0" w:color="000000"/>
              <w:bottom w:val="dotted" w:sz="2" w:space="0" w:color="000000"/>
              <w:right w:val="dotted" w:sz="2" w:space="0" w:color="000000"/>
            </w:tcBorders>
          </w:tcPr>
          <w:p>
            <w:pPr>
              <w:pStyle w:val="TableParagraph"/>
              <w:spacing w:before="31"/>
              <w:ind w:left="336" w:right="330"/>
              <w:rPr>
                <w:sz w:val="20"/>
              </w:rPr>
            </w:pPr>
            <w:r>
              <w:rPr>
                <w:sz w:val="20"/>
              </w:rPr>
              <w:t>国家金融监督管理总局</w:t>
            </w:r>
          </w:p>
        </w:tc>
        <w:tc>
          <w:tcPr>
            <w:tcW w:w="6945" w:type="dxa"/>
            <w:tcBorders>
              <w:top w:val="dotted" w:sz="2" w:space="0" w:color="000000"/>
              <w:left w:val="dotted" w:sz="2" w:space="0" w:color="000000"/>
              <w:bottom w:val="dotted" w:sz="2" w:space="0" w:color="000000"/>
              <w:right w:val="dotted" w:sz="2" w:space="0" w:color="000000"/>
            </w:tcBorders>
          </w:tcPr>
          <w:p>
            <w:pPr>
              <w:pStyle w:val="TableParagraph"/>
              <w:spacing w:before="31"/>
              <w:ind w:left="117" w:right="112"/>
              <w:rPr>
                <w:sz w:val="20"/>
              </w:rPr>
            </w:pPr>
            <w:r>
              <w:rPr>
                <w:sz w:val="20"/>
              </w:rPr>
              <w:t>《银行保险机构涉刑案件风险防控管理办法》</w:t>
            </w:r>
          </w:p>
        </w:tc>
      </w:tr>
      <w:tr>
        <w:tblPrEx>
          <w:tblW w:w="0" w:type="auto"/>
          <w:jc w:val="left"/>
          <w:tblInd w:w="571" w:type="dxa"/>
          <w:tblLayout w:type="fixed"/>
          <w:tblCellMar>
            <w:top w:w="0" w:type="dxa"/>
            <w:left w:w="0" w:type="dxa"/>
            <w:bottom w:w="0" w:type="dxa"/>
            <w:right w:w="0" w:type="dxa"/>
          </w:tblCellMar>
          <w:tblLook w:val="01E0"/>
        </w:tblPrEx>
        <w:trPr>
          <w:trHeight w:val="321"/>
          <w:jc w:val="left"/>
        </w:trPr>
        <w:tc>
          <w:tcPr>
            <w:tcW w:w="1117"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4"/>
              <w:ind w:left="178" w:right="171"/>
              <w:rPr>
                <w:rFonts w:ascii="Arial"/>
                <w:sz w:val="20"/>
              </w:rPr>
            </w:pPr>
            <w:r>
              <w:rPr>
                <w:rFonts w:ascii="Arial"/>
                <w:sz w:val="20"/>
              </w:rPr>
              <w:t>2023.11</w:t>
            </w:r>
          </w:p>
        </w:tc>
        <w:tc>
          <w:tcPr>
            <w:tcW w:w="2711"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32"/>
              <w:ind w:left="334" w:right="330"/>
              <w:rPr>
                <w:sz w:val="20"/>
              </w:rPr>
            </w:pPr>
            <w:r>
              <w:rPr>
                <w:sz w:val="20"/>
              </w:rPr>
              <w:t>中国保险行业协会</w:t>
            </w:r>
          </w:p>
        </w:tc>
        <w:tc>
          <w:tcPr>
            <w:tcW w:w="6945"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32"/>
              <w:ind w:left="120" w:right="110"/>
              <w:rPr>
                <w:sz w:val="20"/>
              </w:rPr>
            </w:pPr>
            <w:r>
              <w:rPr>
                <w:sz w:val="20"/>
              </w:rPr>
              <w:t>《个人保险代理人销售能力资质等级标准</w:t>
            </w:r>
            <w:r>
              <w:rPr>
                <w:rFonts w:ascii="Arial" w:eastAsia="Arial"/>
                <w:sz w:val="20"/>
              </w:rPr>
              <w:t>(</w:t>
            </w:r>
            <w:r>
              <w:rPr>
                <w:sz w:val="20"/>
              </w:rPr>
              <w:t>人身保险方向</w:t>
            </w:r>
            <w:r>
              <w:rPr>
                <w:rFonts w:ascii="Arial" w:eastAsia="Arial"/>
                <w:sz w:val="20"/>
              </w:rPr>
              <w:t>)(</w:t>
            </w:r>
            <w:r>
              <w:rPr>
                <w:sz w:val="20"/>
              </w:rPr>
              <w:t>讨论稿</w:t>
            </w:r>
            <w:r>
              <w:rPr>
                <w:rFonts w:ascii="Arial" w:eastAsia="Arial"/>
                <w:sz w:val="20"/>
              </w:rPr>
              <w:t>)</w:t>
            </w:r>
            <w:r>
              <w:rPr>
                <w:sz w:val="20"/>
              </w:rPr>
              <w:t>》</w:t>
            </w:r>
          </w:p>
        </w:tc>
      </w:tr>
      <w:tr>
        <w:tblPrEx>
          <w:tblW w:w="0" w:type="auto"/>
          <w:jc w:val="left"/>
          <w:tblInd w:w="571" w:type="dxa"/>
          <w:tblLayout w:type="fixed"/>
          <w:tblCellMar>
            <w:top w:w="0" w:type="dxa"/>
            <w:left w:w="0" w:type="dxa"/>
            <w:bottom w:w="0" w:type="dxa"/>
            <w:right w:w="0" w:type="dxa"/>
          </w:tblCellMar>
          <w:tblLook w:val="01E0"/>
        </w:tblPrEx>
        <w:trPr>
          <w:trHeight w:val="320"/>
          <w:jc w:val="left"/>
        </w:trPr>
        <w:tc>
          <w:tcPr>
            <w:tcW w:w="1117" w:type="dxa"/>
            <w:tcBorders>
              <w:top w:val="dotted" w:sz="2" w:space="0" w:color="000000"/>
              <w:left w:val="dotted" w:sz="2" w:space="0" w:color="000000"/>
              <w:bottom w:val="dotted" w:sz="2" w:space="0" w:color="000000"/>
              <w:right w:val="dotted" w:sz="2" w:space="0" w:color="000000"/>
            </w:tcBorders>
          </w:tcPr>
          <w:p>
            <w:pPr>
              <w:pStyle w:val="TableParagraph"/>
              <w:spacing w:before="45"/>
              <w:ind w:left="178" w:right="171"/>
              <w:rPr>
                <w:rFonts w:ascii="Arial"/>
                <w:sz w:val="20"/>
              </w:rPr>
            </w:pPr>
            <w:r>
              <w:rPr>
                <w:rFonts w:ascii="Arial"/>
                <w:sz w:val="20"/>
              </w:rPr>
              <w:t>2023.11</w:t>
            </w:r>
          </w:p>
        </w:tc>
        <w:tc>
          <w:tcPr>
            <w:tcW w:w="2711" w:type="dxa"/>
            <w:tcBorders>
              <w:top w:val="dotted" w:sz="2" w:space="0" w:color="000000"/>
              <w:left w:val="dotted" w:sz="2" w:space="0" w:color="000000"/>
              <w:bottom w:val="dotted" w:sz="2" w:space="0" w:color="000000"/>
              <w:right w:val="dotted" w:sz="2" w:space="0" w:color="000000"/>
            </w:tcBorders>
          </w:tcPr>
          <w:p>
            <w:pPr>
              <w:pStyle w:val="TableParagraph"/>
              <w:spacing w:before="32"/>
              <w:ind w:left="334" w:right="330"/>
              <w:rPr>
                <w:sz w:val="20"/>
              </w:rPr>
            </w:pPr>
            <w:r>
              <w:rPr>
                <w:sz w:val="20"/>
              </w:rPr>
              <w:t>中国保险行业协会</w:t>
            </w:r>
          </w:p>
        </w:tc>
        <w:tc>
          <w:tcPr>
            <w:tcW w:w="6945" w:type="dxa"/>
            <w:tcBorders>
              <w:top w:val="dotted" w:sz="2" w:space="0" w:color="000000"/>
              <w:left w:val="dotted" w:sz="2" w:space="0" w:color="000000"/>
              <w:bottom w:val="dotted" w:sz="2" w:space="0" w:color="000000"/>
              <w:right w:val="dotted" w:sz="2" w:space="0" w:color="000000"/>
            </w:tcBorders>
          </w:tcPr>
          <w:p>
            <w:pPr>
              <w:pStyle w:val="TableParagraph"/>
              <w:spacing w:before="32"/>
              <w:ind w:left="120" w:right="112"/>
              <w:rPr>
                <w:sz w:val="20"/>
              </w:rPr>
            </w:pPr>
            <w:r>
              <w:rPr>
                <w:sz w:val="20"/>
              </w:rPr>
              <w:t>《个人保险代理人销售能力资质等级标准</w:t>
            </w:r>
            <w:r>
              <w:rPr>
                <w:rFonts w:ascii="Arial" w:eastAsia="Arial"/>
                <w:sz w:val="20"/>
              </w:rPr>
              <w:t>(</w:t>
            </w:r>
            <w:r>
              <w:rPr>
                <w:sz w:val="20"/>
              </w:rPr>
              <w:t>人身保险方向</w:t>
            </w:r>
            <w:r>
              <w:rPr>
                <w:rFonts w:ascii="Arial" w:eastAsia="Arial"/>
                <w:sz w:val="20"/>
              </w:rPr>
              <w:t>)</w:t>
            </w:r>
            <w:r>
              <w:rPr>
                <w:sz w:val="20"/>
              </w:rPr>
              <w:t>知识大纲</w:t>
            </w:r>
            <w:r>
              <w:rPr>
                <w:rFonts w:ascii="Arial" w:eastAsia="Arial"/>
                <w:sz w:val="20"/>
              </w:rPr>
              <w:t>(</w:t>
            </w:r>
            <w:r>
              <w:rPr>
                <w:sz w:val="20"/>
              </w:rPr>
              <w:t>讨论稿</w:t>
            </w:r>
            <w:r>
              <w:rPr>
                <w:rFonts w:ascii="Arial" w:eastAsia="Arial"/>
                <w:sz w:val="20"/>
              </w:rPr>
              <w:t>)</w:t>
            </w:r>
            <w:r>
              <w:rPr>
                <w:sz w:val="20"/>
              </w:rPr>
              <w:t>》</w:t>
            </w:r>
          </w:p>
        </w:tc>
      </w:tr>
      <w:tr>
        <w:tblPrEx>
          <w:tblW w:w="0" w:type="auto"/>
          <w:jc w:val="left"/>
          <w:tblInd w:w="571" w:type="dxa"/>
          <w:tblLayout w:type="fixed"/>
          <w:tblCellMar>
            <w:top w:w="0" w:type="dxa"/>
            <w:left w:w="0" w:type="dxa"/>
            <w:bottom w:w="0" w:type="dxa"/>
            <w:right w:w="0" w:type="dxa"/>
          </w:tblCellMar>
          <w:tblLook w:val="01E0"/>
        </w:tblPrEx>
        <w:trPr>
          <w:trHeight w:val="312"/>
          <w:jc w:val="left"/>
        </w:trPr>
        <w:tc>
          <w:tcPr>
            <w:tcW w:w="1117"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0"/>
              <w:ind w:left="178" w:right="171"/>
              <w:rPr>
                <w:rFonts w:ascii="Arial"/>
                <w:sz w:val="20"/>
              </w:rPr>
            </w:pPr>
            <w:r>
              <w:rPr>
                <w:rFonts w:ascii="Arial"/>
                <w:sz w:val="20"/>
              </w:rPr>
              <w:t>2023.12</w:t>
            </w:r>
          </w:p>
        </w:tc>
        <w:tc>
          <w:tcPr>
            <w:tcW w:w="2711"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8"/>
              <w:ind w:left="336" w:right="330"/>
              <w:rPr>
                <w:sz w:val="20"/>
              </w:rPr>
            </w:pPr>
            <w:r>
              <w:rPr>
                <w:sz w:val="20"/>
              </w:rPr>
              <w:t>国家金融监督管理总局</w:t>
            </w:r>
          </w:p>
        </w:tc>
        <w:tc>
          <w:tcPr>
            <w:tcW w:w="6945"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8"/>
              <w:ind w:left="117" w:right="112"/>
              <w:rPr>
                <w:sz w:val="20"/>
              </w:rPr>
            </w:pPr>
            <w:r>
              <w:rPr>
                <w:sz w:val="20"/>
              </w:rPr>
              <w:t>《关于加强和改进互联网财产保险业务监管有关事项的通知》</w:t>
            </w:r>
          </w:p>
        </w:tc>
      </w:tr>
      <w:tr>
        <w:tblPrEx>
          <w:tblW w:w="0" w:type="auto"/>
          <w:jc w:val="left"/>
          <w:tblInd w:w="571" w:type="dxa"/>
          <w:tblLayout w:type="fixed"/>
          <w:tblCellMar>
            <w:top w:w="0" w:type="dxa"/>
            <w:left w:w="0" w:type="dxa"/>
            <w:bottom w:w="0" w:type="dxa"/>
            <w:right w:w="0" w:type="dxa"/>
          </w:tblCellMar>
          <w:tblLook w:val="01E0"/>
        </w:tblPrEx>
        <w:trPr>
          <w:trHeight w:val="311"/>
          <w:jc w:val="left"/>
        </w:trPr>
        <w:tc>
          <w:tcPr>
            <w:tcW w:w="1117" w:type="dxa"/>
            <w:tcBorders>
              <w:top w:val="dotted" w:sz="2" w:space="0" w:color="000000"/>
              <w:left w:val="dotted" w:sz="2" w:space="0" w:color="000000"/>
              <w:right w:val="dotted" w:sz="2" w:space="0" w:color="000000"/>
            </w:tcBorders>
          </w:tcPr>
          <w:p>
            <w:pPr>
              <w:pStyle w:val="TableParagraph"/>
              <w:spacing w:before="40"/>
              <w:ind w:left="178" w:right="171"/>
              <w:rPr>
                <w:rFonts w:ascii="Arial"/>
                <w:sz w:val="20"/>
              </w:rPr>
            </w:pPr>
            <w:r>
              <w:rPr>
                <w:rFonts w:ascii="Arial"/>
                <w:sz w:val="20"/>
              </w:rPr>
              <w:t>2023.12</w:t>
            </w:r>
          </w:p>
        </w:tc>
        <w:tc>
          <w:tcPr>
            <w:tcW w:w="2711" w:type="dxa"/>
            <w:tcBorders>
              <w:top w:val="dotted" w:sz="2" w:space="0" w:color="000000"/>
              <w:left w:val="dotted" w:sz="2" w:space="0" w:color="000000"/>
              <w:right w:val="dotted" w:sz="2" w:space="0" w:color="000000"/>
            </w:tcBorders>
          </w:tcPr>
          <w:p>
            <w:pPr>
              <w:pStyle w:val="TableParagraph"/>
              <w:spacing w:before="28"/>
              <w:ind w:left="336" w:right="330"/>
              <w:rPr>
                <w:sz w:val="20"/>
              </w:rPr>
            </w:pPr>
            <w:r>
              <w:rPr>
                <w:sz w:val="20"/>
              </w:rPr>
              <w:t>国家金融监督管理总局</w:t>
            </w:r>
          </w:p>
        </w:tc>
        <w:tc>
          <w:tcPr>
            <w:tcW w:w="6945" w:type="dxa"/>
            <w:tcBorders>
              <w:top w:val="dotted" w:sz="2" w:space="0" w:color="000000"/>
              <w:left w:val="dotted" w:sz="2" w:space="0" w:color="000000"/>
              <w:right w:val="dotted" w:sz="2" w:space="0" w:color="000000"/>
            </w:tcBorders>
          </w:tcPr>
          <w:p>
            <w:pPr>
              <w:pStyle w:val="TableParagraph"/>
              <w:spacing w:before="28"/>
              <w:ind w:left="120" w:right="112"/>
              <w:rPr>
                <w:sz w:val="20"/>
              </w:rPr>
            </w:pPr>
            <w:r>
              <w:rPr>
                <w:sz w:val="20"/>
              </w:rPr>
              <w:t>《银行保险机构操作风险管理办法》</w:t>
            </w:r>
          </w:p>
        </w:tc>
      </w:tr>
    </w:tbl>
    <w:p>
      <w:pPr>
        <w:spacing w:before="43"/>
        <w:ind w:left="674" w:right="0" w:firstLine="0"/>
        <w:jc w:val="left"/>
        <w:rPr>
          <w:sz w:val="18"/>
        </w:rPr>
      </w:pPr>
      <w:r>
        <w:t xml:space="preserve">资料来源：国家金融监督管理总局，中国人民银行，中国保险行业协会，国务院， </w:t>
      </w:r>
    </w:p>
    <w:p>
      <w:pPr>
        <w:pStyle w:val="BodyText"/>
        <w:rPr>
          <w:sz w:val="20"/>
        </w:rPr>
      </w:pPr>
    </w:p>
    <w:p>
      <w:pPr>
        <w:pStyle w:val="BodyText"/>
        <w:spacing w:before="3"/>
        <w:rPr>
          <w:sz w:val="24"/>
        </w:rPr>
      </w:pPr>
    </w:p>
    <w:p>
      <w:pPr>
        <w:pStyle w:val="Heading2"/>
        <w:numPr>
          <w:ilvl w:val="1"/>
          <w:numId w:val="8"/>
        </w:numPr>
        <w:tabs>
          <w:tab w:val="left" w:pos="1604"/>
        </w:tabs>
        <w:spacing w:before="74" w:after="0" w:line="240" w:lineRule="auto"/>
        <w:ind w:left="1603" w:right="0" w:hanging="472"/>
        <w:jc w:val="left"/>
      </w:pPr>
      <w:bookmarkStart w:id="6" w:name="_TOC_250006"/>
      <w:bookmarkEnd w:id="6"/>
      <w:r>
        <w:t>践行保险产品供给侧改革之路，覆盖细分业务领域规范真空带</w:t>
      </w:r>
    </w:p>
    <w:p>
      <w:pPr>
        <w:pStyle w:val="BodyText"/>
        <w:spacing w:before="9"/>
        <w:rPr>
          <w:b/>
          <w:sz w:val="23"/>
        </w:rPr>
      </w:pPr>
    </w:p>
    <w:p>
      <w:pPr>
        <w:pStyle w:val="BodyText"/>
        <w:spacing w:line="266" w:lineRule="auto"/>
        <w:ind w:left="1132" w:right="1130" w:firstLine="441"/>
        <w:jc w:val="both"/>
      </w:pPr>
      <w:r>
        <w:t>保险产品的供给侧改革一直是保险业实现高质量发展的重中之重，</w:t>
      </w:r>
      <w:r>
        <w:rPr>
          <w:rFonts w:ascii="Arial" w:eastAsia="Arial"/>
        </w:rPr>
        <w:t xml:space="preserve">2023 </w:t>
      </w:r>
      <w:r>
        <w:t>年，人身险着墨最多的领域之一。</w:t>
      </w:r>
    </w:p>
    <w:p>
      <w:pPr>
        <w:pStyle w:val="BodyText"/>
        <w:spacing w:before="155" w:line="266" w:lineRule="auto"/>
        <w:ind w:left="1132" w:right="1111" w:firstLine="441"/>
        <w:jc w:val="both"/>
      </w:pPr>
      <w:r>
        <w:rPr>
          <w:b/>
          <w:spacing w:val="-9"/>
        </w:rPr>
        <w:t xml:space="preserve">第一，人身险产品的预定利率由 </w:t>
      </w:r>
      <w:r>
        <w:rPr>
          <w:rFonts w:ascii="Arial" w:eastAsia="Arial"/>
          <w:b/>
        </w:rPr>
        <w:t>3.5%</w:t>
      </w:r>
      <w:r>
        <w:rPr>
          <w:b/>
          <w:spacing w:val="-12"/>
        </w:rPr>
        <w:t xml:space="preserve">时代迈入 </w:t>
      </w:r>
      <w:r>
        <w:rPr>
          <w:rFonts w:ascii="Arial" w:eastAsia="Arial"/>
          <w:b/>
        </w:rPr>
        <w:t>3.0%</w:t>
      </w:r>
      <w:r>
        <w:rPr>
          <w:b/>
        </w:rPr>
        <w:t>时代</w:t>
      </w:r>
      <w:r>
        <w:rPr>
          <w:spacing w:val="-8"/>
        </w:rPr>
        <w:t>，尽管并未有官方红头文件下发，只是窗口指导，但效果和力度并未有任何减少。</w:t>
      </w:r>
      <w:r>
        <w:rPr>
          <w:rFonts w:ascii="Arial" w:eastAsia="Arial"/>
          <w:spacing w:val="-8"/>
        </w:rPr>
        <w:t xml:space="preserve">2023 </w:t>
      </w:r>
      <w:r>
        <w:rPr>
          <w:spacing w:val="-23"/>
        </w:rPr>
        <w:t xml:space="preserve">年 </w:t>
      </w:r>
      <w:r>
        <w:rPr>
          <w:rFonts w:ascii="Arial" w:eastAsia="Arial"/>
        </w:rPr>
        <w:t xml:space="preserve">3 </w:t>
      </w:r>
      <w:r>
        <w:t>月监管连续组织多场座谈会和调研，全行业在人身险产品预定利率下调一事上形成了一致预期，</w:t>
      </w:r>
      <w:r>
        <w:rPr>
          <w:rFonts w:ascii="Arial" w:eastAsia="Arial"/>
        </w:rPr>
        <w:t xml:space="preserve">2023 </w:t>
      </w:r>
      <w:r>
        <w:rPr>
          <w:spacing w:val="-22"/>
        </w:rPr>
        <w:t xml:space="preserve">年 </w:t>
      </w:r>
      <w:r>
        <w:rPr>
          <w:rFonts w:ascii="Arial" w:eastAsia="Arial"/>
        </w:rPr>
        <w:t xml:space="preserve">4 </w:t>
      </w:r>
      <w:r>
        <w:t>月监管进行窗口指导，要求新开发产品</w:t>
      </w:r>
      <w:r>
        <w:rPr>
          <w:spacing w:val="-10"/>
        </w:rPr>
        <w:t xml:space="preserve">的定价利率从 </w:t>
      </w:r>
      <w:r>
        <w:rPr>
          <w:rFonts w:ascii="Arial" w:eastAsia="Arial"/>
        </w:rPr>
        <w:t>3.5%</w:t>
      </w:r>
      <w:r>
        <w:rPr>
          <w:spacing w:val="-19"/>
        </w:rPr>
        <w:t xml:space="preserve">降至 </w:t>
      </w:r>
      <w:r>
        <w:rPr>
          <w:rFonts w:ascii="Arial" w:eastAsia="Arial"/>
          <w:spacing w:val="-4"/>
        </w:rPr>
        <w:t>3.0%</w:t>
      </w:r>
      <w:r>
        <w:rPr>
          <w:spacing w:val="-4"/>
        </w:rPr>
        <w:t>，</w:t>
      </w:r>
      <w:r>
        <w:rPr>
          <w:rFonts w:ascii="Arial" w:eastAsia="Arial"/>
          <w:spacing w:val="-4"/>
        </w:rPr>
        <w:t xml:space="preserve">2023 </w:t>
      </w:r>
      <w:r>
        <w:rPr>
          <w:spacing w:val="-26"/>
        </w:rPr>
        <w:t xml:space="preserve">年 </w:t>
      </w:r>
      <w:r>
        <w:rPr>
          <w:rFonts w:ascii="Arial" w:eastAsia="Arial"/>
        </w:rPr>
        <w:t xml:space="preserve">7 </w:t>
      </w:r>
      <w:r>
        <w:rPr>
          <w:spacing w:val="-26"/>
        </w:rPr>
        <w:t xml:space="preserve">月 </w:t>
      </w:r>
      <w:r>
        <w:rPr>
          <w:rFonts w:ascii="Arial" w:eastAsia="Arial"/>
        </w:rPr>
        <w:t xml:space="preserve">31 </w:t>
      </w:r>
      <w:r>
        <w:rPr>
          <w:spacing w:val="-9"/>
        </w:rPr>
        <w:t>日，调降靴子正式落地，累计有超千款产品下架，人</w:t>
      </w:r>
      <w:r>
        <w:rPr>
          <w:spacing w:val="-13"/>
        </w:rPr>
        <w:t xml:space="preserve">身险正式进入 </w:t>
      </w:r>
      <w:r>
        <w:rPr>
          <w:rFonts w:ascii="Arial" w:eastAsia="Arial"/>
        </w:rPr>
        <w:t>3.0%</w:t>
      </w:r>
      <w:r>
        <w:t>时代。在中国经济复苏放缓、保险投资持续承压的大背景下，利率下调似乎是应</w:t>
      </w:r>
    </w:p>
    <w:p>
      <w:pPr>
        <w:spacing w:after="0" w:line="266" w:lineRule="auto"/>
        <w:jc w:val="both"/>
        <w:sectPr>
          <w:headerReference w:type="default" r:id="rId25"/>
          <w:footerReference w:type="default" r:id="rId26"/>
          <w:pgSz w:w="11910" w:h="16840"/>
          <w:pgMar w:top="1280" w:right="0" w:bottom="1000" w:left="0" w:header="708" w:footer="708"/>
          <w:pgNumType w:start="8"/>
          <w:cols w:space="708"/>
        </w:sectPr>
      </w:pPr>
    </w:p>
    <w:p>
      <w:pPr>
        <w:pStyle w:val="BodyText"/>
        <w:spacing w:before="72" w:line="266" w:lineRule="auto"/>
        <w:ind w:left="1132" w:right="1089"/>
        <w:jc w:val="both"/>
      </w:pPr>
      <w:r>
        <w:rPr>
          <w:spacing w:val="-3"/>
        </w:rPr>
        <w:t xml:space="preserve">对利差损风险抬升、压降负债经营成本的必然之策。尽管短期内保险产品的销售或将迎来“寒冬”， </w:t>
      </w:r>
      <w:r>
        <w:rPr>
          <w:spacing w:val="-7"/>
        </w:rPr>
        <w:t>但聚焦于更长期维度，风险与机遇并存，此举有利于保险公司优化业务结构，挖掘自身禀赋，真正转</w:t>
      </w:r>
      <w:r>
        <w:rPr>
          <w:spacing w:val="-3"/>
        </w:rPr>
        <w:t>型高质量发展。</w:t>
      </w:r>
    </w:p>
    <w:p>
      <w:pPr>
        <w:pStyle w:val="BodyText"/>
        <w:spacing w:before="154" w:line="266" w:lineRule="auto"/>
        <w:ind w:left="1132" w:right="1022" w:firstLine="441"/>
      </w:pPr>
      <w:r>
        <w:rPr>
          <w:b/>
        </w:rPr>
        <w:t>第二，细化产品信息披露规则，创新业务形式。</w:t>
      </w:r>
      <w:r>
        <w:rPr>
          <w:rFonts w:ascii="Arial" w:eastAsia="Arial"/>
        </w:rPr>
        <w:t>2023</w:t>
      </w:r>
      <w:r>
        <w:rPr>
          <w:rFonts w:ascii="Arial" w:eastAsia="Arial"/>
          <w:spacing w:val="11"/>
        </w:rPr>
        <w:t xml:space="preserve"> </w:t>
      </w:r>
      <w:r>
        <w:t>年开年，原银保监会发布《一年期以上人</w:t>
      </w:r>
      <w:r>
        <w:rPr>
          <w:spacing w:val="-7"/>
        </w:rPr>
        <w:t>身保险产品信息披露规则》，全面强化了人身保险产品的信息披露要求，从源头规范主体行为，其中</w:t>
      </w:r>
      <w:r>
        <w:rPr>
          <w:spacing w:val="-10"/>
        </w:rPr>
        <w:t xml:space="preserve">首次要求保险公司要披露分红实现率指标，并取消高、中、低三档演示利率表述，调低演示利率水平； </w:t>
      </w:r>
      <w:r>
        <w:rPr>
          <w:rFonts w:ascii="Arial" w:eastAsia="Arial"/>
          <w:spacing w:val="-10"/>
        </w:rPr>
        <w:t>2023</w:t>
      </w:r>
      <w:r>
        <w:rPr>
          <w:rFonts w:ascii="Arial" w:eastAsia="Arial"/>
          <w:spacing w:val="2"/>
        </w:rPr>
        <w:t xml:space="preserve"> </w:t>
      </w:r>
      <w:r>
        <w:rPr>
          <w:spacing w:val="-24"/>
        </w:rPr>
        <w:t xml:space="preserve">年 </w:t>
      </w:r>
      <w:r>
        <w:rPr>
          <w:rFonts w:ascii="Arial" w:eastAsia="Arial"/>
        </w:rPr>
        <w:t>3</w:t>
      </w:r>
      <w:r>
        <w:rPr>
          <w:rFonts w:ascii="Arial" w:eastAsia="Arial"/>
          <w:spacing w:val="1"/>
        </w:rPr>
        <w:t xml:space="preserve"> </w:t>
      </w:r>
      <w:r>
        <w:t>月，《关于开展人寿保险与长期护理保险责任转换业务试点的通知》出台，明确试点将于</w:t>
      </w:r>
    </w:p>
    <w:p>
      <w:pPr>
        <w:pStyle w:val="BodyText"/>
        <w:spacing w:line="266" w:lineRule="auto"/>
        <w:ind w:left="1132" w:right="1089"/>
        <w:jc w:val="both"/>
      </w:pPr>
      <w:r>
        <w:rPr>
          <w:rFonts w:ascii="Arial" w:eastAsia="Arial"/>
        </w:rPr>
        <w:t xml:space="preserve">2023 </w:t>
      </w:r>
      <w:r>
        <w:rPr>
          <w:spacing w:val="-26"/>
        </w:rPr>
        <w:t xml:space="preserve">年 </w:t>
      </w:r>
      <w:r>
        <w:rPr>
          <w:rFonts w:ascii="Arial" w:eastAsia="Arial"/>
        </w:rPr>
        <w:t xml:space="preserve">5 </w:t>
      </w:r>
      <w:r>
        <w:rPr>
          <w:spacing w:val="-26"/>
        </w:rPr>
        <w:t xml:space="preserve">月 </w:t>
      </w:r>
      <w:r>
        <w:rPr>
          <w:rFonts w:ascii="Arial" w:eastAsia="Arial"/>
        </w:rPr>
        <w:t xml:space="preserve">1 </w:t>
      </w:r>
      <w:r>
        <w:t>日起开展，处于有效状态的人寿保险保单中的身故或满期给付等责任，能转换为护理</w:t>
      </w:r>
      <w:r>
        <w:rPr>
          <w:spacing w:val="-3"/>
        </w:rPr>
        <w:t>给付责任。随着老龄化程度的加深，失能人群也在逐渐扩大，如今正面临着长期护理保障需求增长、</w:t>
      </w:r>
      <w:r>
        <w:rPr>
          <w:spacing w:val="-6"/>
        </w:rPr>
        <w:t>商业长期护理保险供给不足的困难境地，在此背景下，该试点的开展能在短时间内利用存量的寿险产品来有效提升长期护理保险供给能力，缓解供需不平衡的情况，与此同时，也是寿险服务内容和形式</w:t>
      </w:r>
      <w:r>
        <w:rPr>
          <w:spacing w:val="-3"/>
        </w:rPr>
        <w:t>的又一创新。</w:t>
      </w:r>
    </w:p>
    <w:p>
      <w:pPr>
        <w:pStyle w:val="BodyText"/>
        <w:spacing w:before="148" w:line="266" w:lineRule="auto"/>
        <w:ind w:left="1132" w:right="980" w:firstLine="441"/>
      </w:pPr>
      <w:r>
        <w:rPr>
          <w:b/>
        </w:rPr>
        <w:t>此外，</w:t>
      </w:r>
      <w:r>
        <w:rPr>
          <w:rFonts w:ascii="Arial" w:eastAsia="Arial"/>
          <w:b/>
        </w:rPr>
        <w:t xml:space="preserve">2023 </w:t>
      </w:r>
      <w:r>
        <w:rPr>
          <w:b/>
        </w:rPr>
        <w:t>年，许多细分保险领域的行业规范被首次树立，业务规范的空白逐渐被填满，保险行业迎来全面规范发展的新时代。</w:t>
      </w:r>
      <w:r>
        <w:rPr>
          <w:rFonts w:ascii="Arial" w:eastAsia="Arial"/>
        </w:rPr>
        <w:t xml:space="preserve">2023 </w:t>
      </w:r>
      <w:r>
        <w:rPr>
          <w:spacing w:val="-24"/>
        </w:rPr>
        <w:t xml:space="preserve">年 </w:t>
      </w:r>
      <w:r>
        <w:rPr>
          <w:rFonts w:ascii="Arial" w:eastAsia="Arial"/>
        </w:rPr>
        <w:t xml:space="preserve">1 </w:t>
      </w:r>
      <w:r>
        <w:t>月出台的《农业保险产品开发指引》，是首次从行业自律层面制定农业保险领域的产品开发指导性文件；</w:t>
      </w:r>
      <w:r>
        <w:rPr>
          <w:rFonts w:ascii="Arial" w:eastAsia="Arial"/>
        </w:rPr>
        <w:t xml:space="preserve">2023 </w:t>
      </w:r>
      <w:r>
        <w:rPr>
          <w:spacing w:val="-23"/>
        </w:rPr>
        <w:t xml:space="preserve">年 </w:t>
      </w:r>
      <w:r>
        <w:rPr>
          <w:rFonts w:ascii="Arial" w:eastAsia="Arial"/>
        </w:rPr>
        <w:t xml:space="preserve">7 </w:t>
      </w:r>
      <w:r>
        <w:t>月出台的《定期寿险示范条款》和《终</w:t>
      </w:r>
      <w:r>
        <w:rPr>
          <w:spacing w:val="-3"/>
        </w:rPr>
        <w:t>身寿险示范条款》，是人身险领域首次发布的行业示范条款，标志着人身险产品向标准化、通俗化、简单化迈出了一大步；</w:t>
      </w:r>
      <w:r>
        <w:rPr>
          <w:rFonts w:ascii="Arial" w:eastAsia="Arial"/>
          <w:spacing w:val="-3"/>
        </w:rPr>
        <w:t xml:space="preserve">2023 </w:t>
      </w:r>
      <w:r>
        <w:rPr>
          <w:spacing w:val="-28"/>
        </w:rPr>
        <w:t xml:space="preserve">年 </w:t>
      </w:r>
      <w:r>
        <w:rPr>
          <w:rFonts w:ascii="Arial" w:eastAsia="Arial"/>
        </w:rPr>
        <w:t xml:space="preserve">9 </w:t>
      </w:r>
      <w:r>
        <w:rPr>
          <w:spacing w:val="-5"/>
        </w:rPr>
        <w:t>月出台的《绿色保险分类指引</w:t>
      </w:r>
      <w:r>
        <w:t>（</w:t>
      </w:r>
      <w:r>
        <w:rPr>
          <w:rFonts w:ascii="Arial" w:eastAsia="Arial"/>
        </w:rPr>
        <w:t xml:space="preserve">2023 </w:t>
      </w:r>
      <w:r>
        <w:rPr>
          <w:spacing w:val="-2"/>
        </w:rPr>
        <w:t>年版</w:t>
      </w:r>
      <w:r>
        <w:rPr>
          <w:spacing w:val="-8"/>
        </w:rPr>
        <w:t>）</w:t>
      </w:r>
      <w:r>
        <w:rPr>
          <w:spacing w:val="-5"/>
        </w:rPr>
        <w:t>》，是全球首个全面覆</w:t>
      </w:r>
      <w:r>
        <w:rPr>
          <w:spacing w:val="-6"/>
        </w:rPr>
        <w:t>盖绿色保险产品、保险资金绿色投资、保险公司绿色运营的行业自律规范；</w:t>
      </w:r>
      <w:r>
        <w:rPr>
          <w:rFonts w:ascii="Arial" w:eastAsia="Arial"/>
          <w:spacing w:val="-4"/>
        </w:rPr>
        <w:t xml:space="preserve">2023 </w:t>
      </w:r>
      <w:r>
        <w:rPr>
          <w:spacing w:val="-28"/>
        </w:rPr>
        <w:t xml:space="preserve">年 </w:t>
      </w:r>
      <w:r>
        <w:rPr>
          <w:rFonts w:ascii="Arial" w:eastAsia="Arial"/>
        </w:rPr>
        <w:t xml:space="preserve">12 </w:t>
      </w:r>
      <w:r>
        <w:rPr>
          <w:spacing w:val="-5"/>
        </w:rPr>
        <w:t>月出台的《财产保险重大灾害事故理赔服务规范（</w:t>
      </w:r>
      <w:r>
        <w:t>试行</w:t>
      </w:r>
      <w:r>
        <w:rPr>
          <w:spacing w:val="-29"/>
        </w:rPr>
        <w:t>）</w:t>
      </w:r>
      <w:r>
        <w:rPr>
          <w:spacing w:val="-11"/>
        </w:rPr>
        <w:t>》和《车险大灾理赔指引</w:t>
      </w:r>
      <w:r>
        <w:rPr>
          <w:spacing w:val="-3"/>
        </w:rPr>
        <w:t>（台风暴雨洪涝灾害</w:t>
      </w:r>
      <w:r>
        <w:rPr>
          <w:spacing w:val="-29"/>
        </w:rPr>
        <w:t>）（</w:t>
      </w:r>
      <w:r>
        <w:t>试行</w:t>
      </w:r>
      <w:r>
        <w:rPr>
          <w:spacing w:val="-29"/>
        </w:rPr>
        <w:t>）</w:t>
      </w:r>
      <w:r>
        <w:rPr>
          <w:spacing w:val="-56"/>
        </w:rPr>
        <w:t xml:space="preserve">》， </w:t>
      </w:r>
      <w:r>
        <w:rPr>
          <w:spacing w:val="-9"/>
        </w:rPr>
        <w:t>是首个全国性大灾理赔的行业自律规范。</w:t>
      </w:r>
    </w:p>
    <w:p>
      <w:pPr>
        <w:spacing w:before="154" w:after="21"/>
        <w:ind w:left="708" w:right="0" w:firstLine="0"/>
        <w:jc w:val="left"/>
        <w:rPr>
          <w:sz w:val="20"/>
        </w:rPr>
      </w:pPr>
      <w:r>
        <w:rPr>
          <w:sz w:val="20"/>
        </w:rPr>
        <w:t xml:space="preserve">表 </w:t>
      </w:r>
      <w:r>
        <w:rPr>
          <w:rFonts w:ascii="Arial" w:eastAsia="Arial"/>
          <w:sz w:val="20"/>
        </w:rPr>
        <w:t xml:space="preserve">4 2023 </w:t>
      </w:r>
      <w:r>
        <w:rPr>
          <w:sz w:val="20"/>
        </w:rPr>
        <w:t>年</w:t>
      </w:r>
      <w:r>
        <w:rPr>
          <w:sz w:val="21"/>
        </w:rPr>
        <w:t>深化保险产品供给侧改革</w:t>
      </w:r>
      <w:r>
        <w:rPr>
          <w:sz w:val="20"/>
        </w:rPr>
        <w:t>的相关政策文件</w:t>
      </w:r>
    </w:p>
    <w:tbl>
      <w:tblPr>
        <w:tblStyle w:val="TableNormal3"/>
        <w:tblW w:w="0" w:type="auto"/>
        <w:jc w:val="left"/>
        <w:tblInd w:w="606"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1134"/>
        <w:gridCol w:w="3119"/>
        <w:gridCol w:w="6450"/>
      </w:tblGrid>
      <w:tr>
        <w:tblPrEx>
          <w:tblW w:w="0" w:type="auto"/>
          <w:jc w:val="left"/>
          <w:tblInd w:w="606"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624"/>
          <w:jc w:val="left"/>
        </w:trPr>
        <w:tc>
          <w:tcPr>
            <w:tcW w:w="1134"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166"/>
              <w:jc w:val="left"/>
              <w:rPr>
                <w:b/>
                <w:sz w:val="20"/>
              </w:rPr>
            </w:pPr>
            <w:r>
              <w:rPr>
                <w:b/>
                <w:sz w:val="20"/>
              </w:rPr>
              <w:t>发布时间</w:t>
            </w:r>
          </w:p>
        </w:tc>
        <w:tc>
          <w:tcPr>
            <w:tcW w:w="3119"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137" w:right="127"/>
              <w:rPr>
                <w:b/>
                <w:sz w:val="20"/>
              </w:rPr>
            </w:pPr>
            <w:r>
              <w:rPr>
                <w:b/>
                <w:sz w:val="20"/>
              </w:rPr>
              <w:t>发布主体</w:t>
            </w:r>
          </w:p>
        </w:tc>
        <w:tc>
          <w:tcPr>
            <w:tcW w:w="6450"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2804" w:right="2792"/>
              <w:rPr>
                <w:b/>
                <w:sz w:val="20"/>
              </w:rPr>
            </w:pPr>
            <w:r>
              <w:rPr>
                <w:b/>
                <w:sz w:val="20"/>
              </w:rPr>
              <w:t>政策文件</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single" w:sz="6" w:space="0" w:color="C00000"/>
              <w:left w:val="dotted" w:sz="2" w:space="0" w:color="000000"/>
              <w:bottom w:val="dotted" w:sz="2" w:space="0" w:color="000000"/>
              <w:right w:val="dotted" w:sz="2" w:space="0" w:color="000000"/>
            </w:tcBorders>
            <w:shd w:val="clear" w:color="auto" w:fill="F1F1F1"/>
          </w:tcPr>
          <w:p>
            <w:pPr>
              <w:pStyle w:val="TableParagraph"/>
              <w:spacing w:before="40"/>
              <w:ind w:left="207"/>
              <w:jc w:val="left"/>
              <w:rPr>
                <w:rFonts w:ascii="Arial"/>
                <w:sz w:val="20"/>
              </w:rPr>
            </w:pPr>
            <w:r>
              <w:rPr>
                <w:rFonts w:ascii="Arial"/>
                <w:sz w:val="20"/>
              </w:rPr>
              <w:t>2023.01</w:t>
            </w:r>
          </w:p>
        </w:tc>
        <w:tc>
          <w:tcPr>
            <w:tcW w:w="3119" w:type="dxa"/>
            <w:tcBorders>
              <w:top w:val="single" w:sz="6" w:space="0" w:color="C00000"/>
              <w:left w:val="dotted" w:sz="2" w:space="0" w:color="000000"/>
              <w:bottom w:val="dotted" w:sz="2" w:space="0" w:color="000000"/>
              <w:right w:val="dotted" w:sz="2" w:space="0" w:color="000000"/>
            </w:tcBorders>
            <w:shd w:val="clear" w:color="auto" w:fill="F1F1F1"/>
          </w:tcPr>
          <w:p>
            <w:pPr>
              <w:pStyle w:val="TableParagraph"/>
              <w:spacing w:before="28"/>
              <w:ind w:left="139" w:right="134"/>
              <w:rPr>
                <w:sz w:val="20"/>
              </w:rPr>
            </w:pPr>
            <w:r>
              <w:rPr>
                <w:sz w:val="20"/>
              </w:rPr>
              <w:t>中国保险行业协会</w:t>
            </w:r>
          </w:p>
        </w:tc>
        <w:tc>
          <w:tcPr>
            <w:tcW w:w="6450" w:type="dxa"/>
            <w:tcBorders>
              <w:top w:val="single" w:sz="6" w:space="0" w:color="C00000"/>
              <w:left w:val="dotted" w:sz="2" w:space="0" w:color="000000"/>
              <w:bottom w:val="dotted" w:sz="2" w:space="0" w:color="000000"/>
              <w:right w:val="dotted" w:sz="2" w:space="0" w:color="000000"/>
            </w:tcBorders>
            <w:shd w:val="clear" w:color="auto" w:fill="F1F1F1"/>
          </w:tcPr>
          <w:p>
            <w:pPr>
              <w:pStyle w:val="TableParagraph"/>
              <w:spacing w:before="28"/>
              <w:ind w:left="105" w:right="97"/>
              <w:rPr>
                <w:sz w:val="20"/>
              </w:rPr>
            </w:pPr>
            <w:r>
              <w:rPr>
                <w:sz w:val="20"/>
              </w:rPr>
              <w:t>《农业保险产品开发指引》</w:t>
            </w:r>
          </w:p>
        </w:tc>
      </w:tr>
      <w:tr>
        <w:tblPrEx>
          <w:tblW w:w="0" w:type="auto"/>
          <w:jc w:val="left"/>
          <w:tblInd w:w="606" w:type="dxa"/>
          <w:tblLayout w:type="fixed"/>
          <w:tblCellMar>
            <w:top w:w="0" w:type="dxa"/>
            <w:left w:w="0" w:type="dxa"/>
            <w:bottom w:w="0" w:type="dxa"/>
            <w:right w:w="0" w:type="dxa"/>
          </w:tblCellMar>
          <w:tblLook w:val="01E0"/>
        </w:tblPrEx>
        <w:trPr>
          <w:trHeight w:val="311"/>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spacing w:before="42"/>
              <w:ind w:left="207"/>
              <w:jc w:val="left"/>
              <w:rPr>
                <w:rFonts w:ascii="Arial"/>
                <w:sz w:val="20"/>
              </w:rPr>
            </w:pPr>
            <w:r>
              <w:rPr>
                <w:rFonts w:ascii="Arial"/>
                <w:sz w:val="20"/>
              </w:rPr>
              <w:t>2023.01</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27"/>
              <w:ind w:left="139" w:right="134"/>
              <w:rPr>
                <w:sz w:val="20"/>
              </w:rPr>
            </w:pPr>
            <w:r>
              <w:rPr>
                <w:sz w:val="20"/>
              </w:rPr>
              <w:t>原银保监会</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27"/>
              <w:ind w:left="105" w:right="97"/>
              <w:rPr>
                <w:sz w:val="20"/>
              </w:rPr>
            </w:pPr>
            <w:r>
              <w:rPr>
                <w:sz w:val="20"/>
              </w:rPr>
              <w:t>《人身保险产品“负面清单”（</w:t>
            </w:r>
            <w:r>
              <w:rPr>
                <w:rFonts w:ascii="Arial" w:eastAsia="Arial" w:hAnsi="Arial"/>
                <w:sz w:val="20"/>
              </w:rPr>
              <w:t xml:space="preserve">2023 </w:t>
            </w:r>
            <w:r>
              <w:rPr>
                <w:sz w:val="20"/>
              </w:rPr>
              <w:t>版）》</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2"/>
              <w:ind w:left="207"/>
              <w:jc w:val="left"/>
              <w:rPr>
                <w:rFonts w:ascii="Arial"/>
                <w:sz w:val="20"/>
              </w:rPr>
            </w:pPr>
            <w:r>
              <w:rPr>
                <w:rFonts w:ascii="Arial"/>
                <w:sz w:val="20"/>
              </w:rPr>
              <w:t>2023.01</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39" w:right="134"/>
              <w:rPr>
                <w:sz w:val="20"/>
              </w:rPr>
            </w:pPr>
            <w:r>
              <w:rPr>
                <w:sz w:val="20"/>
              </w:rPr>
              <w:t>原银保监会</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07" w:right="97"/>
              <w:rPr>
                <w:sz w:val="20"/>
              </w:rPr>
            </w:pPr>
            <w:r>
              <w:rPr>
                <w:sz w:val="20"/>
              </w:rPr>
              <w:t>《一年期以上人身保险产品信息披露规则》</w:t>
            </w:r>
          </w:p>
        </w:tc>
      </w:tr>
      <w:tr>
        <w:tblPrEx>
          <w:tblW w:w="0" w:type="auto"/>
          <w:jc w:val="left"/>
          <w:tblInd w:w="606" w:type="dxa"/>
          <w:tblLayout w:type="fixed"/>
          <w:tblCellMar>
            <w:top w:w="0" w:type="dxa"/>
            <w:left w:w="0" w:type="dxa"/>
            <w:bottom w:w="0" w:type="dxa"/>
            <w:right w:w="0" w:type="dxa"/>
          </w:tblCellMar>
          <w:tblLook w:val="01E0"/>
        </w:tblPrEx>
        <w:trPr>
          <w:trHeight w:val="311"/>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spacing w:before="42"/>
              <w:ind w:left="207"/>
              <w:jc w:val="left"/>
              <w:rPr>
                <w:rFonts w:ascii="Arial"/>
                <w:sz w:val="20"/>
              </w:rPr>
            </w:pPr>
            <w:r>
              <w:rPr>
                <w:rFonts w:ascii="Arial"/>
                <w:sz w:val="20"/>
              </w:rPr>
              <w:t>2023.03</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27"/>
              <w:ind w:left="139" w:right="134"/>
              <w:rPr>
                <w:sz w:val="20"/>
              </w:rPr>
            </w:pPr>
            <w:r>
              <w:rPr>
                <w:sz w:val="20"/>
              </w:rPr>
              <w:t>原银保监会</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27"/>
              <w:ind w:left="107" w:right="97"/>
              <w:rPr>
                <w:sz w:val="20"/>
              </w:rPr>
            </w:pPr>
            <w:r>
              <w:rPr>
                <w:sz w:val="20"/>
              </w:rPr>
              <w:t>《关于开展人寿保险与长期护理保险责任转换业务试点的通知》</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2"/>
              <w:ind w:left="207"/>
              <w:jc w:val="left"/>
              <w:rPr>
                <w:rFonts w:ascii="Arial"/>
                <w:sz w:val="20"/>
              </w:rPr>
            </w:pPr>
            <w:r>
              <w:rPr>
                <w:rFonts w:ascii="Arial"/>
                <w:sz w:val="20"/>
              </w:rPr>
              <w:t>2023.06</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39" w:right="131"/>
              <w:rPr>
                <w:sz w:val="20"/>
              </w:rPr>
            </w:pPr>
            <w:r>
              <w:rPr>
                <w:sz w:val="20"/>
              </w:rPr>
              <w:t>国家金融监督管理总局</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04" w:right="97"/>
              <w:rPr>
                <w:sz w:val="20"/>
              </w:rPr>
            </w:pPr>
            <w:r>
              <w:rPr>
                <w:sz w:val="20"/>
              </w:rPr>
              <w:t>《关于规范团体人身保险业务发展的通知（征求意见稿）》</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ind w:left="207"/>
              <w:jc w:val="left"/>
              <w:rPr>
                <w:rFonts w:ascii="Arial"/>
                <w:sz w:val="20"/>
              </w:rPr>
            </w:pPr>
            <w:r>
              <w:rPr>
                <w:rFonts w:ascii="Arial"/>
                <w:sz w:val="20"/>
              </w:rPr>
              <w:t>2023.06</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27"/>
              <w:ind w:left="139" w:right="131"/>
              <w:rPr>
                <w:sz w:val="20"/>
              </w:rPr>
            </w:pPr>
            <w:r>
              <w:rPr>
                <w:sz w:val="20"/>
              </w:rPr>
              <w:t>国家金融监督管理总局</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27"/>
              <w:ind w:left="107" w:right="97"/>
              <w:rPr>
                <w:sz w:val="20"/>
              </w:rPr>
            </w:pPr>
            <w:r>
              <w:rPr>
                <w:sz w:val="20"/>
              </w:rPr>
              <w:t>《关于规范车险市场秩序有关事项的通知》</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ind w:left="207"/>
              <w:jc w:val="left"/>
              <w:rPr>
                <w:rFonts w:ascii="Arial"/>
                <w:sz w:val="20"/>
              </w:rPr>
            </w:pPr>
            <w:r>
              <w:rPr>
                <w:rFonts w:ascii="Arial"/>
                <w:sz w:val="20"/>
              </w:rPr>
              <w:t>2023.07</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9"/>
              <w:ind w:left="139" w:right="134"/>
              <w:rPr>
                <w:sz w:val="20"/>
              </w:rPr>
            </w:pPr>
            <w:r>
              <w:rPr>
                <w:sz w:val="20"/>
              </w:rPr>
              <w:t>中国保险行业协会</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9"/>
              <w:ind w:left="107" w:right="97"/>
              <w:rPr>
                <w:sz w:val="20"/>
              </w:rPr>
            </w:pPr>
            <w:r>
              <w:rPr>
                <w:sz w:val="20"/>
              </w:rPr>
              <w:t>《定期寿险示范条款》</w:t>
            </w:r>
          </w:p>
        </w:tc>
      </w:tr>
      <w:tr>
        <w:tblPrEx>
          <w:tblW w:w="0" w:type="auto"/>
          <w:jc w:val="left"/>
          <w:tblInd w:w="606" w:type="dxa"/>
          <w:tblLayout w:type="fixed"/>
          <w:tblCellMar>
            <w:top w:w="0" w:type="dxa"/>
            <w:left w:w="0" w:type="dxa"/>
            <w:bottom w:w="0" w:type="dxa"/>
            <w:right w:w="0" w:type="dxa"/>
          </w:tblCellMar>
          <w:tblLook w:val="01E0"/>
        </w:tblPrEx>
        <w:trPr>
          <w:trHeight w:val="341"/>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spacing w:before="55"/>
              <w:ind w:left="207"/>
              <w:jc w:val="left"/>
              <w:rPr>
                <w:rFonts w:ascii="Arial"/>
                <w:sz w:val="20"/>
              </w:rPr>
            </w:pPr>
            <w:r>
              <w:rPr>
                <w:rFonts w:ascii="Arial"/>
                <w:sz w:val="20"/>
              </w:rPr>
              <w:t>2023.07</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43"/>
              <w:ind w:left="139" w:right="134"/>
              <w:rPr>
                <w:sz w:val="20"/>
              </w:rPr>
            </w:pPr>
            <w:r>
              <w:rPr>
                <w:sz w:val="20"/>
              </w:rPr>
              <w:t>中国保险行业协会</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43"/>
              <w:ind w:left="107" w:right="97"/>
              <w:rPr>
                <w:sz w:val="20"/>
              </w:rPr>
            </w:pPr>
            <w:r>
              <w:rPr>
                <w:sz w:val="20"/>
              </w:rPr>
              <w:t>《终身寿险示范条款》</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2"/>
              <w:ind w:left="207"/>
              <w:jc w:val="left"/>
              <w:rPr>
                <w:rFonts w:ascii="Arial"/>
                <w:sz w:val="20"/>
              </w:rPr>
            </w:pPr>
            <w:r>
              <w:rPr>
                <w:rFonts w:ascii="Arial"/>
                <w:sz w:val="20"/>
              </w:rPr>
              <w:t>2023.07</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39" w:right="134"/>
              <w:rPr>
                <w:sz w:val="20"/>
              </w:rPr>
            </w:pPr>
            <w:r>
              <w:rPr>
                <w:sz w:val="20"/>
              </w:rPr>
              <w:t>国家发展改革委等</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05" w:right="97"/>
              <w:rPr>
                <w:sz w:val="20"/>
              </w:rPr>
            </w:pPr>
            <w:r>
              <w:rPr>
                <w:sz w:val="20"/>
              </w:rPr>
              <w:t>《关于促进汽车消费的若干措施》</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spacing w:before="42"/>
              <w:ind w:left="207"/>
              <w:jc w:val="left"/>
              <w:rPr>
                <w:rFonts w:ascii="Arial"/>
                <w:sz w:val="20"/>
              </w:rPr>
            </w:pPr>
            <w:r>
              <w:rPr>
                <w:rFonts w:ascii="Arial"/>
                <w:sz w:val="20"/>
              </w:rPr>
              <w:t>2023.09</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27"/>
              <w:ind w:left="139" w:right="131"/>
              <w:rPr>
                <w:sz w:val="20"/>
              </w:rPr>
            </w:pPr>
            <w:r>
              <w:rPr>
                <w:sz w:val="20"/>
              </w:rPr>
              <w:t>国家金融监督管理总局</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27"/>
              <w:ind w:left="105" w:right="97"/>
              <w:rPr>
                <w:sz w:val="20"/>
              </w:rPr>
            </w:pPr>
            <w:r>
              <w:rPr>
                <w:sz w:val="20"/>
              </w:rPr>
              <w:t>《关于加强车险费用管理的通知》</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2"/>
              <w:ind w:left="207"/>
              <w:jc w:val="left"/>
              <w:rPr>
                <w:rFonts w:ascii="Arial"/>
                <w:sz w:val="20"/>
              </w:rPr>
            </w:pPr>
            <w:r>
              <w:rPr>
                <w:rFonts w:ascii="Arial"/>
                <w:sz w:val="20"/>
              </w:rPr>
              <w:t>2023.09</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39" w:right="134"/>
              <w:rPr>
                <w:sz w:val="20"/>
              </w:rPr>
            </w:pPr>
            <w:r>
              <w:rPr>
                <w:sz w:val="20"/>
              </w:rPr>
              <w:t>中国保险行业协会</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7"/>
              <w:ind w:left="105" w:right="97"/>
              <w:rPr>
                <w:sz w:val="20"/>
              </w:rPr>
            </w:pPr>
            <w:r>
              <w:rPr>
                <w:sz w:val="20"/>
              </w:rPr>
              <w:t>《绿色保险分类指引（</w:t>
            </w:r>
            <w:r>
              <w:rPr>
                <w:rFonts w:ascii="Arial" w:eastAsia="Arial"/>
                <w:sz w:val="20"/>
              </w:rPr>
              <w:t xml:space="preserve">2023 </w:t>
            </w:r>
            <w:r>
              <w:rPr>
                <w:sz w:val="20"/>
              </w:rPr>
              <w:t>年版）》</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ind w:left="207"/>
              <w:jc w:val="left"/>
              <w:rPr>
                <w:rFonts w:ascii="Arial"/>
                <w:sz w:val="20"/>
              </w:rPr>
            </w:pPr>
            <w:r>
              <w:rPr>
                <w:rFonts w:ascii="Arial"/>
                <w:sz w:val="20"/>
              </w:rPr>
              <w:t>2023.10</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27"/>
              <w:ind w:left="139" w:right="131"/>
              <w:rPr>
                <w:sz w:val="20"/>
              </w:rPr>
            </w:pPr>
            <w:r>
              <w:rPr>
                <w:sz w:val="20"/>
              </w:rPr>
              <w:t>国家金融监督管理总局</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27"/>
              <w:ind w:left="102" w:right="97"/>
              <w:rPr>
                <w:sz w:val="20"/>
              </w:rPr>
            </w:pPr>
            <w:r>
              <w:rPr>
                <w:sz w:val="20"/>
              </w:rPr>
              <w:t>《关于强化管理 促进人身险业务平稳健康发展的通知》</w:t>
            </w:r>
          </w:p>
        </w:tc>
      </w:tr>
      <w:tr>
        <w:tblPrEx>
          <w:tblW w:w="0" w:type="auto"/>
          <w:jc w:val="left"/>
          <w:tblInd w:w="606" w:type="dxa"/>
          <w:tblLayout w:type="fixed"/>
          <w:tblCellMar>
            <w:top w:w="0" w:type="dxa"/>
            <w:left w:w="0" w:type="dxa"/>
            <w:bottom w:w="0" w:type="dxa"/>
            <w:right w:w="0" w:type="dxa"/>
          </w:tblCellMar>
          <w:tblLook w:val="01E0"/>
        </w:tblPrEx>
        <w:trPr>
          <w:trHeight w:val="311"/>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ind w:left="207"/>
              <w:jc w:val="left"/>
              <w:rPr>
                <w:rFonts w:ascii="Arial"/>
                <w:sz w:val="20"/>
              </w:rPr>
            </w:pPr>
            <w:r>
              <w:rPr>
                <w:rFonts w:ascii="Arial"/>
                <w:sz w:val="20"/>
              </w:rPr>
              <w:t>2023.11</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9"/>
              <w:ind w:left="139" w:right="131"/>
              <w:rPr>
                <w:sz w:val="20"/>
              </w:rPr>
            </w:pPr>
            <w:r>
              <w:rPr>
                <w:sz w:val="20"/>
              </w:rPr>
              <w:t>国家金融监督管理总局</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9"/>
              <w:ind w:left="104" w:right="97"/>
              <w:rPr>
                <w:sz w:val="20"/>
              </w:rPr>
            </w:pPr>
            <w:r>
              <w:rPr>
                <w:sz w:val="20"/>
              </w:rPr>
              <w:t>《关于进一步做好短期健康保险业务有关事项的通知》</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ind w:left="207"/>
              <w:jc w:val="left"/>
              <w:rPr>
                <w:rFonts w:ascii="Arial"/>
                <w:sz w:val="20"/>
              </w:rPr>
            </w:pPr>
            <w:r>
              <w:rPr>
                <w:rFonts w:ascii="Arial"/>
                <w:sz w:val="20"/>
              </w:rPr>
              <w:t>2023.11</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29"/>
              <w:ind w:left="139" w:right="131"/>
              <w:rPr>
                <w:sz w:val="20"/>
              </w:rPr>
            </w:pPr>
            <w:r>
              <w:rPr>
                <w:sz w:val="20"/>
              </w:rPr>
              <w:t>国家金融监督管理总局</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29"/>
              <w:ind w:left="107" w:right="97"/>
              <w:rPr>
                <w:sz w:val="20"/>
              </w:rPr>
            </w:pPr>
            <w:r>
              <w:rPr>
                <w:sz w:val="20"/>
              </w:rPr>
              <w:t>《关于短期健康保险产品有关风险的提示》</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ind w:left="207"/>
              <w:jc w:val="left"/>
              <w:rPr>
                <w:rFonts w:ascii="Arial"/>
                <w:sz w:val="20"/>
              </w:rPr>
            </w:pPr>
            <w:r>
              <w:rPr>
                <w:rFonts w:ascii="Arial"/>
                <w:sz w:val="20"/>
              </w:rPr>
              <w:t>2023.12</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8"/>
              <w:ind w:left="139" w:right="131"/>
              <w:rPr>
                <w:sz w:val="20"/>
              </w:rPr>
            </w:pPr>
            <w:r>
              <w:rPr>
                <w:sz w:val="20"/>
              </w:rPr>
              <w:t>国家金融监督管理总局</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8"/>
              <w:ind w:left="104" w:right="97"/>
              <w:rPr>
                <w:sz w:val="20"/>
              </w:rPr>
            </w:pPr>
            <w:r>
              <w:rPr>
                <w:sz w:val="20"/>
              </w:rPr>
              <w:t>《关于推动绿色保险高质量发展的指导意见（征求意见稿）》</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tcPr>
          <w:p>
            <w:pPr>
              <w:pStyle w:val="TableParagraph"/>
              <w:ind w:left="207"/>
              <w:jc w:val="left"/>
              <w:rPr>
                <w:rFonts w:ascii="Arial"/>
                <w:sz w:val="20"/>
              </w:rPr>
            </w:pPr>
            <w:r>
              <w:rPr>
                <w:rFonts w:ascii="Arial"/>
                <w:sz w:val="20"/>
              </w:rPr>
              <w:t>2023.12</w:t>
            </w:r>
          </w:p>
        </w:tc>
        <w:tc>
          <w:tcPr>
            <w:tcW w:w="3119" w:type="dxa"/>
            <w:tcBorders>
              <w:top w:val="dotted" w:sz="2" w:space="0" w:color="000000"/>
              <w:left w:val="dotted" w:sz="2" w:space="0" w:color="000000"/>
              <w:bottom w:val="dotted" w:sz="2" w:space="0" w:color="000000"/>
              <w:right w:val="dotted" w:sz="2" w:space="0" w:color="000000"/>
            </w:tcBorders>
          </w:tcPr>
          <w:p>
            <w:pPr>
              <w:pStyle w:val="TableParagraph"/>
              <w:spacing w:before="28"/>
              <w:ind w:left="139" w:right="134"/>
              <w:rPr>
                <w:sz w:val="20"/>
              </w:rPr>
            </w:pPr>
            <w:r>
              <w:rPr>
                <w:sz w:val="20"/>
              </w:rPr>
              <w:t>中国保险行业协会</w:t>
            </w:r>
          </w:p>
        </w:tc>
        <w:tc>
          <w:tcPr>
            <w:tcW w:w="6450" w:type="dxa"/>
            <w:tcBorders>
              <w:top w:val="dotted" w:sz="2" w:space="0" w:color="000000"/>
              <w:left w:val="dotted" w:sz="2" w:space="0" w:color="000000"/>
              <w:bottom w:val="dotted" w:sz="2" w:space="0" w:color="000000"/>
              <w:right w:val="dotted" w:sz="2" w:space="0" w:color="000000"/>
            </w:tcBorders>
          </w:tcPr>
          <w:p>
            <w:pPr>
              <w:pStyle w:val="TableParagraph"/>
              <w:spacing w:before="28"/>
              <w:ind w:left="107" w:right="97"/>
              <w:rPr>
                <w:sz w:val="20"/>
              </w:rPr>
            </w:pPr>
            <w:r>
              <w:rPr>
                <w:sz w:val="20"/>
              </w:rPr>
              <w:t>《财产保险重大灾害事故理赔服务规范（试行）》</w:t>
            </w:r>
          </w:p>
        </w:tc>
      </w:tr>
      <w:tr>
        <w:tblPrEx>
          <w:tblW w:w="0" w:type="auto"/>
          <w:jc w:val="left"/>
          <w:tblInd w:w="606" w:type="dxa"/>
          <w:tblLayout w:type="fixed"/>
          <w:tblCellMar>
            <w:top w:w="0" w:type="dxa"/>
            <w:left w:w="0" w:type="dxa"/>
            <w:bottom w:w="0" w:type="dxa"/>
            <w:right w:w="0" w:type="dxa"/>
          </w:tblCellMar>
          <w:tblLook w:val="01E0"/>
        </w:tblPrEx>
        <w:trPr>
          <w:trHeight w:val="312"/>
          <w:jc w:val="left"/>
        </w:trPr>
        <w:tc>
          <w:tcPr>
            <w:tcW w:w="1134"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40"/>
              <w:ind w:left="207"/>
              <w:jc w:val="left"/>
              <w:rPr>
                <w:rFonts w:ascii="Arial"/>
                <w:sz w:val="20"/>
              </w:rPr>
            </w:pPr>
            <w:r>
              <w:rPr>
                <w:rFonts w:ascii="Arial"/>
                <w:sz w:val="20"/>
              </w:rPr>
              <w:t>2023.12</w:t>
            </w:r>
          </w:p>
        </w:tc>
        <w:tc>
          <w:tcPr>
            <w:tcW w:w="3119"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8"/>
              <w:ind w:left="139" w:right="134"/>
              <w:rPr>
                <w:sz w:val="20"/>
              </w:rPr>
            </w:pPr>
            <w:r>
              <w:rPr>
                <w:sz w:val="20"/>
              </w:rPr>
              <w:t>中国保险行业协会</w:t>
            </w:r>
          </w:p>
        </w:tc>
        <w:tc>
          <w:tcPr>
            <w:tcW w:w="6450" w:type="dxa"/>
            <w:tcBorders>
              <w:top w:val="dotted" w:sz="2" w:space="0" w:color="000000"/>
              <w:left w:val="dotted" w:sz="2" w:space="0" w:color="000000"/>
              <w:bottom w:val="dotted" w:sz="2" w:space="0" w:color="000000"/>
              <w:right w:val="dotted" w:sz="2" w:space="0" w:color="000000"/>
            </w:tcBorders>
            <w:shd w:val="clear" w:color="auto" w:fill="F1F1F1"/>
          </w:tcPr>
          <w:p>
            <w:pPr>
              <w:pStyle w:val="TableParagraph"/>
              <w:spacing w:before="28"/>
              <w:ind w:left="104" w:right="97"/>
              <w:rPr>
                <w:sz w:val="20"/>
              </w:rPr>
            </w:pPr>
            <w:r>
              <w:rPr>
                <w:sz w:val="20"/>
              </w:rPr>
              <w:t>《车险大灾理赔指引（台风暴雨洪涝灾害）（试行）》</w:t>
            </w:r>
          </w:p>
        </w:tc>
      </w:tr>
      <w:tr>
        <w:tblPrEx>
          <w:tblW w:w="0" w:type="auto"/>
          <w:jc w:val="left"/>
          <w:tblInd w:w="606" w:type="dxa"/>
          <w:tblLayout w:type="fixed"/>
          <w:tblCellMar>
            <w:top w:w="0" w:type="dxa"/>
            <w:left w:w="0" w:type="dxa"/>
            <w:bottom w:w="0" w:type="dxa"/>
            <w:right w:w="0" w:type="dxa"/>
          </w:tblCellMar>
          <w:tblLook w:val="01E0"/>
        </w:tblPrEx>
        <w:trPr>
          <w:trHeight w:val="311"/>
          <w:jc w:val="left"/>
        </w:trPr>
        <w:tc>
          <w:tcPr>
            <w:tcW w:w="1134" w:type="dxa"/>
            <w:tcBorders>
              <w:top w:val="dotted" w:sz="2" w:space="0" w:color="000000"/>
              <w:left w:val="dotted" w:sz="2" w:space="0" w:color="000000"/>
              <w:right w:val="dotted" w:sz="2" w:space="0" w:color="000000"/>
            </w:tcBorders>
          </w:tcPr>
          <w:p>
            <w:pPr>
              <w:pStyle w:val="TableParagraph"/>
              <w:spacing w:before="40"/>
              <w:ind w:left="207"/>
              <w:jc w:val="left"/>
              <w:rPr>
                <w:rFonts w:ascii="Arial"/>
                <w:sz w:val="20"/>
              </w:rPr>
            </w:pPr>
            <w:r>
              <w:rPr>
                <w:rFonts w:ascii="Arial"/>
                <w:sz w:val="20"/>
              </w:rPr>
              <w:t>2023.12</w:t>
            </w:r>
          </w:p>
        </w:tc>
        <w:tc>
          <w:tcPr>
            <w:tcW w:w="3119" w:type="dxa"/>
            <w:tcBorders>
              <w:top w:val="dotted" w:sz="2" w:space="0" w:color="000000"/>
              <w:left w:val="dotted" w:sz="2" w:space="0" w:color="000000"/>
              <w:right w:val="dotted" w:sz="2" w:space="0" w:color="000000"/>
            </w:tcBorders>
          </w:tcPr>
          <w:p>
            <w:pPr>
              <w:pStyle w:val="TableParagraph"/>
              <w:spacing w:before="28"/>
              <w:ind w:left="139" w:right="134"/>
              <w:rPr>
                <w:sz w:val="20"/>
              </w:rPr>
            </w:pPr>
            <w:r>
              <w:rPr>
                <w:sz w:val="20"/>
              </w:rPr>
              <w:t>医保局、国家金融监督管理总局</w:t>
            </w:r>
          </w:p>
        </w:tc>
        <w:tc>
          <w:tcPr>
            <w:tcW w:w="6450" w:type="dxa"/>
            <w:tcBorders>
              <w:top w:val="dotted" w:sz="2" w:space="0" w:color="000000"/>
              <w:left w:val="dotted" w:sz="2" w:space="0" w:color="000000"/>
              <w:right w:val="dotted" w:sz="2" w:space="0" w:color="000000"/>
            </w:tcBorders>
          </w:tcPr>
          <w:p>
            <w:pPr>
              <w:pStyle w:val="TableParagraph"/>
              <w:spacing w:before="28"/>
              <w:ind w:left="107" w:right="97"/>
              <w:rPr>
                <w:sz w:val="20"/>
              </w:rPr>
            </w:pPr>
            <w:r>
              <w:rPr>
                <w:sz w:val="20"/>
              </w:rPr>
              <w:t>《关于平稳有序开展城市定制型商业医疗保险的通知》（征求意见稿）</w:t>
            </w:r>
          </w:p>
        </w:tc>
      </w:tr>
    </w:tbl>
    <w:p>
      <w:pPr>
        <w:spacing w:before="43"/>
        <w:ind w:left="708" w:right="0" w:firstLine="0"/>
        <w:jc w:val="left"/>
        <w:rPr>
          <w:sz w:val="18"/>
        </w:rPr>
      </w:pPr>
      <w:r>
        <w:t xml:space="preserve">资料来源：国家金融监督管理总局，中国保险行业协会，国家发展改革委，医保局， </w:t>
      </w:r>
    </w:p>
    <w:p>
      <w:pPr>
        <w:spacing w:after="0"/>
        <w:jc w:val="left"/>
        <w:rPr>
          <w:sz w:val="18"/>
        </w:rPr>
        <w:sectPr>
          <w:headerReference w:type="default" r:id="rId27"/>
          <w:footerReference w:type="default" r:id="rId28"/>
          <w:pgSz w:w="11910" w:h="16840"/>
          <w:pgMar w:top="1280" w:right="0" w:bottom="1000" w:left="0" w:header="708" w:footer="708"/>
          <w:pgNumType w:start="9"/>
          <w:cols w:space="708"/>
        </w:sectPr>
      </w:pPr>
    </w:p>
    <w:p>
      <w:pPr>
        <w:pStyle w:val="BodyText"/>
        <w:spacing w:before="10"/>
        <w:rPr>
          <w:sz w:val="8"/>
        </w:rPr>
      </w:pPr>
    </w:p>
    <w:p>
      <w:pPr>
        <w:pStyle w:val="Heading2"/>
        <w:numPr>
          <w:ilvl w:val="1"/>
          <w:numId w:val="4"/>
        </w:numPr>
        <w:tabs>
          <w:tab w:val="left" w:pos="1604"/>
        </w:tabs>
        <w:spacing w:before="75" w:after="0" w:line="240" w:lineRule="auto"/>
        <w:ind w:left="1603" w:right="0" w:hanging="472"/>
        <w:jc w:val="left"/>
      </w:pPr>
      <w:bookmarkStart w:id="7" w:name="_TOC_250005"/>
      <w:bookmarkEnd w:id="7"/>
      <w:r>
        <w:t>乘养老之风，助力银发经济</w:t>
      </w:r>
    </w:p>
    <w:p>
      <w:pPr>
        <w:pStyle w:val="BodyText"/>
        <w:spacing w:before="11"/>
        <w:rPr>
          <w:b/>
          <w:sz w:val="23"/>
        </w:rPr>
      </w:pPr>
    </w:p>
    <w:p>
      <w:pPr>
        <w:spacing w:before="0" w:line="266" w:lineRule="auto"/>
        <w:ind w:left="1132" w:right="1022" w:firstLine="441"/>
        <w:jc w:val="left"/>
        <w:rPr>
          <w:b/>
          <w:sz w:val="22"/>
        </w:rPr>
      </w:pPr>
      <w:r>
        <w:rPr>
          <w:spacing w:val="-28"/>
          <w:sz w:val="22"/>
        </w:rPr>
        <w:t xml:space="preserve">自 </w:t>
      </w:r>
      <w:r>
        <w:rPr>
          <w:rFonts w:ascii="Arial" w:eastAsia="Arial"/>
          <w:sz w:val="22"/>
        </w:rPr>
        <w:t xml:space="preserve">2022 </w:t>
      </w:r>
      <w:r>
        <w:rPr>
          <w:spacing w:val="-7"/>
          <w:sz w:val="22"/>
        </w:rPr>
        <w:t>年个人养老金政策出台以来，保险机构发挥自身禀赋、躬身入局。</w:t>
      </w:r>
      <w:r>
        <w:rPr>
          <w:rFonts w:ascii="Arial" w:eastAsia="Arial"/>
          <w:sz w:val="22"/>
        </w:rPr>
        <w:t xml:space="preserve">2023 </w:t>
      </w:r>
      <w:r>
        <w:rPr>
          <w:spacing w:val="-27"/>
          <w:sz w:val="22"/>
        </w:rPr>
        <w:t xml:space="preserve">年 </w:t>
      </w:r>
      <w:r>
        <w:rPr>
          <w:rFonts w:ascii="Arial" w:eastAsia="Arial"/>
          <w:sz w:val="22"/>
        </w:rPr>
        <w:t xml:space="preserve">5 </w:t>
      </w:r>
      <w:r>
        <w:rPr>
          <w:spacing w:val="-8"/>
          <w:sz w:val="22"/>
        </w:rPr>
        <w:t>月，中共中央办公厅、国务院办公厅印发《关于推进基本养老服务体系建设的意见》，其中明确提出支持普惠型</w:t>
      </w:r>
      <w:r>
        <w:rPr>
          <w:spacing w:val="-14"/>
          <w:sz w:val="22"/>
        </w:rPr>
        <w:t>商业健康保险发展，将引导商业保险机构针对老年人风险保障需求，增加适合老年人的保险产品供给。</w:t>
      </w:r>
      <w:r>
        <w:rPr>
          <w:b/>
          <w:spacing w:val="-13"/>
          <w:sz w:val="22"/>
        </w:rPr>
        <w:t>顺应政策要求，旨在推动税优健康险惠及更多人民群众、丰富既往症和老年人等人群的保险保障，国</w:t>
      </w:r>
      <w:r>
        <w:rPr>
          <w:b/>
          <w:spacing w:val="-17"/>
          <w:sz w:val="22"/>
        </w:rPr>
        <w:t xml:space="preserve">家金融监督管理总局于 </w:t>
      </w:r>
      <w:r>
        <w:rPr>
          <w:rFonts w:ascii="Arial" w:eastAsia="Arial"/>
          <w:b/>
          <w:sz w:val="22"/>
        </w:rPr>
        <w:t xml:space="preserve">2023 </w:t>
      </w:r>
      <w:r>
        <w:rPr>
          <w:b/>
          <w:spacing w:val="-26"/>
          <w:sz w:val="22"/>
        </w:rPr>
        <w:t xml:space="preserve">年 </w:t>
      </w:r>
      <w:r>
        <w:rPr>
          <w:rFonts w:ascii="Arial" w:eastAsia="Arial"/>
          <w:b/>
          <w:sz w:val="22"/>
        </w:rPr>
        <w:t xml:space="preserve">7 </w:t>
      </w:r>
      <w:r>
        <w:rPr>
          <w:b/>
          <w:spacing w:val="-6"/>
          <w:sz w:val="22"/>
        </w:rPr>
        <w:t>月颁布《关于适用商业健康保险个人所得税优惠政策产品有关事项</w:t>
      </w:r>
      <w:r>
        <w:rPr>
          <w:b/>
          <w:spacing w:val="-11"/>
          <w:sz w:val="22"/>
        </w:rPr>
        <w:t>的通知》，对税优健康险产品进行了全面升级和调整，不仅将产品范围扩容，扩大至医疗保险、长期护理保险和疾病保险等商业健康险主要险种，还赋予保险公司设计相关产品更高的灵活度。</w:t>
      </w:r>
    </w:p>
    <w:p>
      <w:pPr>
        <w:pStyle w:val="BodyText"/>
        <w:spacing w:before="150" w:line="266" w:lineRule="auto"/>
        <w:ind w:left="1132" w:right="1019" w:firstLine="441"/>
      </w:pPr>
      <w:r>
        <w:rPr>
          <w:spacing w:val="-9"/>
        </w:rPr>
        <w:t xml:space="preserve">与税优健康险不同，同为具有税优属性的个人税延商业养老保险，则在 </w:t>
      </w:r>
      <w:r>
        <w:rPr>
          <w:rFonts w:ascii="Arial" w:eastAsia="Arial" w:hAnsi="Arial"/>
        </w:rPr>
        <w:t xml:space="preserve">2023 </w:t>
      </w:r>
      <w:r>
        <w:rPr>
          <w:spacing w:val="-8"/>
        </w:rPr>
        <w:t>年迎来了“终结”。</w:t>
      </w:r>
      <w:r>
        <w:rPr>
          <w:spacing w:val="-7"/>
        </w:rPr>
        <w:t>对上发展势如破竹的个人养老金，个人税延商业养老保险的“税优”优势并不突出，叠加税前扣除额度上存在冲突，集中力量发展优势品种似乎显得顺理成章。</w:t>
      </w:r>
      <w:r>
        <w:rPr>
          <w:rFonts w:ascii="Arial" w:eastAsia="Arial" w:hAnsi="Arial"/>
          <w:spacing w:val="-7"/>
        </w:rPr>
        <w:t xml:space="preserve">2023 </w:t>
      </w:r>
      <w:r>
        <w:rPr>
          <w:spacing w:val="-24"/>
        </w:rPr>
        <w:t xml:space="preserve">年 </w:t>
      </w:r>
      <w:r>
        <w:rPr>
          <w:rFonts w:ascii="Arial" w:eastAsia="Arial" w:hAnsi="Arial"/>
        </w:rPr>
        <w:t xml:space="preserve">9 </w:t>
      </w:r>
      <w:r>
        <w:t>月，国家金融监督管理总局出</w:t>
      </w:r>
      <w:r>
        <w:rPr>
          <w:spacing w:val="-7"/>
        </w:rPr>
        <w:t>台《关于个人税收递延型商业养老保险试点与个人养老金衔接有关事项的通知》，旨在将两种存在于</w:t>
      </w:r>
      <w:r>
        <w:rPr>
          <w:spacing w:val="-8"/>
        </w:rPr>
        <w:t>不同制度框架下，但本质一致的两类产品进行并轨，并对衔接过程中的工作要求、业务调整、产品管</w:t>
      </w:r>
      <w:r>
        <w:rPr>
          <w:spacing w:val="-3"/>
        </w:rPr>
        <w:t>理、保单转移等进行明确。</w:t>
      </w:r>
    </w:p>
    <w:p>
      <w:pPr>
        <w:spacing w:before="151" w:line="266" w:lineRule="auto"/>
        <w:ind w:left="1132" w:right="1016" w:firstLine="441"/>
        <w:jc w:val="left"/>
        <w:rPr>
          <w:sz w:val="22"/>
        </w:rPr>
      </w:pPr>
      <w:r>
        <w:rPr>
          <w:spacing w:val="-7"/>
          <w:sz w:val="22"/>
        </w:rPr>
        <w:t>在个人养老金可投保险产品名录中，专属商业养老保险是主流品类，也是起步最晚的品类，</w:t>
      </w:r>
      <w:r>
        <w:rPr>
          <w:rFonts w:ascii="Arial" w:eastAsia="Arial"/>
          <w:spacing w:val="-7"/>
          <w:sz w:val="22"/>
        </w:rPr>
        <w:t xml:space="preserve">2021 </w:t>
      </w:r>
      <w:r>
        <w:rPr>
          <w:spacing w:val="-5"/>
          <w:sz w:val="22"/>
        </w:rPr>
        <w:t>年才开启试点，</w:t>
      </w:r>
      <w:r>
        <w:rPr>
          <w:rFonts w:ascii="Arial" w:eastAsia="Arial"/>
          <w:spacing w:val="-13"/>
          <w:sz w:val="22"/>
        </w:rPr>
        <w:t xml:space="preserve">2022 </w:t>
      </w:r>
      <w:r>
        <w:rPr>
          <w:spacing w:val="-7"/>
          <w:sz w:val="22"/>
        </w:rPr>
        <w:t xml:space="preserve">年试点范围扩大到全国并纳入 </w:t>
      </w:r>
      <w:r>
        <w:rPr>
          <w:rFonts w:ascii="Arial" w:eastAsia="Arial"/>
          <w:sz w:val="22"/>
        </w:rPr>
        <w:t xml:space="preserve">10 </w:t>
      </w:r>
      <w:r>
        <w:rPr>
          <w:spacing w:val="-14"/>
          <w:sz w:val="22"/>
        </w:rPr>
        <w:t>家养老保险公司，但因其投保简便、缴费灵活、</w:t>
      </w:r>
      <w:r>
        <w:rPr>
          <w:spacing w:val="-11"/>
          <w:sz w:val="22"/>
        </w:rPr>
        <w:t>收益稳健、能满足不同人群的投保需求的特性，参保人群、保单规模均在稳步提升。</w:t>
      </w:r>
      <w:r>
        <w:rPr>
          <w:b/>
          <w:sz w:val="22"/>
        </w:rPr>
        <w:t>考虑到专属商业</w:t>
      </w:r>
      <w:r>
        <w:rPr>
          <w:b/>
          <w:spacing w:val="-1"/>
          <w:sz w:val="22"/>
        </w:rPr>
        <w:t>养老保险的突出表现以及惠及不同层次更多人群长期养老需求的目的，</w:t>
      </w:r>
      <w:r>
        <w:rPr>
          <w:rFonts w:ascii="Arial" w:eastAsia="Arial"/>
          <w:b/>
          <w:spacing w:val="-7"/>
          <w:sz w:val="22"/>
        </w:rPr>
        <w:t xml:space="preserve">2023 </w:t>
      </w:r>
      <w:r>
        <w:rPr>
          <w:b/>
          <w:spacing w:val="-27"/>
          <w:sz w:val="22"/>
        </w:rPr>
        <w:t xml:space="preserve">年 </w:t>
      </w:r>
      <w:r>
        <w:rPr>
          <w:rFonts w:ascii="Arial" w:eastAsia="Arial"/>
          <w:b/>
          <w:sz w:val="22"/>
        </w:rPr>
        <w:t xml:space="preserve">10 </w:t>
      </w:r>
      <w:r>
        <w:rPr>
          <w:b/>
          <w:spacing w:val="-9"/>
          <w:sz w:val="22"/>
        </w:rPr>
        <w:t>月，《关于促进专</w:t>
      </w:r>
      <w:r>
        <w:rPr>
          <w:b/>
          <w:spacing w:val="-12"/>
          <w:sz w:val="22"/>
        </w:rPr>
        <w:t>属商业养老保险发展有关事项的通知》出台，进一步扩大经营专属商业养老保险业务的机构范围，专属商业养老保险正式由试点迈向常态</w:t>
      </w:r>
      <w:r>
        <w:rPr>
          <w:spacing w:val="-7"/>
          <w:sz w:val="22"/>
        </w:rPr>
        <w:t>，参与主体的扩容在一定程度上意味着产品的扩容，能丰富养老</w:t>
      </w:r>
      <w:r>
        <w:rPr>
          <w:spacing w:val="-3"/>
          <w:sz w:val="22"/>
        </w:rPr>
        <w:t>第三支柱产品的供给。</w:t>
      </w:r>
    </w:p>
    <w:p>
      <w:pPr>
        <w:spacing w:before="150" w:line="266" w:lineRule="auto"/>
        <w:ind w:left="1132" w:right="1017" w:firstLine="441"/>
        <w:jc w:val="left"/>
        <w:rPr>
          <w:b/>
          <w:sz w:val="22"/>
        </w:rPr>
      </w:pPr>
      <w:r>
        <w:rPr>
          <w:spacing w:val="-6"/>
          <w:sz w:val="22"/>
        </w:rPr>
        <w:t>尽管养老金融一直备受瞩目，众多金融机构也纷纷下场布局，但养老金融却从未被真正提至战略高度</w:t>
      </w:r>
      <w:r>
        <w:rPr>
          <w:b/>
          <w:spacing w:val="-29"/>
          <w:sz w:val="22"/>
        </w:rPr>
        <w:t>。</w:t>
      </w:r>
      <w:r>
        <w:rPr>
          <w:rFonts w:ascii="Arial" w:eastAsia="Arial"/>
          <w:b/>
          <w:sz w:val="22"/>
        </w:rPr>
        <w:t xml:space="preserve">2023 </w:t>
      </w:r>
      <w:r>
        <w:rPr>
          <w:b/>
          <w:spacing w:val="-27"/>
          <w:sz w:val="22"/>
        </w:rPr>
        <w:t xml:space="preserve">年 </w:t>
      </w:r>
      <w:r>
        <w:rPr>
          <w:rFonts w:ascii="Arial" w:eastAsia="Arial"/>
          <w:b/>
          <w:sz w:val="22"/>
        </w:rPr>
        <w:t xml:space="preserve">10 </w:t>
      </w:r>
      <w:r>
        <w:rPr>
          <w:b/>
          <w:spacing w:val="-8"/>
          <w:sz w:val="22"/>
        </w:rPr>
        <w:t>月，养老金融首次在中央金融工作会议中被正式提出，也首次被列入为高质量发展五篇大文章之一</w:t>
      </w:r>
      <w:r>
        <w:rPr>
          <w:spacing w:val="-7"/>
          <w:sz w:val="22"/>
        </w:rPr>
        <w:t>，其社会价值和战略意义不言而喻。为贯彻落实中央金融工作会议精神，努力做好养</w:t>
      </w:r>
      <w:r>
        <w:rPr>
          <w:spacing w:val="-12"/>
          <w:sz w:val="22"/>
        </w:rPr>
        <w:t xml:space="preserve">老金融大文章，国家金融监督管理总局于 </w:t>
      </w:r>
      <w:r>
        <w:rPr>
          <w:rFonts w:ascii="Arial" w:eastAsia="Arial"/>
          <w:sz w:val="22"/>
        </w:rPr>
        <w:t xml:space="preserve">2023 </w:t>
      </w:r>
      <w:r>
        <w:rPr>
          <w:spacing w:val="-28"/>
          <w:sz w:val="22"/>
        </w:rPr>
        <w:t xml:space="preserve">年 </w:t>
      </w:r>
      <w:r>
        <w:rPr>
          <w:rFonts w:ascii="Arial" w:eastAsia="Arial"/>
          <w:sz w:val="22"/>
        </w:rPr>
        <w:t xml:space="preserve">12 </w:t>
      </w:r>
      <w:r>
        <w:rPr>
          <w:spacing w:val="-14"/>
          <w:sz w:val="22"/>
        </w:rPr>
        <w:t xml:space="preserve">月正式出台《养老保险公司监督管理暂行办法》， </w:t>
      </w:r>
      <w:r>
        <w:rPr>
          <w:spacing w:val="-6"/>
          <w:sz w:val="22"/>
        </w:rPr>
        <w:t>首次对养老保险公司给出明确定义，并强调了养老保险公司的发展定位和总体要求。</w:t>
      </w:r>
      <w:r>
        <w:rPr>
          <w:b/>
          <w:sz w:val="22"/>
        </w:rPr>
        <w:t>《养老保险公司</w:t>
      </w:r>
      <w:r>
        <w:rPr>
          <w:b/>
          <w:spacing w:val="-7"/>
          <w:sz w:val="22"/>
        </w:rPr>
        <w:t>监督管理暂行办法》作为中国首个针对专业养老保险公司的监管文件，其发布有利于增强养老保险公</w:t>
      </w:r>
      <w:r>
        <w:rPr>
          <w:b/>
          <w:spacing w:val="-12"/>
          <w:sz w:val="22"/>
        </w:rPr>
        <w:t>司监管针对性、有效性，进一步推动养老保险机构走专业化发展道路、聚焦养老金融主业、创新养老金融产品和服务，更好参与和服务多层次、多支柱养老保险体系建设。</w:t>
      </w:r>
    </w:p>
    <w:p>
      <w:pPr>
        <w:spacing w:before="159" w:after="29"/>
        <w:ind w:left="460" w:right="0" w:firstLine="0"/>
        <w:jc w:val="left"/>
        <w:rPr>
          <w:sz w:val="20"/>
        </w:rPr>
      </w:pPr>
      <w:r>
        <w:rPr>
          <w:sz w:val="20"/>
        </w:rPr>
        <w:t xml:space="preserve">表 </w:t>
      </w:r>
      <w:r>
        <w:rPr>
          <w:rFonts w:ascii="Arial" w:eastAsia="Arial"/>
          <w:sz w:val="20"/>
        </w:rPr>
        <w:t xml:space="preserve">5 2023 </w:t>
      </w:r>
      <w:r>
        <w:rPr>
          <w:sz w:val="20"/>
        </w:rPr>
        <w:t>年</w:t>
      </w:r>
      <w:r>
        <w:rPr>
          <w:sz w:val="18"/>
        </w:rPr>
        <w:t>保险业参与养老</w:t>
      </w:r>
      <w:r>
        <w:rPr>
          <w:sz w:val="20"/>
        </w:rPr>
        <w:t>的相关政策文件</w:t>
      </w:r>
    </w:p>
    <w:tbl>
      <w:tblPr>
        <w:tblStyle w:val="TableNormal4"/>
        <w:tblW w:w="0" w:type="auto"/>
        <w:jc w:val="left"/>
        <w:tblInd w:w="358"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967"/>
        <w:gridCol w:w="2294"/>
        <w:gridCol w:w="7938"/>
      </w:tblGrid>
      <w:tr>
        <w:tblPrEx>
          <w:tblW w:w="0" w:type="auto"/>
          <w:jc w:val="left"/>
          <w:tblInd w:w="358"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624"/>
          <w:jc w:val="left"/>
        </w:trPr>
        <w:tc>
          <w:tcPr>
            <w:tcW w:w="967" w:type="dxa"/>
            <w:tcBorders>
              <w:left w:val="dotted" w:sz="4" w:space="0" w:color="000000"/>
              <w:bottom w:val="single" w:sz="6" w:space="0" w:color="C00000"/>
              <w:right w:val="dotted" w:sz="4" w:space="0" w:color="000000"/>
            </w:tcBorders>
          </w:tcPr>
          <w:p>
            <w:pPr>
              <w:pStyle w:val="TableParagraph"/>
              <w:spacing w:before="29"/>
              <w:ind w:left="282"/>
              <w:jc w:val="left"/>
              <w:rPr>
                <w:b/>
                <w:sz w:val="20"/>
              </w:rPr>
            </w:pPr>
            <w:r>
              <w:rPr>
                <w:b/>
                <w:w w:val="95"/>
                <w:sz w:val="20"/>
              </w:rPr>
              <w:t>发布</w:t>
            </w:r>
          </w:p>
          <w:p>
            <w:pPr>
              <w:pStyle w:val="TableParagraph"/>
              <w:spacing w:before="55"/>
              <w:ind w:left="282"/>
              <w:jc w:val="left"/>
              <w:rPr>
                <w:b/>
                <w:sz w:val="20"/>
              </w:rPr>
            </w:pPr>
            <w:r>
              <w:rPr>
                <w:b/>
                <w:w w:val="95"/>
                <w:sz w:val="20"/>
              </w:rPr>
              <w:t>时间</w:t>
            </w:r>
          </w:p>
        </w:tc>
        <w:tc>
          <w:tcPr>
            <w:tcW w:w="2294"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724" w:right="715"/>
              <w:rPr>
                <w:b/>
                <w:sz w:val="20"/>
              </w:rPr>
            </w:pPr>
            <w:r>
              <w:rPr>
                <w:b/>
                <w:sz w:val="20"/>
              </w:rPr>
              <w:t>发布主体</w:t>
            </w:r>
          </w:p>
        </w:tc>
        <w:tc>
          <w:tcPr>
            <w:tcW w:w="7938"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3547" w:right="3536"/>
              <w:rPr>
                <w:b/>
                <w:sz w:val="20"/>
              </w:rPr>
            </w:pPr>
            <w:r>
              <w:rPr>
                <w:b/>
                <w:sz w:val="20"/>
              </w:rPr>
              <w:t>政策文件</w:t>
            </w:r>
          </w:p>
        </w:tc>
      </w:tr>
      <w:tr>
        <w:tblPrEx>
          <w:tblW w:w="0" w:type="auto"/>
          <w:jc w:val="left"/>
          <w:tblInd w:w="358" w:type="dxa"/>
          <w:tblLayout w:type="fixed"/>
          <w:tblCellMar>
            <w:top w:w="0" w:type="dxa"/>
            <w:left w:w="0" w:type="dxa"/>
            <w:bottom w:w="0" w:type="dxa"/>
            <w:right w:w="0" w:type="dxa"/>
          </w:tblCellMar>
          <w:tblLook w:val="01E0"/>
        </w:tblPrEx>
        <w:trPr>
          <w:trHeight w:val="312"/>
          <w:jc w:val="left"/>
        </w:trPr>
        <w:tc>
          <w:tcPr>
            <w:tcW w:w="967" w:type="dxa"/>
            <w:tcBorders>
              <w:top w:val="single" w:sz="6" w:space="0" w:color="C00000"/>
              <w:left w:val="dotted" w:sz="2" w:space="0" w:color="000000"/>
              <w:bottom w:val="dotted" w:sz="2" w:space="0" w:color="000000"/>
              <w:right w:val="dotted" w:sz="2" w:space="0" w:color="000000"/>
            </w:tcBorders>
            <w:shd w:val="clear" w:color="auto" w:fill="F0F0F0"/>
          </w:tcPr>
          <w:p>
            <w:pPr>
              <w:pStyle w:val="TableParagraph"/>
              <w:spacing w:before="40"/>
              <w:ind w:left="102" w:right="95"/>
              <w:rPr>
                <w:rFonts w:ascii="Arial"/>
                <w:sz w:val="20"/>
              </w:rPr>
            </w:pPr>
            <w:r>
              <w:rPr>
                <w:rFonts w:ascii="Arial"/>
                <w:sz w:val="20"/>
              </w:rPr>
              <w:t>2023.01</w:t>
            </w:r>
          </w:p>
        </w:tc>
        <w:tc>
          <w:tcPr>
            <w:tcW w:w="2294" w:type="dxa"/>
            <w:tcBorders>
              <w:top w:val="single" w:sz="6" w:space="0" w:color="C00000"/>
              <w:left w:val="dotted" w:sz="2" w:space="0" w:color="000000"/>
              <w:bottom w:val="dotted" w:sz="2" w:space="0" w:color="000000"/>
              <w:right w:val="dotted" w:sz="2" w:space="0" w:color="000000"/>
            </w:tcBorders>
            <w:shd w:val="clear" w:color="auto" w:fill="F0F0F0"/>
          </w:tcPr>
          <w:p>
            <w:pPr>
              <w:pStyle w:val="TableParagraph"/>
              <w:spacing w:before="28"/>
              <w:ind w:left="91" w:right="82"/>
              <w:rPr>
                <w:sz w:val="20"/>
              </w:rPr>
            </w:pPr>
            <w:r>
              <w:rPr>
                <w:sz w:val="20"/>
              </w:rPr>
              <w:t>原银保监会</w:t>
            </w:r>
          </w:p>
        </w:tc>
        <w:tc>
          <w:tcPr>
            <w:tcW w:w="7938" w:type="dxa"/>
            <w:tcBorders>
              <w:top w:val="single" w:sz="6" w:space="0" w:color="C00000"/>
              <w:left w:val="dotted" w:sz="2" w:space="0" w:color="000000"/>
              <w:bottom w:val="dotted" w:sz="2" w:space="0" w:color="000000"/>
              <w:right w:val="dotted" w:sz="2" w:space="0" w:color="000000"/>
            </w:tcBorders>
            <w:shd w:val="clear" w:color="auto" w:fill="F0F0F0"/>
          </w:tcPr>
          <w:p>
            <w:pPr>
              <w:pStyle w:val="TableParagraph"/>
              <w:spacing w:before="28"/>
              <w:ind w:left="90" w:right="69"/>
              <w:rPr>
                <w:sz w:val="20"/>
              </w:rPr>
            </w:pPr>
            <w:r>
              <w:rPr>
                <w:sz w:val="20"/>
              </w:rPr>
              <w:t>《关于规范保险公司销售保险产品对接养老社区服务业务有关事项的通知</w:t>
            </w:r>
            <w:r>
              <w:rPr>
                <w:rFonts w:ascii="Arial" w:eastAsia="Arial"/>
                <w:sz w:val="20"/>
              </w:rPr>
              <w:t>(</w:t>
            </w:r>
            <w:r>
              <w:rPr>
                <w:sz w:val="20"/>
              </w:rPr>
              <w:t>征求意见稿</w:t>
            </w:r>
            <w:r>
              <w:rPr>
                <w:rFonts w:ascii="Arial" w:eastAsia="Arial"/>
                <w:sz w:val="20"/>
              </w:rPr>
              <w:t>)</w:t>
            </w:r>
            <w:r>
              <w:rPr>
                <w:sz w:val="20"/>
              </w:rPr>
              <w:t>》</w:t>
            </w:r>
          </w:p>
        </w:tc>
      </w:tr>
      <w:tr>
        <w:tblPrEx>
          <w:tblW w:w="0" w:type="auto"/>
          <w:jc w:val="left"/>
          <w:tblInd w:w="358" w:type="dxa"/>
          <w:tblLayout w:type="fixed"/>
          <w:tblCellMar>
            <w:top w:w="0" w:type="dxa"/>
            <w:left w:w="0" w:type="dxa"/>
            <w:bottom w:w="0" w:type="dxa"/>
            <w:right w:w="0" w:type="dxa"/>
          </w:tblCellMar>
          <w:tblLook w:val="01E0"/>
        </w:tblPrEx>
        <w:trPr>
          <w:trHeight w:val="311"/>
          <w:jc w:val="left"/>
        </w:trPr>
        <w:tc>
          <w:tcPr>
            <w:tcW w:w="967" w:type="dxa"/>
            <w:tcBorders>
              <w:top w:val="dotted" w:sz="2" w:space="0" w:color="000000"/>
              <w:left w:val="dotted" w:sz="2" w:space="0" w:color="000000"/>
              <w:bottom w:val="dotted" w:sz="2" w:space="0" w:color="000000"/>
              <w:right w:val="dotted" w:sz="2" w:space="0" w:color="000000"/>
            </w:tcBorders>
          </w:tcPr>
          <w:p>
            <w:pPr>
              <w:pStyle w:val="TableParagraph"/>
              <w:spacing w:before="42"/>
              <w:ind w:left="102" w:right="95"/>
              <w:rPr>
                <w:rFonts w:ascii="Arial"/>
                <w:sz w:val="20"/>
              </w:rPr>
            </w:pPr>
            <w:r>
              <w:rPr>
                <w:rFonts w:ascii="Arial"/>
                <w:sz w:val="20"/>
              </w:rPr>
              <w:t>2023.01</w:t>
            </w:r>
          </w:p>
        </w:tc>
        <w:tc>
          <w:tcPr>
            <w:tcW w:w="2294" w:type="dxa"/>
            <w:tcBorders>
              <w:top w:val="dotted" w:sz="2" w:space="0" w:color="000000"/>
              <w:left w:val="dotted" w:sz="2" w:space="0" w:color="000000"/>
              <w:bottom w:val="dotted" w:sz="2" w:space="0" w:color="000000"/>
              <w:right w:val="dotted" w:sz="2" w:space="0" w:color="000000"/>
            </w:tcBorders>
          </w:tcPr>
          <w:p>
            <w:pPr>
              <w:pStyle w:val="TableParagraph"/>
              <w:spacing w:before="27"/>
              <w:ind w:left="91" w:right="82"/>
              <w:rPr>
                <w:sz w:val="20"/>
              </w:rPr>
            </w:pPr>
            <w:r>
              <w:rPr>
                <w:sz w:val="20"/>
              </w:rPr>
              <w:t>原银保监会</w:t>
            </w:r>
          </w:p>
        </w:tc>
        <w:tc>
          <w:tcPr>
            <w:tcW w:w="7938" w:type="dxa"/>
            <w:tcBorders>
              <w:top w:val="dotted" w:sz="2" w:space="0" w:color="000000"/>
              <w:left w:val="dotted" w:sz="2" w:space="0" w:color="000000"/>
              <w:bottom w:val="dotted" w:sz="2" w:space="0" w:color="000000"/>
              <w:right w:val="dotted" w:sz="2" w:space="0" w:color="000000"/>
            </w:tcBorders>
          </w:tcPr>
          <w:p>
            <w:pPr>
              <w:pStyle w:val="TableParagraph"/>
              <w:spacing w:before="27"/>
              <w:ind w:left="75" w:right="69"/>
              <w:rPr>
                <w:sz w:val="20"/>
              </w:rPr>
            </w:pPr>
            <w:r>
              <w:rPr>
                <w:sz w:val="20"/>
              </w:rPr>
              <w:t>《养老保险公司监督管理暂行办法（征求意见稿）》</w:t>
            </w:r>
          </w:p>
        </w:tc>
      </w:tr>
      <w:tr>
        <w:tblPrEx>
          <w:tblW w:w="0" w:type="auto"/>
          <w:jc w:val="left"/>
          <w:tblInd w:w="358" w:type="dxa"/>
          <w:tblLayout w:type="fixed"/>
          <w:tblCellMar>
            <w:top w:w="0" w:type="dxa"/>
            <w:left w:w="0" w:type="dxa"/>
            <w:bottom w:w="0" w:type="dxa"/>
            <w:right w:w="0" w:type="dxa"/>
          </w:tblCellMar>
          <w:tblLook w:val="01E0"/>
        </w:tblPrEx>
        <w:trPr>
          <w:trHeight w:val="312"/>
          <w:jc w:val="left"/>
        </w:trPr>
        <w:tc>
          <w:tcPr>
            <w:tcW w:w="967"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42"/>
              <w:ind w:left="103" w:right="94"/>
              <w:rPr>
                <w:rFonts w:ascii="Arial"/>
                <w:sz w:val="20"/>
              </w:rPr>
            </w:pPr>
            <w:r>
              <w:rPr>
                <w:rFonts w:ascii="Arial"/>
                <w:sz w:val="20"/>
              </w:rPr>
              <w:t>2023.05</w:t>
            </w:r>
          </w:p>
        </w:tc>
        <w:tc>
          <w:tcPr>
            <w:tcW w:w="2294"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7"/>
              <w:ind w:left="91" w:right="84"/>
              <w:rPr>
                <w:sz w:val="20"/>
              </w:rPr>
            </w:pPr>
            <w:r>
              <w:rPr>
                <w:sz w:val="20"/>
              </w:rPr>
              <w:t>国家金融监督管理总局</w:t>
            </w:r>
          </w:p>
        </w:tc>
        <w:tc>
          <w:tcPr>
            <w:tcW w:w="7938"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7"/>
              <w:ind w:left="80" w:right="69"/>
              <w:rPr>
                <w:sz w:val="20"/>
              </w:rPr>
            </w:pPr>
            <w:r>
              <w:rPr>
                <w:sz w:val="20"/>
              </w:rPr>
              <w:t>《关于促进专属商业养老保险发展有关事项的通知（征求意见稿）》</w:t>
            </w:r>
          </w:p>
        </w:tc>
      </w:tr>
      <w:tr>
        <w:tblPrEx>
          <w:tblW w:w="0" w:type="auto"/>
          <w:jc w:val="left"/>
          <w:tblInd w:w="358" w:type="dxa"/>
          <w:tblLayout w:type="fixed"/>
          <w:tblCellMar>
            <w:top w:w="0" w:type="dxa"/>
            <w:left w:w="0" w:type="dxa"/>
            <w:bottom w:w="0" w:type="dxa"/>
            <w:right w:w="0" w:type="dxa"/>
          </w:tblCellMar>
          <w:tblLook w:val="01E0"/>
        </w:tblPrEx>
        <w:trPr>
          <w:trHeight w:val="312"/>
          <w:jc w:val="left"/>
        </w:trPr>
        <w:tc>
          <w:tcPr>
            <w:tcW w:w="967" w:type="dxa"/>
            <w:tcBorders>
              <w:top w:val="dotted" w:sz="2" w:space="0" w:color="000000"/>
              <w:left w:val="dotted" w:sz="2" w:space="0" w:color="000000"/>
              <w:bottom w:val="dotted" w:sz="2" w:space="0" w:color="000000"/>
              <w:right w:val="dotted" w:sz="2" w:space="0" w:color="000000"/>
            </w:tcBorders>
          </w:tcPr>
          <w:p>
            <w:pPr>
              <w:pStyle w:val="TableParagraph"/>
              <w:spacing w:before="42"/>
              <w:ind w:left="102" w:right="95"/>
              <w:rPr>
                <w:rFonts w:ascii="Arial"/>
                <w:sz w:val="20"/>
              </w:rPr>
            </w:pPr>
            <w:r>
              <w:rPr>
                <w:rFonts w:ascii="Arial"/>
                <w:sz w:val="20"/>
              </w:rPr>
              <w:t>2023.07</w:t>
            </w:r>
          </w:p>
        </w:tc>
        <w:tc>
          <w:tcPr>
            <w:tcW w:w="2294" w:type="dxa"/>
            <w:tcBorders>
              <w:top w:val="dotted" w:sz="2" w:space="0" w:color="000000"/>
              <w:left w:val="dotted" w:sz="2" w:space="0" w:color="000000"/>
              <w:bottom w:val="dotted" w:sz="2" w:space="0" w:color="000000"/>
              <w:right w:val="dotted" w:sz="2" w:space="0" w:color="000000"/>
            </w:tcBorders>
          </w:tcPr>
          <w:p>
            <w:pPr>
              <w:pStyle w:val="TableParagraph"/>
              <w:spacing w:before="27"/>
              <w:ind w:left="91" w:right="84"/>
              <w:rPr>
                <w:sz w:val="20"/>
              </w:rPr>
            </w:pPr>
            <w:r>
              <w:rPr>
                <w:sz w:val="20"/>
              </w:rPr>
              <w:t>国家金融监督管理总局</w:t>
            </w:r>
          </w:p>
        </w:tc>
        <w:tc>
          <w:tcPr>
            <w:tcW w:w="7938" w:type="dxa"/>
            <w:tcBorders>
              <w:top w:val="dotted" w:sz="2" w:space="0" w:color="000000"/>
              <w:left w:val="dotted" w:sz="2" w:space="0" w:color="000000"/>
              <w:bottom w:val="dotted" w:sz="2" w:space="0" w:color="000000"/>
              <w:right w:val="dotted" w:sz="2" w:space="0" w:color="000000"/>
            </w:tcBorders>
          </w:tcPr>
          <w:p>
            <w:pPr>
              <w:pStyle w:val="TableParagraph"/>
              <w:spacing w:before="27"/>
              <w:ind w:left="80" w:right="69"/>
              <w:rPr>
                <w:sz w:val="20"/>
              </w:rPr>
            </w:pPr>
            <w:r>
              <w:rPr>
                <w:sz w:val="20"/>
              </w:rPr>
              <w:t>《关于适用商业健康保险个人所得税优惠政策产品有关事项的通知》</w:t>
            </w:r>
          </w:p>
        </w:tc>
      </w:tr>
      <w:tr>
        <w:tblPrEx>
          <w:tblW w:w="0" w:type="auto"/>
          <w:jc w:val="left"/>
          <w:tblInd w:w="358" w:type="dxa"/>
          <w:tblLayout w:type="fixed"/>
          <w:tblCellMar>
            <w:top w:w="0" w:type="dxa"/>
            <w:left w:w="0" w:type="dxa"/>
            <w:bottom w:w="0" w:type="dxa"/>
            <w:right w:w="0" w:type="dxa"/>
          </w:tblCellMar>
          <w:tblLook w:val="01E0"/>
        </w:tblPrEx>
        <w:trPr>
          <w:trHeight w:val="312"/>
          <w:jc w:val="left"/>
        </w:trPr>
        <w:tc>
          <w:tcPr>
            <w:tcW w:w="967"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42"/>
              <w:ind w:left="102" w:right="95"/>
              <w:rPr>
                <w:rFonts w:ascii="Arial"/>
                <w:sz w:val="20"/>
              </w:rPr>
            </w:pPr>
            <w:r>
              <w:rPr>
                <w:rFonts w:ascii="Arial"/>
                <w:sz w:val="20"/>
              </w:rPr>
              <w:t>2023.07</w:t>
            </w:r>
          </w:p>
        </w:tc>
        <w:tc>
          <w:tcPr>
            <w:tcW w:w="2294"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7"/>
              <w:ind w:left="54" w:right="121"/>
              <w:rPr>
                <w:sz w:val="20"/>
              </w:rPr>
            </w:pPr>
            <w:r>
              <w:rPr>
                <w:sz w:val="20"/>
              </w:rPr>
              <w:t>国家金融监督管理总局</w:t>
            </w:r>
          </w:p>
        </w:tc>
        <w:tc>
          <w:tcPr>
            <w:tcW w:w="7938"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7"/>
              <w:ind w:left="78" w:right="69"/>
              <w:rPr>
                <w:sz w:val="20"/>
              </w:rPr>
            </w:pPr>
            <w:r>
              <w:rPr>
                <w:sz w:val="20"/>
              </w:rPr>
              <w:t>《关于个人税延商业养老保险与个人养老金对接试点有关事项的通知</w:t>
            </w:r>
            <w:r>
              <w:rPr>
                <w:rFonts w:ascii="Arial" w:eastAsia="Arial"/>
                <w:sz w:val="20"/>
              </w:rPr>
              <w:t>(</w:t>
            </w:r>
            <w:r>
              <w:rPr>
                <w:sz w:val="20"/>
              </w:rPr>
              <w:t>征求意见稿</w:t>
            </w:r>
            <w:r>
              <w:rPr>
                <w:rFonts w:ascii="Arial" w:eastAsia="Arial"/>
                <w:sz w:val="20"/>
              </w:rPr>
              <w:t>)</w:t>
            </w:r>
            <w:r>
              <w:rPr>
                <w:sz w:val="20"/>
              </w:rPr>
              <w:t>》</w:t>
            </w:r>
          </w:p>
        </w:tc>
      </w:tr>
      <w:tr>
        <w:tblPrEx>
          <w:tblW w:w="0" w:type="auto"/>
          <w:jc w:val="left"/>
          <w:tblInd w:w="358" w:type="dxa"/>
          <w:tblLayout w:type="fixed"/>
          <w:tblCellMar>
            <w:top w:w="0" w:type="dxa"/>
            <w:left w:w="0" w:type="dxa"/>
            <w:bottom w:w="0" w:type="dxa"/>
            <w:right w:w="0" w:type="dxa"/>
          </w:tblCellMar>
          <w:tblLook w:val="01E0"/>
        </w:tblPrEx>
        <w:trPr>
          <w:trHeight w:val="312"/>
          <w:jc w:val="left"/>
        </w:trPr>
        <w:tc>
          <w:tcPr>
            <w:tcW w:w="967" w:type="dxa"/>
            <w:tcBorders>
              <w:top w:val="dotted" w:sz="2" w:space="0" w:color="000000"/>
              <w:left w:val="dotted" w:sz="2" w:space="0" w:color="000000"/>
              <w:bottom w:val="dotted" w:sz="2" w:space="0" w:color="000000"/>
              <w:right w:val="dotted" w:sz="2" w:space="0" w:color="000000"/>
            </w:tcBorders>
          </w:tcPr>
          <w:p>
            <w:pPr>
              <w:pStyle w:val="TableParagraph"/>
              <w:ind w:left="102" w:right="95"/>
              <w:rPr>
                <w:rFonts w:ascii="Arial"/>
                <w:sz w:val="20"/>
              </w:rPr>
            </w:pPr>
            <w:r>
              <w:rPr>
                <w:rFonts w:ascii="Arial"/>
                <w:sz w:val="20"/>
              </w:rPr>
              <w:t>2023.09</w:t>
            </w:r>
          </w:p>
        </w:tc>
        <w:tc>
          <w:tcPr>
            <w:tcW w:w="2294" w:type="dxa"/>
            <w:tcBorders>
              <w:top w:val="dotted" w:sz="2" w:space="0" w:color="000000"/>
              <w:left w:val="dotted" w:sz="2" w:space="0" w:color="000000"/>
              <w:bottom w:val="dotted" w:sz="2" w:space="0" w:color="000000"/>
              <w:right w:val="dotted" w:sz="2" w:space="0" w:color="000000"/>
            </w:tcBorders>
          </w:tcPr>
          <w:p>
            <w:pPr>
              <w:pStyle w:val="TableParagraph"/>
              <w:spacing w:before="27"/>
              <w:ind w:left="54" w:right="121"/>
              <w:rPr>
                <w:sz w:val="20"/>
              </w:rPr>
            </w:pPr>
            <w:r>
              <w:rPr>
                <w:sz w:val="20"/>
              </w:rPr>
              <w:t>国家金融监督管理总局</w:t>
            </w:r>
          </w:p>
        </w:tc>
        <w:tc>
          <w:tcPr>
            <w:tcW w:w="7938" w:type="dxa"/>
            <w:tcBorders>
              <w:top w:val="dotted" w:sz="2" w:space="0" w:color="000000"/>
              <w:left w:val="dotted" w:sz="2" w:space="0" w:color="000000"/>
              <w:bottom w:val="dotted" w:sz="2" w:space="0" w:color="000000"/>
              <w:right w:val="dotted" w:sz="2" w:space="0" w:color="000000"/>
            </w:tcBorders>
          </w:tcPr>
          <w:p>
            <w:pPr>
              <w:pStyle w:val="TableParagraph"/>
              <w:spacing w:before="27"/>
              <w:ind w:left="77" w:right="69"/>
              <w:rPr>
                <w:sz w:val="20"/>
              </w:rPr>
            </w:pPr>
            <w:r>
              <w:rPr>
                <w:sz w:val="20"/>
              </w:rPr>
              <w:t>《关于个人税收递延型商业养老保险试点与个人养老金衔接有关事项的通知》</w:t>
            </w:r>
          </w:p>
        </w:tc>
      </w:tr>
      <w:tr>
        <w:tblPrEx>
          <w:tblW w:w="0" w:type="auto"/>
          <w:jc w:val="left"/>
          <w:tblInd w:w="358" w:type="dxa"/>
          <w:tblLayout w:type="fixed"/>
          <w:tblCellMar>
            <w:top w:w="0" w:type="dxa"/>
            <w:left w:w="0" w:type="dxa"/>
            <w:bottom w:w="0" w:type="dxa"/>
            <w:right w:w="0" w:type="dxa"/>
          </w:tblCellMar>
          <w:tblLook w:val="01E0"/>
        </w:tblPrEx>
        <w:trPr>
          <w:trHeight w:val="311"/>
          <w:jc w:val="left"/>
        </w:trPr>
        <w:tc>
          <w:tcPr>
            <w:tcW w:w="967"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ind w:left="102" w:right="95"/>
              <w:rPr>
                <w:rFonts w:ascii="Arial"/>
                <w:sz w:val="20"/>
              </w:rPr>
            </w:pPr>
            <w:r>
              <w:rPr>
                <w:rFonts w:ascii="Arial"/>
                <w:sz w:val="20"/>
              </w:rPr>
              <w:t>2023.10</w:t>
            </w:r>
          </w:p>
        </w:tc>
        <w:tc>
          <w:tcPr>
            <w:tcW w:w="2294"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9"/>
              <w:ind w:left="54" w:right="121"/>
              <w:rPr>
                <w:sz w:val="20"/>
              </w:rPr>
            </w:pPr>
            <w:r>
              <w:rPr>
                <w:sz w:val="20"/>
              </w:rPr>
              <w:t>国家金融监督管理总局</w:t>
            </w:r>
          </w:p>
        </w:tc>
        <w:tc>
          <w:tcPr>
            <w:tcW w:w="7938"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9"/>
              <w:ind w:left="75" w:right="69"/>
              <w:rPr>
                <w:sz w:val="20"/>
              </w:rPr>
            </w:pPr>
            <w:r>
              <w:rPr>
                <w:sz w:val="20"/>
              </w:rPr>
              <w:t>《关于促进专属商业养老保险发展有关事项的通知》</w:t>
            </w:r>
          </w:p>
        </w:tc>
      </w:tr>
      <w:tr>
        <w:tblPrEx>
          <w:tblW w:w="0" w:type="auto"/>
          <w:jc w:val="left"/>
          <w:tblInd w:w="358" w:type="dxa"/>
          <w:tblLayout w:type="fixed"/>
          <w:tblCellMar>
            <w:top w:w="0" w:type="dxa"/>
            <w:left w:w="0" w:type="dxa"/>
            <w:bottom w:w="0" w:type="dxa"/>
            <w:right w:w="0" w:type="dxa"/>
          </w:tblCellMar>
          <w:tblLook w:val="01E0"/>
        </w:tblPrEx>
        <w:trPr>
          <w:trHeight w:val="311"/>
          <w:jc w:val="left"/>
        </w:trPr>
        <w:tc>
          <w:tcPr>
            <w:tcW w:w="967" w:type="dxa"/>
            <w:tcBorders>
              <w:top w:val="dotted" w:sz="2" w:space="0" w:color="000000"/>
              <w:left w:val="dotted" w:sz="2" w:space="0" w:color="000000"/>
              <w:right w:val="dotted" w:sz="2" w:space="0" w:color="000000"/>
            </w:tcBorders>
          </w:tcPr>
          <w:p>
            <w:pPr>
              <w:pStyle w:val="TableParagraph"/>
              <w:ind w:left="102" w:right="95"/>
              <w:rPr>
                <w:rFonts w:ascii="Arial"/>
                <w:sz w:val="20"/>
              </w:rPr>
            </w:pPr>
            <w:r>
              <w:rPr>
                <w:rFonts w:ascii="Arial"/>
                <w:sz w:val="20"/>
              </w:rPr>
              <w:t>2023.12</w:t>
            </w:r>
          </w:p>
        </w:tc>
        <w:tc>
          <w:tcPr>
            <w:tcW w:w="2294" w:type="dxa"/>
            <w:tcBorders>
              <w:top w:val="dotted" w:sz="2" w:space="0" w:color="000000"/>
              <w:left w:val="dotted" w:sz="2" w:space="0" w:color="000000"/>
              <w:right w:val="dotted" w:sz="2" w:space="0" w:color="000000"/>
            </w:tcBorders>
          </w:tcPr>
          <w:p>
            <w:pPr>
              <w:pStyle w:val="TableParagraph"/>
              <w:spacing w:before="29"/>
              <w:ind w:left="54" w:right="121"/>
              <w:rPr>
                <w:sz w:val="20"/>
              </w:rPr>
            </w:pPr>
            <w:r>
              <w:rPr>
                <w:sz w:val="20"/>
              </w:rPr>
              <w:t>国家金融监督管理总局</w:t>
            </w:r>
          </w:p>
        </w:tc>
        <w:tc>
          <w:tcPr>
            <w:tcW w:w="7938" w:type="dxa"/>
            <w:tcBorders>
              <w:top w:val="dotted" w:sz="2" w:space="0" w:color="000000"/>
              <w:left w:val="dotted" w:sz="2" w:space="0" w:color="000000"/>
              <w:right w:val="dotted" w:sz="2" w:space="0" w:color="000000"/>
            </w:tcBorders>
          </w:tcPr>
          <w:p>
            <w:pPr>
              <w:pStyle w:val="TableParagraph"/>
              <w:spacing w:before="29"/>
              <w:ind w:left="77" w:right="69"/>
              <w:rPr>
                <w:sz w:val="20"/>
              </w:rPr>
            </w:pPr>
            <w:r>
              <w:rPr>
                <w:sz w:val="20"/>
              </w:rPr>
              <w:t>《养老保险公司监督管理暂行办法》</w:t>
            </w:r>
          </w:p>
        </w:tc>
      </w:tr>
    </w:tbl>
    <w:p>
      <w:pPr>
        <w:spacing w:before="41"/>
        <w:ind w:left="460" w:right="0" w:firstLine="0"/>
        <w:jc w:val="left"/>
        <w:rPr>
          <w:sz w:val="18"/>
        </w:rPr>
      </w:pPr>
      <w:r>
        <w:t xml:space="preserve">资料来源：国家金融监督管理总局， </w:t>
      </w:r>
    </w:p>
    <w:p>
      <w:pPr>
        <w:spacing w:after="0"/>
        <w:jc w:val="left"/>
        <w:rPr>
          <w:sz w:val="18"/>
        </w:rPr>
        <w:sectPr>
          <w:headerReference w:type="default" r:id="rId29"/>
          <w:footerReference w:type="default" r:id="rId30"/>
          <w:pgSz w:w="11910" w:h="16840"/>
          <w:pgMar w:top="1280" w:right="0" w:bottom="1000" w:left="0" w:header="708" w:footer="708"/>
          <w:pgNumType w:start="10"/>
          <w:cols w:space="708"/>
        </w:sectPr>
      </w:pPr>
    </w:p>
    <w:p>
      <w:pPr>
        <w:pStyle w:val="BodyText"/>
        <w:spacing w:before="10"/>
        <w:rPr>
          <w:sz w:val="8"/>
        </w:rPr>
      </w:pPr>
    </w:p>
    <w:p>
      <w:pPr>
        <w:pStyle w:val="Heading2"/>
        <w:numPr>
          <w:ilvl w:val="1"/>
          <w:numId w:val="4"/>
        </w:numPr>
        <w:tabs>
          <w:tab w:val="left" w:pos="1604"/>
        </w:tabs>
        <w:spacing w:before="75" w:after="0" w:line="240" w:lineRule="auto"/>
        <w:ind w:left="1603" w:right="0" w:hanging="472"/>
        <w:jc w:val="left"/>
      </w:pPr>
      <w:bookmarkStart w:id="8" w:name="_TOC_250004"/>
      <w:bookmarkEnd w:id="8"/>
      <w:r>
        <w:t>为实体经济输送养分，兜好保障民生底线</w:t>
      </w:r>
    </w:p>
    <w:p>
      <w:pPr>
        <w:pStyle w:val="BodyText"/>
        <w:spacing w:before="11"/>
        <w:rPr>
          <w:b/>
          <w:sz w:val="23"/>
        </w:rPr>
      </w:pPr>
    </w:p>
    <w:p>
      <w:pPr>
        <w:pStyle w:val="BodyText"/>
        <w:spacing w:line="266" w:lineRule="auto"/>
        <w:ind w:left="1132" w:right="1130" w:firstLine="441"/>
      </w:pPr>
      <w:r>
        <w:rPr>
          <w:rFonts w:ascii="Arial" w:eastAsia="Arial"/>
        </w:rPr>
        <w:t xml:space="preserve">2023 </w:t>
      </w:r>
      <w:r>
        <w:t>年，保险业从保险资管业务扩容、乡村振兴、鼓励长期资金入市、普惠金融等方面着手， 深入落实贯彻支持实体经济的重大国家战略。</w:t>
      </w:r>
    </w:p>
    <w:p>
      <w:pPr>
        <w:pStyle w:val="BodyText"/>
        <w:spacing w:before="154" w:line="266" w:lineRule="auto"/>
        <w:ind w:left="1132" w:right="1017" w:firstLine="441"/>
      </w:pPr>
      <w:r>
        <w:rPr>
          <w:spacing w:val="-7"/>
        </w:rPr>
        <w:t>保险资管业务扩容方面，根据《国务院办公厅关于进一步盘活存量资产扩大有效投资的意见》的</w:t>
      </w:r>
      <w:r>
        <w:rPr>
          <w:spacing w:val="1"/>
        </w:rPr>
        <w:t>有关部署和加快推进基础设施</w:t>
      </w:r>
      <w:r>
        <w:rPr>
          <w:rFonts w:ascii="Arial" w:eastAsia="Arial" w:hAnsi="Arial"/>
        </w:rPr>
        <w:t xml:space="preserve">REITs </w:t>
      </w:r>
      <w:r>
        <w:rPr>
          <w:spacing w:val="-3"/>
        </w:rPr>
        <w:t>常态化发行的有关工作的安排，</w:t>
      </w:r>
      <w:r>
        <w:rPr>
          <w:rFonts w:ascii="Arial" w:eastAsia="Arial" w:hAnsi="Arial"/>
        </w:rPr>
        <w:t xml:space="preserve">2023 </w:t>
      </w:r>
      <w:r>
        <w:rPr>
          <w:spacing w:val="-29"/>
        </w:rPr>
        <w:t xml:space="preserve">年 </w:t>
      </w:r>
      <w:r>
        <w:rPr>
          <w:rFonts w:ascii="Arial" w:eastAsia="Arial" w:hAnsi="Arial"/>
        </w:rPr>
        <w:t xml:space="preserve">3 </w:t>
      </w:r>
      <w:r>
        <w:rPr>
          <w:spacing w:val="-3"/>
        </w:rPr>
        <w:t>月，证监会指导上交</w:t>
      </w:r>
      <w:r>
        <w:rPr>
          <w:spacing w:val="-12"/>
        </w:rPr>
        <w:t>所和深交所制定《保险资产管理公司开展资产证券化业务指引》，点明公司治理健全、内控管理规范、</w:t>
      </w:r>
      <w:r>
        <w:rPr>
          <w:spacing w:val="-13"/>
        </w:rPr>
        <w:t xml:space="preserve">资产管理经验丰富的优质保险资产管理公司可作为管理人开展交易所 </w:t>
      </w:r>
      <w:r>
        <w:rPr>
          <w:rFonts w:ascii="Arial" w:eastAsia="Arial" w:hAnsi="Arial"/>
        </w:rPr>
        <w:t xml:space="preserve">ABS </w:t>
      </w:r>
      <w:r>
        <w:t>业务、可作为资产支持专</w:t>
      </w:r>
      <w:r>
        <w:rPr>
          <w:spacing w:val="-5"/>
        </w:rPr>
        <w:t xml:space="preserve">项计划的管理人参与 </w:t>
      </w:r>
      <w:r>
        <w:rPr>
          <w:rFonts w:ascii="Arial" w:eastAsia="Arial" w:hAnsi="Arial"/>
        </w:rPr>
        <w:t xml:space="preserve">REITs </w:t>
      </w:r>
      <w:r>
        <w:t>业务。</w:t>
      </w:r>
      <w:r>
        <w:rPr>
          <w:rFonts w:ascii="Arial" w:eastAsia="Arial" w:hAnsi="Arial"/>
        </w:rPr>
        <w:t xml:space="preserve">2023 </w:t>
      </w:r>
      <w:r>
        <w:rPr>
          <w:spacing w:val="-21"/>
        </w:rPr>
        <w:t xml:space="preserve">年 </w:t>
      </w:r>
      <w:r>
        <w:rPr>
          <w:rFonts w:ascii="Arial" w:eastAsia="Arial" w:hAnsi="Arial"/>
        </w:rPr>
        <w:t xml:space="preserve">10 </w:t>
      </w:r>
      <w:r>
        <w:t>月，监管批复同意国寿资产、泰康资产、太保资产、</w:t>
      </w:r>
      <w:r>
        <w:rPr>
          <w:spacing w:val="-5"/>
        </w:rPr>
        <w:t xml:space="preserve">人保资产、平安资管首批 </w:t>
      </w:r>
      <w:r>
        <w:rPr>
          <w:rFonts w:ascii="Arial" w:eastAsia="Arial" w:hAnsi="Arial"/>
        </w:rPr>
        <w:t xml:space="preserve">5 </w:t>
      </w:r>
      <w:r>
        <w:rPr>
          <w:spacing w:val="-5"/>
        </w:rPr>
        <w:t xml:space="preserve">家保险资管开展交易所 </w:t>
      </w:r>
      <w:r>
        <w:rPr>
          <w:rFonts w:ascii="Arial" w:eastAsia="Arial" w:hAnsi="Arial"/>
        </w:rPr>
        <w:t xml:space="preserve">ABS </w:t>
      </w:r>
      <w:r>
        <w:rPr>
          <w:spacing w:val="-25"/>
        </w:rPr>
        <w:t xml:space="preserve">及 </w:t>
      </w:r>
      <w:r>
        <w:rPr>
          <w:rFonts w:ascii="Arial" w:eastAsia="Arial" w:hAnsi="Arial"/>
        </w:rPr>
        <w:t xml:space="preserve">REITs </w:t>
      </w:r>
      <w:r>
        <w:t>业务试点。</w:t>
      </w:r>
      <w:r>
        <w:rPr>
          <w:b/>
          <w:spacing w:val="-18"/>
        </w:rPr>
        <w:t xml:space="preserve">截至 </w:t>
      </w:r>
      <w:r>
        <w:rPr>
          <w:rFonts w:ascii="Arial" w:eastAsia="Arial" w:hAnsi="Arial"/>
          <w:b/>
        </w:rPr>
        <w:t xml:space="preserve">2023 </w:t>
      </w:r>
      <w:r>
        <w:rPr>
          <w:b/>
        </w:rPr>
        <w:t>年底，保险</w:t>
      </w:r>
      <w:r>
        <w:rPr>
          <w:b/>
          <w:spacing w:val="-5"/>
        </w:rPr>
        <w:t xml:space="preserve">资管已有多只交易所 </w:t>
      </w:r>
      <w:r>
        <w:rPr>
          <w:rFonts w:ascii="Arial" w:eastAsia="Arial" w:hAnsi="Arial"/>
          <w:b/>
        </w:rPr>
        <w:t xml:space="preserve">ABS </w:t>
      </w:r>
      <w:r>
        <w:rPr>
          <w:b/>
        </w:rPr>
        <w:t>亮相，基础资产涉及工程机械、绿色能源、租赁债权、供应链等多个典型</w:t>
      </w:r>
      <w:r>
        <w:rPr>
          <w:b/>
          <w:spacing w:val="-1"/>
        </w:rPr>
        <w:t>领域</w:t>
      </w:r>
      <w:r>
        <w:rPr>
          <w:spacing w:val="-14"/>
        </w:rPr>
        <w:t xml:space="preserve">。一方面，此举拓宽了融资渠道，有利于企业优化资产负债结构、提升产融结合水平，另一方面， </w:t>
      </w:r>
      <w:r>
        <w:rPr>
          <w:spacing w:val="-9"/>
        </w:rPr>
        <w:t>有利于盘活存量资产，更进一步服务实体经济、达成高质量发展转型。</w:t>
      </w:r>
      <w:r>
        <w:rPr>
          <w:b/>
          <w:spacing w:val="-2"/>
        </w:rPr>
        <w:t>对于保险资管而言，此举不仅仅是单纯的业务范围扩容，更是身份的转变，</w:t>
      </w:r>
      <w:r>
        <w:rPr>
          <w:spacing w:val="-5"/>
        </w:rPr>
        <w:t xml:space="preserve">此前，保险资管是以“投资人”的身份参与 </w:t>
      </w:r>
      <w:r>
        <w:rPr>
          <w:rFonts w:ascii="Arial" w:eastAsia="Arial" w:hAnsi="Arial"/>
        </w:rPr>
        <w:t xml:space="preserve">ABS </w:t>
      </w:r>
      <w:r>
        <w:t>和公</w:t>
      </w:r>
      <w:r>
        <w:rPr>
          <w:spacing w:val="55"/>
        </w:rPr>
        <w:t>募</w:t>
      </w:r>
      <w:r>
        <w:rPr>
          <w:rFonts w:ascii="Arial" w:eastAsia="Arial" w:hAnsi="Arial"/>
        </w:rPr>
        <w:t xml:space="preserve">REITs </w:t>
      </w:r>
      <w:r>
        <w:rPr>
          <w:spacing w:val="-3"/>
        </w:rPr>
        <w:t>的战配及网下打新，如今则转变成“投资人</w:t>
      </w:r>
      <w:r>
        <w:rPr>
          <w:rFonts w:ascii="Arial" w:eastAsia="Arial" w:hAnsi="Arial"/>
        </w:rPr>
        <w:t>+</w:t>
      </w:r>
      <w:r>
        <w:rPr>
          <w:spacing w:val="-3"/>
        </w:rPr>
        <w:t>管理人”的双重身份，市场参与度大大提升。</w:t>
      </w:r>
      <w:r>
        <w:rPr>
          <w:spacing w:val="-5"/>
        </w:rPr>
        <w:t>作为能将投资业务与投行业务有机结合的创新之举，在另类投资领域深耕多年的保险资管未来或将充</w:t>
      </w:r>
      <w:r>
        <w:rPr>
          <w:spacing w:val="-3"/>
        </w:rPr>
        <w:t>分发挥自身投资优势，定制化设计符合保险资金投资需求的产品，提升金融服务能力。</w:t>
      </w:r>
      <w:r>
        <w:rPr>
          <w:b/>
          <w:spacing w:val="-18"/>
        </w:rPr>
        <w:t xml:space="preserve">对于 </w:t>
      </w:r>
      <w:r>
        <w:rPr>
          <w:rFonts w:ascii="Arial" w:eastAsia="Arial" w:hAnsi="Arial"/>
          <w:b/>
        </w:rPr>
        <w:t xml:space="preserve">ABS </w:t>
      </w:r>
      <w:r>
        <w:rPr>
          <w:b/>
        </w:rPr>
        <w:t>和</w:t>
      </w:r>
      <w:r>
        <w:rPr>
          <w:rFonts w:ascii="Arial" w:eastAsia="Arial" w:hAnsi="Arial"/>
          <w:b/>
        </w:rPr>
        <w:t xml:space="preserve">REITs </w:t>
      </w:r>
      <w:r>
        <w:rPr>
          <w:b/>
        </w:rPr>
        <w:t>市场而言</w:t>
      </w:r>
      <w:r>
        <w:rPr>
          <w:spacing w:val="-8"/>
        </w:rPr>
        <w:t>，此举未来有望在参与主体、底层发行主体、交易市场、基础资产等方面进一步有序</w:t>
      </w:r>
      <w:r>
        <w:rPr>
          <w:spacing w:val="-7"/>
        </w:rPr>
        <w:t>快速扩容，具有丰富投资管理经验的保险资管的加入也有助于促进市场主体之间的良性竞争、提升整</w:t>
      </w:r>
      <w:r>
        <w:rPr>
          <w:spacing w:val="-3"/>
        </w:rPr>
        <w:t>体服务水平。</w:t>
      </w:r>
    </w:p>
    <w:p>
      <w:pPr>
        <w:pStyle w:val="BodyText"/>
        <w:spacing w:before="142" w:line="266" w:lineRule="auto"/>
        <w:ind w:left="1132" w:right="1011" w:firstLine="441"/>
      </w:pPr>
      <w:r>
        <w:rPr>
          <w:b/>
        </w:rPr>
        <w:t>乡村振兴方面，</w:t>
      </w:r>
      <w:r>
        <w:rPr>
          <w:spacing w:val="-5"/>
        </w:rPr>
        <w:t xml:space="preserve">顺应中共中央、国务院发布的《关于做好 </w:t>
      </w:r>
      <w:r>
        <w:rPr>
          <w:rFonts w:ascii="Arial" w:eastAsia="Arial" w:hAnsi="Arial"/>
        </w:rPr>
        <w:t xml:space="preserve">2023 </w:t>
      </w:r>
      <w:r>
        <w:rPr>
          <w:spacing w:val="-2"/>
        </w:rPr>
        <w:t>年全面推进乡村振兴重点工作的意见》中对保险行业的决策部署（发挥多层次资本市场支农作用，优化“保险</w:t>
      </w:r>
      <w:r>
        <w:rPr>
          <w:rFonts w:ascii="Arial" w:eastAsia="Arial" w:hAnsi="Arial"/>
          <w:spacing w:val="-2"/>
        </w:rPr>
        <w:t>+</w:t>
      </w:r>
      <w:r>
        <w:rPr>
          <w:spacing w:val="-2"/>
        </w:rPr>
        <w:t>期货”，鼓励发展渔业保险</w:t>
      </w:r>
      <w:r>
        <w:t>），</w:t>
      </w:r>
      <w:r>
        <w:rPr>
          <w:rFonts w:ascii="Arial" w:eastAsia="Arial" w:hAnsi="Arial"/>
        </w:rPr>
        <w:t xml:space="preserve">2023 </w:t>
      </w:r>
      <w:r>
        <w:rPr>
          <w:spacing w:val="-28"/>
        </w:rPr>
        <w:t xml:space="preserve">年 </w:t>
      </w:r>
      <w:r>
        <w:rPr>
          <w:rFonts w:ascii="Arial" w:eastAsia="Arial" w:hAnsi="Arial"/>
        </w:rPr>
        <w:t xml:space="preserve">4 </w:t>
      </w:r>
      <w:r>
        <w:rPr>
          <w:spacing w:val="-7"/>
        </w:rPr>
        <w:t xml:space="preserve">月《关于银行业保险业做好 </w:t>
      </w:r>
      <w:r>
        <w:rPr>
          <w:rFonts w:ascii="Arial" w:eastAsia="Arial" w:hAnsi="Arial"/>
        </w:rPr>
        <w:t xml:space="preserve">2023 </w:t>
      </w:r>
      <w:r>
        <w:rPr>
          <w:spacing w:val="-3"/>
        </w:rPr>
        <w:t xml:space="preserve">年全面推进乡村振兴重点工作的通知》出台， </w:t>
      </w:r>
      <w:r>
        <w:rPr>
          <w:spacing w:val="-5"/>
        </w:rPr>
        <w:t>要求保险公司积极推进农业保险扩面增品，因地制宜开展地方优势特色农产品保险，并研发符合农民</w:t>
      </w:r>
      <w:r>
        <w:rPr>
          <w:spacing w:val="-3"/>
        </w:rPr>
        <w:t>需求特点的人身险产品。在涉农保险承保理赔方面，应努力做到愿保尽保、应赔尽赔、快赔早赔。</w:t>
      </w:r>
    </w:p>
    <w:p>
      <w:pPr>
        <w:spacing w:before="152" w:line="266" w:lineRule="auto"/>
        <w:ind w:left="1132" w:right="1096" w:firstLine="441"/>
        <w:jc w:val="both"/>
        <w:rPr>
          <w:sz w:val="22"/>
        </w:rPr>
      </w:pPr>
      <w:r>
        <w:rPr>
          <w:b/>
          <w:sz w:val="22"/>
        </w:rPr>
        <w:t>鼓励长期资金入市方面</w:t>
      </w:r>
      <w:r>
        <w:rPr>
          <w:sz w:val="22"/>
        </w:rPr>
        <w:t>，</w:t>
      </w:r>
      <w:r>
        <w:rPr>
          <w:rFonts w:ascii="Arial" w:eastAsia="Arial" w:hAnsi="Arial"/>
          <w:sz w:val="22"/>
        </w:rPr>
        <w:t xml:space="preserve">2023 </w:t>
      </w:r>
      <w:r>
        <w:rPr>
          <w:spacing w:val="-22"/>
          <w:sz w:val="22"/>
        </w:rPr>
        <w:t xml:space="preserve">年 </w:t>
      </w:r>
      <w:r>
        <w:rPr>
          <w:rFonts w:ascii="Arial" w:eastAsia="Arial" w:hAnsi="Arial"/>
          <w:sz w:val="22"/>
        </w:rPr>
        <w:t xml:space="preserve">9 </w:t>
      </w:r>
      <w:r>
        <w:rPr>
          <w:sz w:val="22"/>
        </w:rPr>
        <w:t>月《关于优化保险公司偿付能力监管标准的通知》出台，除</w:t>
      </w:r>
      <w:r>
        <w:rPr>
          <w:spacing w:val="-6"/>
          <w:sz w:val="22"/>
        </w:rPr>
        <w:t>了要引导保险公司回归保障本源，还明确表明将优化风险因子以此引导保险公司服务实体经济和科技创新，具体来看，</w:t>
      </w:r>
      <w:r>
        <w:rPr>
          <w:b/>
          <w:spacing w:val="-12"/>
          <w:sz w:val="22"/>
        </w:rPr>
        <w:t xml:space="preserve">对于投资沪深 </w:t>
      </w:r>
      <w:r>
        <w:rPr>
          <w:rFonts w:ascii="Arial" w:eastAsia="Arial" w:hAnsi="Arial"/>
          <w:b/>
          <w:sz w:val="22"/>
        </w:rPr>
        <w:t xml:space="preserve">300 </w:t>
      </w:r>
      <w:r>
        <w:rPr>
          <w:b/>
          <w:spacing w:val="-3"/>
          <w:sz w:val="22"/>
        </w:rPr>
        <w:t xml:space="preserve">指数成分股、科创板上市普通股票、公募 </w:t>
      </w:r>
      <w:r>
        <w:rPr>
          <w:rFonts w:ascii="Arial" w:eastAsia="Arial" w:hAnsi="Arial"/>
          <w:b/>
          <w:sz w:val="22"/>
        </w:rPr>
        <w:t xml:space="preserve">REITs </w:t>
      </w:r>
      <w:r>
        <w:rPr>
          <w:b/>
          <w:sz w:val="22"/>
        </w:rPr>
        <w:t xml:space="preserve">的保险公司， </w:t>
      </w:r>
      <w:r>
        <w:rPr>
          <w:b/>
          <w:spacing w:val="-6"/>
          <w:sz w:val="22"/>
        </w:rPr>
        <w:t>风险因子将会有所调低，以此鼓励保险公司将资金更多地用于长期投资，为长期稳定的增量险资入市释放了更大空间</w:t>
      </w:r>
      <w:r>
        <w:rPr>
          <w:spacing w:val="-6"/>
          <w:sz w:val="22"/>
        </w:rPr>
        <w:t>；</w:t>
      </w:r>
      <w:r>
        <w:rPr>
          <w:rFonts w:ascii="Arial" w:eastAsia="Arial" w:hAnsi="Arial"/>
          <w:spacing w:val="-6"/>
          <w:sz w:val="22"/>
        </w:rPr>
        <w:t xml:space="preserve">2023 </w:t>
      </w:r>
      <w:r>
        <w:rPr>
          <w:spacing w:val="-26"/>
          <w:sz w:val="22"/>
        </w:rPr>
        <w:t xml:space="preserve">年 </w:t>
      </w:r>
      <w:r>
        <w:rPr>
          <w:rFonts w:ascii="Arial" w:eastAsia="Arial" w:hAnsi="Arial"/>
          <w:sz w:val="22"/>
        </w:rPr>
        <w:t xml:space="preserve">10 </w:t>
      </w:r>
      <w:r>
        <w:rPr>
          <w:sz w:val="22"/>
        </w:rPr>
        <w:t>月《关于引导保险资金长期稳健投资 加强国有商业保险公司长周期考</w:t>
      </w:r>
      <w:r>
        <w:rPr>
          <w:spacing w:val="-8"/>
          <w:sz w:val="22"/>
        </w:rPr>
        <w:t>核的通知》出台，旨在引导保险公司长期稳健经营，更好发挥中长期资金的市场稳定器和经济发展助</w:t>
      </w:r>
      <w:r>
        <w:rPr>
          <w:spacing w:val="-7"/>
          <w:sz w:val="22"/>
        </w:rPr>
        <w:t>推器作用，其中</w:t>
      </w:r>
      <w:r>
        <w:rPr>
          <w:b/>
          <w:spacing w:val="-5"/>
          <w:sz w:val="22"/>
        </w:rPr>
        <w:t>拉长了保险公司的绩效考核周期，明确将“净资产收益率”的考核方式由“当年”调整为“</w:t>
      </w:r>
      <w:r>
        <w:rPr>
          <w:rFonts w:ascii="Arial" w:eastAsia="Arial" w:hAnsi="Arial"/>
          <w:b/>
          <w:spacing w:val="-5"/>
          <w:sz w:val="22"/>
        </w:rPr>
        <w:t>3</w:t>
      </w:r>
      <w:r>
        <w:rPr>
          <w:rFonts w:ascii="Arial" w:eastAsia="Arial" w:hAnsi="Arial"/>
          <w:b/>
          <w:spacing w:val="51"/>
          <w:sz w:val="22"/>
        </w:rPr>
        <w:t xml:space="preserve"> </w:t>
      </w:r>
      <w:r>
        <w:rPr>
          <w:b/>
          <w:sz w:val="22"/>
        </w:rPr>
        <w:t>年周期</w:t>
      </w:r>
      <w:r>
        <w:rPr>
          <w:rFonts w:ascii="Arial" w:eastAsia="Arial" w:hAnsi="Arial"/>
          <w:b/>
          <w:sz w:val="22"/>
        </w:rPr>
        <w:t>+</w:t>
      </w:r>
      <w:r>
        <w:rPr>
          <w:b/>
          <w:sz w:val="22"/>
        </w:rPr>
        <w:t>当年”，在一定程度上体现出了有将险资导向股权投资的倾向</w:t>
      </w:r>
      <w:r>
        <w:rPr>
          <w:sz w:val="22"/>
        </w:rPr>
        <w:t>；顺应监管曾提及的</w:t>
      </w:r>
      <w:r>
        <w:rPr>
          <w:spacing w:val="-5"/>
          <w:sz w:val="22"/>
        </w:rPr>
        <w:t>“要稳步推进保险资金长期股票投资改革试点”，</w:t>
      </w:r>
      <w:r>
        <w:rPr>
          <w:rFonts w:ascii="Arial" w:eastAsia="Arial" w:hAnsi="Arial"/>
          <w:b/>
          <w:spacing w:val="-10"/>
          <w:sz w:val="22"/>
        </w:rPr>
        <w:t xml:space="preserve">2023 </w:t>
      </w:r>
      <w:r>
        <w:rPr>
          <w:b/>
          <w:spacing w:val="-27"/>
          <w:sz w:val="22"/>
        </w:rPr>
        <w:t xml:space="preserve">年 </w:t>
      </w:r>
      <w:r>
        <w:rPr>
          <w:rFonts w:ascii="Arial" w:eastAsia="Arial" w:hAnsi="Arial"/>
          <w:b/>
          <w:sz w:val="22"/>
        </w:rPr>
        <w:t xml:space="preserve">11 </w:t>
      </w:r>
      <w:r>
        <w:rPr>
          <w:b/>
          <w:spacing w:val="-6"/>
          <w:sz w:val="22"/>
        </w:rPr>
        <w:t>月，险资出资设立的的首只私募证券投资基金——鸿鹄基金正式问世</w:t>
      </w:r>
      <w:r>
        <w:rPr>
          <w:spacing w:val="-11"/>
          <w:sz w:val="22"/>
        </w:rPr>
        <w:t xml:space="preserve">，中国人寿和新华保险将分别出资 </w:t>
      </w:r>
      <w:r>
        <w:rPr>
          <w:rFonts w:ascii="Arial" w:eastAsia="Arial" w:hAnsi="Arial"/>
          <w:sz w:val="22"/>
        </w:rPr>
        <w:t xml:space="preserve">250 </w:t>
      </w:r>
      <w:r>
        <w:rPr>
          <w:spacing w:val="-7"/>
          <w:sz w:val="22"/>
        </w:rPr>
        <w:t>亿元，旨在投资优质上市公司股</w:t>
      </w:r>
      <w:r>
        <w:rPr>
          <w:spacing w:val="-8"/>
          <w:sz w:val="22"/>
        </w:rPr>
        <w:t>票。鸿鹄基金的设立在一定程度上是监管自上而下引导险资发挥在投资领域的领头羊效应的结果，是</w:t>
      </w:r>
      <w:r>
        <w:rPr>
          <w:spacing w:val="-6"/>
          <w:sz w:val="22"/>
        </w:rPr>
        <w:t>险资长期入市试点的良好探索，其后续的运作或都将作为典范，对提升保险资金使用效率、稳定资本</w:t>
      </w:r>
      <w:r>
        <w:rPr>
          <w:spacing w:val="-3"/>
          <w:sz w:val="22"/>
        </w:rPr>
        <w:t>市场有着相当的积极意义。</w:t>
      </w:r>
    </w:p>
    <w:p>
      <w:pPr>
        <w:spacing w:before="145" w:line="266" w:lineRule="auto"/>
        <w:ind w:left="1132" w:right="1005" w:firstLine="441"/>
        <w:jc w:val="left"/>
        <w:rPr>
          <w:sz w:val="22"/>
        </w:rPr>
      </w:pPr>
      <w:r>
        <w:rPr>
          <w:b/>
          <w:sz w:val="22"/>
        </w:rPr>
        <w:t>普惠金融方面，</w:t>
      </w:r>
      <w:r>
        <w:rPr>
          <w:rFonts w:ascii="Arial" w:eastAsia="Arial" w:hAnsi="Arial"/>
          <w:b/>
          <w:sz w:val="22"/>
        </w:rPr>
        <w:t xml:space="preserve">2023 </w:t>
      </w:r>
      <w:r>
        <w:rPr>
          <w:b/>
          <w:spacing w:val="-27"/>
          <w:sz w:val="22"/>
        </w:rPr>
        <w:t xml:space="preserve">年 </w:t>
      </w:r>
      <w:r>
        <w:rPr>
          <w:rFonts w:ascii="Arial" w:eastAsia="Arial" w:hAnsi="Arial"/>
          <w:b/>
          <w:sz w:val="22"/>
        </w:rPr>
        <w:t xml:space="preserve">10 </w:t>
      </w:r>
      <w:r>
        <w:rPr>
          <w:b/>
          <w:sz w:val="22"/>
        </w:rPr>
        <w:t xml:space="preserve">月国务院出台《国务院关于推进普惠金融高质量发展的实施意见》， </w:t>
      </w:r>
      <w:r>
        <w:rPr>
          <w:b/>
          <w:spacing w:val="-3"/>
          <w:sz w:val="22"/>
        </w:rPr>
        <w:t>其中提及要从三个方面完善高质量普惠保险体系，第一，建设农业保险高质量服务体系</w:t>
      </w:r>
      <w:r>
        <w:rPr>
          <w:spacing w:val="-5"/>
          <w:sz w:val="22"/>
        </w:rPr>
        <w:t>，推动农业保险“扩面、增品、提标”</w:t>
      </w:r>
      <w:r>
        <w:rPr>
          <w:b/>
          <w:sz w:val="22"/>
        </w:rPr>
        <w:t>；第二，发挥普惠型人身保险保障民生作用</w:t>
      </w:r>
      <w:r>
        <w:rPr>
          <w:spacing w:val="-2"/>
          <w:sz w:val="22"/>
        </w:rPr>
        <w:t>，积极发展面向老年人、农民、</w:t>
      </w:r>
      <w:r>
        <w:rPr>
          <w:spacing w:val="-3"/>
          <w:sz w:val="22"/>
        </w:rPr>
        <w:t>新市民、低收入人口、残疾人等群体的普惠型人身保险业务；</w:t>
      </w:r>
      <w:r>
        <w:rPr>
          <w:b/>
          <w:sz w:val="22"/>
        </w:rPr>
        <w:t xml:space="preserve">第三，支持保险服务多样化养老需求， </w:t>
      </w:r>
      <w:r>
        <w:rPr>
          <w:spacing w:val="-6"/>
          <w:sz w:val="22"/>
        </w:rPr>
        <w:t>鼓励开发各类能满足消费者长期领取需求的商业养老保险产品，开发各类投保简单、交费灵活、收益</w:t>
      </w:r>
    </w:p>
    <w:p>
      <w:pPr>
        <w:spacing w:after="0" w:line="266" w:lineRule="auto"/>
        <w:jc w:val="left"/>
        <w:rPr>
          <w:sz w:val="22"/>
        </w:rPr>
        <w:sectPr>
          <w:headerReference w:type="default" r:id="rId31"/>
          <w:footerReference w:type="default" r:id="rId32"/>
          <w:pgSz w:w="11910" w:h="16840"/>
          <w:pgMar w:top="1280" w:right="0" w:bottom="1000" w:left="0" w:header="708" w:footer="708"/>
          <w:pgNumType w:start="11"/>
          <w:cols w:space="708"/>
        </w:sectPr>
      </w:pPr>
    </w:p>
    <w:p>
      <w:pPr>
        <w:pStyle w:val="BodyText"/>
        <w:spacing w:before="72" w:line="266" w:lineRule="auto"/>
        <w:ind w:left="1132" w:right="1130"/>
      </w:pPr>
      <w:r>
        <w:rPr>
          <w:spacing w:val="-7"/>
        </w:rPr>
        <w:t>稳健、收益形式多样的商业养老年金保险产品，支持保险公司以适当方式参与养老服务体系建设，探</w:t>
      </w:r>
      <w:r>
        <w:rPr>
          <w:spacing w:val="-3"/>
        </w:rPr>
        <w:t>索实现长期护理、风险保障与机构养老、社区养老等服务有效衔接。</w:t>
      </w:r>
    </w:p>
    <w:p>
      <w:pPr>
        <w:spacing w:before="165" w:after="29"/>
        <w:ind w:left="532" w:right="0" w:firstLine="0"/>
        <w:jc w:val="left"/>
        <w:rPr>
          <w:sz w:val="20"/>
        </w:rPr>
      </w:pPr>
      <w:r>
        <w:rPr>
          <w:sz w:val="20"/>
        </w:rPr>
        <w:t xml:space="preserve">表 </w:t>
      </w:r>
      <w:r>
        <w:rPr>
          <w:rFonts w:ascii="Arial" w:eastAsia="Arial"/>
          <w:sz w:val="20"/>
        </w:rPr>
        <w:t xml:space="preserve">6 2023 </w:t>
      </w:r>
      <w:r>
        <w:rPr>
          <w:sz w:val="20"/>
        </w:rPr>
        <w:t>年</w:t>
      </w:r>
      <w:r>
        <w:rPr>
          <w:sz w:val="18"/>
        </w:rPr>
        <w:t>保险业支持实体经济、保障民生</w:t>
      </w:r>
      <w:r>
        <w:rPr>
          <w:sz w:val="20"/>
        </w:rPr>
        <w:t>的相关政策文件</w:t>
      </w:r>
    </w:p>
    <w:tbl>
      <w:tblPr>
        <w:tblStyle w:val="TableNormal5"/>
        <w:tblW w:w="0" w:type="auto"/>
        <w:jc w:val="left"/>
        <w:tblInd w:w="429"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1046"/>
        <w:gridCol w:w="2500"/>
        <w:gridCol w:w="7511"/>
      </w:tblGrid>
      <w:tr>
        <w:tblPrEx>
          <w:tblW w:w="0" w:type="auto"/>
          <w:jc w:val="left"/>
          <w:tblInd w:w="429"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624"/>
          <w:jc w:val="left"/>
        </w:trPr>
        <w:tc>
          <w:tcPr>
            <w:tcW w:w="1046"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101" w:right="90"/>
              <w:rPr>
                <w:b/>
                <w:sz w:val="20"/>
              </w:rPr>
            </w:pPr>
            <w:r>
              <w:rPr>
                <w:b/>
                <w:sz w:val="20"/>
              </w:rPr>
              <w:t>发布时间</w:t>
            </w:r>
          </w:p>
        </w:tc>
        <w:tc>
          <w:tcPr>
            <w:tcW w:w="2500"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829" w:right="817"/>
              <w:rPr>
                <w:b/>
                <w:sz w:val="20"/>
              </w:rPr>
            </w:pPr>
            <w:r>
              <w:rPr>
                <w:b/>
                <w:sz w:val="20"/>
              </w:rPr>
              <w:t>发布主体</w:t>
            </w:r>
          </w:p>
        </w:tc>
        <w:tc>
          <w:tcPr>
            <w:tcW w:w="7511" w:type="dxa"/>
            <w:tcBorders>
              <w:left w:val="dotted" w:sz="4" w:space="0" w:color="000000"/>
              <w:bottom w:val="single" w:sz="6" w:space="0" w:color="C00000"/>
              <w:right w:val="dotted" w:sz="4" w:space="0" w:color="000000"/>
            </w:tcBorders>
          </w:tcPr>
          <w:p>
            <w:pPr>
              <w:pStyle w:val="TableParagraph"/>
              <w:spacing w:before="5"/>
              <w:jc w:val="left"/>
              <w:rPr>
                <w:sz w:val="14"/>
              </w:rPr>
            </w:pPr>
          </w:p>
          <w:p>
            <w:pPr>
              <w:pStyle w:val="TableParagraph"/>
              <w:spacing w:before="0"/>
              <w:ind w:left="3333" w:right="3324"/>
              <w:rPr>
                <w:b/>
                <w:sz w:val="20"/>
              </w:rPr>
            </w:pPr>
            <w:r>
              <w:rPr>
                <w:b/>
                <w:sz w:val="20"/>
              </w:rPr>
              <w:t>政策文件</w:t>
            </w:r>
          </w:p>
        </w:tc>
      </w:tr>
      <w:tr>
        <w:tblPrEx>
          <w:tblW w:w="0" w:type="auto"/>
          <w:jc w:val="left"/>
          <w:tblInd w:w="429" w:type="dxa"/>
          <w:tblLayout w:type="fixed"/>
          <w:tblCellMar>
            <w:top w:w="0" w:type="dxa"/>
            <w:left w:w="0" w:type="dxa"/>
            <w:bottom w:w="0" w:type="dxa"/>
            <w:right w:w="0" w:type="dxa"/>
          </w:tblCellMar>
          <w:tblLook w:val="01E0"/>
        </w:tblPrEx>
        <w:trPr>
          <w:trHeight w:val="312"/>
          <w:jc w:val="left"/>
        </w:trPr>
        <w:tc>
          <w:tcPr>
            <w:tcW w:w="1046" w:type="dxa"/>
            <w:tcBorders>
              <w:top w:val="single" w:sz="6" w:space="0" w:color="C00000"/>
              <w:left w:val="dotted" w:sz="2" w:space="0" w:color="000000"/>
              <w:bottom w:val="dotted" w:sz="2" w:space="0" w:color="000000"/>
              <w:right w:val="dotted" w:sz="2" w:space="0" w:color="000000"/>
            </w:tcBorders>
            <w:shd w:val="clear" w:color="auto" w:fill="F0F0F0"/>
          </w:tcPr>
          <w:p>
            <w:pPr>
              <w:pStyle w:val="TableParagraph"/>
              <w:spacing w:before="40"/>
              <w:ind w:left="142" w:right="135"/>
              <w:rPr>
                <w:rFonts w:ascii="Arial"/>
                <w:sz w:val="20"/>
              </w:rPr>
            </w:pPr>
            <w:r>
              <w:rPr>
                <w:rFonts w:ascii="Arial"/>
                <w:sz w:val="20"/>
              </w:rPr>
              <w:t>2023.03</w:t>
            </w:r>
          </w:p>
        </w:tc>
        <w:tc>
          <w:tcPr>
            <w:tcW w:w="2500" w:type="dxa"/>
            <w:tcBorders>
              <w:top w:val="single" w:sz="6" w:space="0" w:color="C00000"/>
              <w:left w:val="dotted" w:sz="2" w:space="0" w:color="000000"/>
              <w:bottom w:val="dotted" w:sz="2" w:space="0" w:color="000000"/>
              <w:right w:val="dotted" w:sz="2" w:space="0" w:color="000000"/>
            </w:tcBorders>
            <w:shd w:val="clear" w:color="auto" w:fill="F0F0F0"/>
          </w:tcPr>
          <w:p>
            <w:pPr>
              <w:pStyle w:val="TableParagraph"/>
              <w:spacing w:before="28"/>
              <w:ind w:left="131" w:right="124"/>
              <w:rPr>
                <w:sz w:val="20"/>
              </w:rPr>
            </w:pPr>
            <w:r>
              <w:rPr>
                <w:sz w:val="20"/>
              </w:rPr>
              <w:t>证监会</w:t>
            </w:r>
          </w:p>
        </w:tc>
        <w:tc>
          <w:tcPr>
            <w:tcW w:w="7511" w:type="dxa"/>
            <w:tcBorders>
              <w:top w:val="single" w:sz="6" w:space="0" w:color="C00000"/>
              <w:left w:val="dotted" w:sz="2" w:space="0" w:color="000000"/>
              <w:bottom w:val="dotted" w:sz="2" w:space="0" w:color="000000"/>
              <w:right w:val="dotted" w:sz="2" w:space="0" w:color="000000"/>
            </w:tcBorders>
            <w:shd w:val="clear" w:color="auto" w:fill="F0F0F0"/>
          </w:tcPr>
          <w:p>
            <w:pPr>
              <w:pStyle w:val="TableParagraph"/>
              <w:spacing w:before="28"/>
              <w:ind w:left="104" w:right="95"/>
              <w:rPr>
                <w:sz w:val="20"/>
              </w:rPr>
            </w:pPr>
            <w:r>
              <w:rPr>
                <w:sz w:val="20"/>
              </w:rPr>
              <w:t>《保险资产管理公司开展资产证券化业务指引》</w:t>
            </w:r>
          </w:p>
        </w:tc>
      </w:tr>
      <w:tr>
        <w:tblPrEx>
          <w:tblW w:w="0" w:type="auto"/>
          <w:jc w:val="left"/>
          <w:tblInd w:w="429" w:type="dxa"/>
          <w:tblLayout w:type="fixed"/>
          <w:tblCellMar>
            <w:top w:w="0" w:type="dxa"/>
            <w:left w:w="0" w:type="dxa"/>
            <w:bottom w:w="0" w:type="dxa"/>
            <w:right w:w="0" w:type="dxa"/>
          </w:tblCellMar>
          <w:tblLook w:val="01E0"/>
        </w:tblPrEx>
        <w:trPr>
          <w:trHeight w:val="623"/>
          <w:jc w:val="left"/>
        </w:trPr>
        <w:tc>
          <w:tcPr>
            <w:tcW w:w="1046" w:type="dxa"/>
            <w:tcBorders>
              <w:top w:val="dotted" w:sz="2" w:space="0" w:color="000000"/>
              <w:left w:val="dotted" w:sz="2" w:space="0" w:color="000000"/>
              <w:bottom w:val="dotted" w:sz="2" w:space="0" w:color="000000"/>
              <w:right w:val="dotted" w:sz="2" w:space="0" w:color="000000"/>
            </w:tcBorders>
          </w:tcPr>
          <w:p>
            <w:pPr>
              <w:pStyle w:val="TableParagraph"/>
              <w:spacing w:before="6"/>
              <w:jc w:val="left"/>
              <w:rPr>
                <w:sz w:val="15"/>
              </w:rPr>
            </w:pPr>
          </w:p>
          <w:p>
            <w:pPr>
              <w:pStyle w:val="TableParagraph"/>
              <w:spacing w:before="0"/>
              <w:ind w:left="142" w:right="135"/>
              <w:rPr>
                <w:rFonts w:ascii="Arial"/>
                <w:sz w:val="20"/>
              </w:rPr>
            </w:pPr>
            <w:r>
              <w:rPr>
                <w:rFonts w:ascii="Arial"/>
                <w:sz w:val="20"/>
              </w:rPr>
              <w:t>2023.03</w:t>
            </w:r>
          </w:p>
        </w:tc>
        <w:tc>
          <w:tcPr>
            <w:tcW w:w="2500" w:type="dxa"/>
            <w:tcBorders>
              <w:top w:val="dotted" w:sz="2" w:space="0" w:color="000000"/>
              <w:left w:val="dotted" w:sz="2" w:space="0" w:color="000000"/>
              <w:bottom w:val="dotted" w:sz="2" w:space="0" w:color="000000"/>
              <w:right w:val="dotted" w:sz="2" w:space="0" w:color="000000"/>
            </w:tcBorders>
          </w:tcPr>
          <w:p>
            <w:pPr>
              <w:pStyle w:val="TableParagraph"/>
              <w:spacing w:before="4"/>
              <w:jc w:val="left"/>
              <w:rPr>
                <w:sz w:val="14"/>
              </w:rPr>
            </w:pPr>
          </w:p>
          <w:p>
            <w:pPr>
              <w:pStyle w:val="TableParagraph"/>
              <w:spacing w:before="0"/>
              <w:ind w:left="131" w:right="124"/>
              <w:rPr>
                <w:sz w:val="20"/>
              </w:rPr>
            </w:pPr>
            <w:r>
              <w:rPr>
                <w:sz w:val="20"/>
              </w:rPr>
              <w:t>上交所</w:t>
            </w:r>
          </w:p>
        </w:tc>
        <w:tc>
          <w:tcPr>
            <w:tcW w:w="7511" w:type="dxa"/>
            <w:tcBorders>
              <w:top w:val="dotted" w:sz="2" w:space="0" w:color="000000"/>
              <w:left w:val="dotted" w:sz="2" w:space="0" w:color="000000"/>
              <w:bottom w:val="dotted" w:sz="2" w:space="0" w:color="000000"/>
              <w:right w:val="dotted" w:sz="2" w:space="0" w:color="000000"/>
            </w:tcBorders>
          </w:tcPr>
          <w:p>
            <w:pPr>
              <w:pStyle w:val="TableParagraph"/>
              <w:spacing w:before="27"/>
              <w:ind w:left="104" w:right="95"/>
              <w:rPr>
                <w:sz w:val="20"/>
              </w:rPr>
            </w:pPr>
            <w:r>
              <w:rPr>
                <w:sz w:val="20"/>
              </w:rPr>
              <w:t xml:space="preserve">《上海证券交易所资产支持证券挂牌条件确认规则适用指引第 </w:t>
            </w:r>
            <w:r>
              <w:rPr>
                <w:rFonts w:ascii="Arial" w:eastAsia="Arial" w:hAnsi="Arial"/>
                <w:sz w:val="20"/>
              </w:rPr>
              <w:t xml:space="preserve">5 </w:t>
            </w:r>
            <w:r>
              <w:rPr>
                <w:sz w:val="20"/>
              </w:rPr>
              <w:t>号——保险资产管</w:t>
            </w:r>
          </w:p>
          <w:p>
            <w:pPr>
              <w:pStyle w:val="TableParagraph"/>
              <w:spacing w:before="56"/>
              <w:ind w:left="104" w:right="95"/>
              <w:rPr>
                <w:sz w:val="20"/>
              </w:rPr>
            </w:pPr>
            <w:r>
              <w:rPr>
                <w:sz w:val="20"/>
              </w:rPr>
              <w:t>理公司开展资产证券化业务相关要求（试行）》</w:t>
            </w:r>
          </w:p>
        </w:tc>
      </w:tr>
      <w:tr>
        <w:tblPrEx>
          <w:tblW w:w="0" w:type="auto"/>
          <w:jc w:val="left"/>
          <w:tblInd w:w="429" w:type="dxa"/>
          <w:tblLayout w:type="fixed"/>
          <w:tblCellMar>
            <w:top w:w="0" w:type="dxa"/>
            <w:left w:w="0" w:type="dxa"/>
            <w:bottom w:w="0" w:type="dxa"/>
            <w:right w:w="0" w:type="dxa"/>
          </w:tblCellMar>
          <w:tblLook w:val="01E0"/>
        </w:tblPrEx>
        <w:trPr>
          <w:trHeight w:val="624"/>
          <w:jc w:val="left"/>
        </w:trPr>
        <w:tc>
          <w:tcPr>
            <w:tcW w:w="1046"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6"/>
              <w:jc w:val="left"/>
              <w:rPr>
                <w:sz w:val="15"/>
              </w:rPr>
            </w:pPr>
          </w:p>
          <w:p>
            <w:pPr>
              <w:pStyle w:val="TableParagraph"/>
              <w:spacing w:before="0"/>
              <w:ind w:left="142" w:right="135"/>
              <w:rPr>
                <w:rFonts w:ascii="Arial"/>
                <w:sz w:val="20"/>
              </w:rPr>
            </w:pPr>
            <w:r>
              <w:rPr>
                <w:rFonts w:ascii="Arial"/>
                <w:sz w:val="20"/>
              </w:rPr>
              <w:t>2023.03</w:t>
            </w:r>
          </w:p>
        </w:tc>
        <w:tc>
          <w:tcPr>
            <w:tcW w:w="2500"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4"/>
              <w:jc w:val="left"/>
              <w:rPr>
                <w:sz w:val="14"/>
              </w:rPr>
            </w:pPr>
          </w:p>
          <w:p>
            <w:pPr>
              <w:pStyle w:val="TableParagraph"/>
              <w:spacing w:before="0"/>
              <w:ind w:left="131" w:right="124"/>
              <w:rPr>
                <w:sz w:val="20"/>
              </w:rPr>
            </w:pPr>
            <w:r>
              <w:rPr>
                <w:sz w:val="20"/>
              </w:rPr>
              <w:t>深交所</w:t>
            </w:r>
          </w:p>
        </w:tc>
        <w:tc>
          <w:tcPr>
            <w:tcW w:w="7511"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7"/>
              <w:ind w:left="104" w:right="95"/>
              <w:rPr>
                <w:sz w:val="20"/>
              </w:rPr>
            </w:pPr>
            <w:r>
              <w:rPr>
                <w:sz w:val="20"/>
              </w:rPr>
              <w:t xml:space="preserve">《深圳证券交易所资产支持证券挂牌条件确认业务指引第 </w:t>
            </w:r>
            <w:r>
              <w:rPr>
                <w:rFonts w:ascii="Arial" w:eastAsia="Arial" w:hAnsi="Arial"/>
                <w:sz w:val="20"/>
              </w:rPr>
              <w:t xml:space="preserve">4 </w:t>
            </w:r>
            <w:r>
              <w:rPr>
                <w:sz w:val="20"/>
              </w:rPr>
              <w:t>号——保险资产管理公</w:t>
            </w:r>
          </w:p>
          <w:p>
            <w:pPr>
              <w:pStyle w:val="TableParagraph"/>
              <w:spacing w:before="56"/>
              <w:ind w:left="102" w:right="95"/>
              <w:rPr>
                <w:sz w:val="20"/>
              </w:rPr>
            </w:pPr>
            <w:r>
              <w:rPr>
                <w:sz w:val="20"/>
              </w:rPr>
              <w:t>司开展资产证券化业务相关要求（试行）》</w:t>
            </w:r>
          </w:p>
        </w:tc>
      </w:tr>
      <w:tr>
        <w:tblPrEx>
          <w:tblW w:w="0" w:type="auto"/>
          <w:jc w:val="left"/>
          <w:tblInd w:w="429" w:type="dxa"/>
          <w:tblLayout w:type="fixed"/>
          <w:tblCellMar>
            <w:top w:w="0" w:type="dxa"/>
            <w:left w:w="0" w:type="dxa"/>
            <w:bottom w:w="0" w:type="dxa"/>
            <w:right w:w="0" w:type="dxa"/>
          </w:tblCellMar>
          <w:tblLook w:val="01E0"/>
        </w:tblPrEx>
        <w:trPr>
          <w:trHeight w:val="312"/>
          <w:jc w:val="left"/>
        </w:trPr>
        <w:tc>
          <w:tcPr>
            <w:tcW w:w="1046" w:type="dxa"/>
            <w:tcBorders>
              <w:top w:val="dotted" w:sz="2" w:space="0" w:color="000000"/>
              <w:left w:val="dotted" w:sz="2" w:space="0" w:color="000000"/>
              <w:bottom w:val="dotted" w:sz="2" w:space="0" w:color="000000"/>
              <w:right w:val="dotted" w:sz="2" w:space="0" w:color="000000"/>
            </w:tcBorders>
          </w:tcPr>
          <w:p>
            <w:pPr>
              <w:pStyle w:val="TableParagraph"/>
              <w:spacing w:before="42"/>
              <w:ind w:left="142" w:right="135"/>
              <w:rPr>
                <w:rFonts w:ascii="Arial"/>
                <w:sz w:val="20"/>
              </w:rPr>
            </w:pPr>
            <w:r>
              <w:rPr>
                <w:rFonts w:ascii="Arial"/>
                <w:sz w:val="20"/>
              </w:rPr>
              <w:t>2023.04</w:t>
            </w:r>
          </w:p>
        </w:tc>
        <w:tc>
          <w:tcPr>
            <w:tcW w:w="2500" w:type="dxa"/>
            <w:tcBorders>
              <w:top w:val="dotted" w:sz="2" w:space="0" w:color="000000"/>
              <w:left w:val="dotted" w:sz="2" w:space="0" w:color="000000"/>
              <w:bottom w:val="dotted" w:sz="2" w:space="0" w:color="000000"/>
              <w:right w:val="dotted" w:sz="2" w:space="0" w:color="000000"/>
            </w:tcBorders>
          </w:tcPr>
          <w:p>
            <w:pPr>
              <w:pStyle w:val="TableParagraph"/>
              <w:spacing w:before="27"/>
              <w:ind w:left="131" w:right="124"/>
              <w:rPr>
                <w:sz w:val="20"/>
              </w:rPr>
            </w:pPr>
            <w:r>
              <w:rPr>
                <w:sz w:val="20"/>
              </w:rPr>
              <w:t>原银保监会</w:t>
            </w:r>
          </w:p>
        </w:tc>
        <w:tc>
          <w:tcPr>
            <w:tcW w:w="7511" w:type="dxa"/>
            <w:tcBorders>
              <w:top w:val="dotted" w:sz="2" w:space="0" w:color="000000"/>
              <w:left w:val="dotted" w:sz="2" w:space="0" w:color="000000"/>
              <w:bottom w:val="dotted" w:sz="2" w:space="0" w:color="000000"/>
              <w:right w:val="dotted" w:sz="2" w:space="0" w:color="000000"/>
            </w:tcBorders>
          </w:tcPr>
          <w:p>
            <w:pPr>
              <w:pStyle w:val="TableParagraph"/>
              <w:spacing w:before="27"/>
              <w:ind w:left="102" w:right="95"/>
              <w:rPr>
                <w:sz w:val="20"/>
              </w:rPr>
            </w:pPr>
            <w:r>
              <w:rPr>
                <w:sz w:val="20"/>
              </w:rPr>
              <w:t xml:space="preserve">《关于银行业保险业做好 </w:t>
            </w:r>
            <w:r>
              <w:rPr>
                <w:rFonts w:ascii="Arial" w:eastAsia="Arial"/>
                <w:sz w:val="20"/>
              </w:rPr>
              <w:t xml:space="preserve">2023 </w:t>
            </w:r>
            <w:r>
              <w:rPr>
                <w:sz w:val="20"/>
              </w:rPr>
              <w:t>年全面推进乡村振兴重点工作的通知》</w:t>
            </w:r>
          </w:p>
        </w:tc>
      </w:tr>
      <w:tr>
        <w:tblPrEx>
          <w:tblW w:w="0" w:type="auto"/>
          <w:jc w:val="left"/>
          <w:tblInd w:w="429" w:type="dxa"/>
          <w:tblLayout w:type="fixed"/>
          <w:tblCellMar>
            <w:top w:w="0" w:type="dxa"/>
            <w:left w:w="0" w:type="dxa"/>
            <w:bottom w:w="0" w:type="dxa"/>
            <w:right w:w="0" w:type="dxa"/>
          </w:tblCellMar>
          <w:tblLook w:val="01E0"/>
        </w:tblPrEx>
        <w:trPr>
          <w:trHeight w:val="311"/>
          <w:jc w:val="left"/>
        </w:trPr>
        <w:tc>
          <w:tcPr>
            <w:tcW w:w="1046"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42"/>
              <w:ind w:left="142" w:right="135"/>
              <w:rPr>
                <w:rFonts w:ascii="Arial"/>
                <w:sz w:val="20"/>
              </w:rPr>
            </w:pPr>
            <w:r>
              <w:rPr>
                <w:rFonts w:ascii="Arial"/>
                <w:sz w:val="20"/>
              </w:rPr>
              <w:t>2023.06</w:t>
            </w:r>
          </w:p>
        </w:tc>
        <w:tc>
          <w:tcPr>
            <w:tcW w:w="2500"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7"/>
              <w:ind w:left="131" w:right="124"/>
              <w:rPr>
                <w:sz w:val="20"/>
              </w:rPr>
            </w:pPr>
            <w:r>
              <w:rPr>
                <w:sz w:val="20"/>
              </w:rPr>
              <w:t>国家金融监督管理总局等</w:t>
            </w:r>
          </w:p>
        </w:tc>
        <w:tc>
          <w:tcPr>
            <w:tcW w:w="7511"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7"/>
              <w:ind w:left="102" w:right="95"/>
              <w:rPr>
                <w:sz w:val="20"/>
              </w:rPr>
            </w:pPr>
            <w:r>
              <w:rPr>
                <w:sz w:val="20"/>
              </w:rPr>
              <w:t>《关于金融支持全面推进乡村振兴 加快建设农业强国的指导意见》</w:t>
            </w:r>
          </w:p>
        </w:tc>
      </w:tr>
      <w:tr>
        <w:tblPrEx>
          <w:tblW w:w="0" w:type="auto"/>
          <w:jc w:val="left"/>
          <w:tblInd w:w="429" w:type="dxa"/>
          <w:tblLayout w:type="fixed"/>
          <w:tblCellMar>
            <w:top w:w="0" w:type="dxa"/>
            <w:left w:w="0" w:type="dxa"/>
            <w:bottom w:w="0" w:type="dxa"/>
            <w:right w:w="0" w:type="dxa"/>
          </w:tblCellMar>
          <w:tblLook w:val="01E0"/>
        </w:tblPrEx>
        <w:trPr>
          <w:trHeight w:val="312"/>
          <w:jc w:val="left"/>
        </w:trPr>
        <w:tc>
          <w:tcPr>
            <w:tcW w:w="1046" w:type="dxa"/>
            <w:tcBorders>
              <w:top w:val="dotted" w:sz="2" w:space="0" w:color="000000"/>
              <w:left w:val="dotted" w:sz="2" w:space="0" w:color="000000"/>
              <w:bottom w:val="dotted" w:sz="2" w:space="0" w:color="000000"/>
              <w:right w:val="dotted" w:sz="2" w:space="0" w:color="000000"/>
            </w:tcBorders>
          </w:tcPr>
          <w:p>
            <w:pPr>
              <w:pStyle w:val="TableParagraph"/>
              <w:ind w:left="142" w:right="135"/>
              <w:rPr>
                <w:rFonts w:ascii="Arial"/>
                <w:sz w:val="20"/>
              </w:rPr>
            </w:pPr>
            <w:r>
              <w:rPr>
                <w:rFonts w:ascii="Arial"/>
                <w:sz w:val="20"/>
              </w:rPr>
              <w:t>2023.09</w:t>
            </w:r>
          </w:p>
        </w:tc>
        <w:tc>
          <w:tcPr>
            <w:tcW w:w="2500" w:type="dxa"/>
            <w:tcBorders>
              <w:top w:val="dotted" w:sz="2" w:space="0" w:color="000000"/>
              <w:left w:val="dotted" w:sz="2" w:space="0" w:color="000000"/>
              <w:bottom w:val="dotted" w:sz="2" w:space="0" w:color="000000"/>
              <w:right w:val="dotted" w:sz="2" w:space="0" w:color="000000"/>
            </w:tcBorders>
          </w:tcPr>
          <w:p>
            <w:pPr>
              <w:pStyle w:val="TableParagraph"/>
              <w:spacing w:before="27"/>
              <w:ind w:left="131" w:right="121"/>
              <w:rPr>
                <w:sz w:val="20"/>
              </w:rPr>
            </w:pPr>
            <w:r>
              <w:rPr>
                <w:sz w:val="20"/>
              </w:rPr>
              <w:t>国家金融监督管理总局</w:t>
            </w:r>
          </w:p>
        </w:tc>
        <w:tc>
          <w:tcPr>
            <w:tcW w:w="7511" w:type="dxa"/>
            <w:tcBorders>
              <w:top w:val="dotted" w:sz="2" w:space="0" w:color="000000"/>
              <w:left w:val="dotted" w:sz="2" w:space="0" w:color="000000"/>
              <w:bottom w:val="dotted" w:sz="2" w:space="0" w:color="000000"/>
              <w:right w:val="dotted" w:sz="2" w:space="0" w:color="000000"/>
            </w:tcBorders>
          </w:tcPr>
          <w:p>
            <w:pPr>
              <w:pStyle w:val="TableParagraph"/>
              <w:spacing w:before="27"/>
              <w:ind w:left="104" w:right="95"/>
              <w:rPr>
                <w:sz w:val="20"/>
              </w:rPr>
            </w:pPr>
            <w:r>
              <w:rPr>
                <w:sz w:val="20"/>
              </w:rPr>
              <w:t>《关于优化保险公司偿付能力监管标准的通知》</w:t>
            </w:r>
          </w:p>
        </w:tc>
      </w:tr>
      <w:tr>
        <w:tblPrEx>
          <w:tblW w:w="0" w:type="auto"/>
          <w:jc w:val="left"/>
          <w:tblInd w:w="429" w:type="dxa"/>
          <w:tblLayout w:type="fixed"/>
          <w:tblCellMar>
            <w:top w:w="0" w:type="dxa"/>
            <w:left w:w="0" w:type="dxa"/>
            <w:bottom w:w="0" w:type="dxa"/>
            <w:right w:w="0" w:type="dxa"/>
          </w:tblCellMar>
          <w:tblLook w:val="01E0"/>
        </w:tblPrEx>
        <w:trPr>
          <w:trHeight w:val="312"/>
          <w:jc w:val="left"/>
        </w:trPr>
        <w:tc>
          <w:tcPr>
            <w:tcW w:w="1046"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ind w:left="142" w:right="135"/>
              <w:rPr>
                <w:rFonts w:ascii="Arial"/>
                <w:sz w:val="20"/>
              </w:rPr>
            </w:pPr>
            <w:r>
              <w:rPr>
                <w:rFonts w:ascii="Arial"/>
                <w:sz w:val="20"/>
              </w:rPr>
              <w:t>2023.10</w:t>
            </w:r>
          </w:p>
        </w:tc>
        <w:tc>
          <w:tcPr>
            <w:tcW w:w="2500"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29"/>
              <w:ind w:left="131" w:right="124"/>
              <w:rPr>
                <w:sz w:val="20"/>
              </w:rPr>
            </w:pPr>
            <w:r>
              <w:rPr>
                <w:sz w:val="20"/>
              </w:rPr>
              <w:t>财政部</w:t>
            </w:r>
          </w:p>
        </w:tc>
        <w:tc>
          <w:tcPr>
            <w:tcW w:w="7511" w:type="dxa"/>
            <w:tcBorders>
              <w:top w:val="dotted" w:sz="2" w:space="0" w:color="000000"/>
              <w:left w:val="dotted" w:sz="2" w:space="0" w:color="000000"/>
              <w:bottom w:val="dotted" w:sz="2" w:space="0" w:color="000000"/>
              <w:right w:val="dotted" w:sz="2" w:space="0" w:color="000000"/>
            </w:tcBorders>
            <w:shd w:val="clear" w:color="auto" w:fill="F0F0F0"/>
          </w:tcPr>
          <w:p>
            <w:pPr>
              <w:pStyle w:val="TableParagraph"/>
              <w:spacing w:before="42"/>
              <w:ind w:left="102" w:right="95"/>
              <w:rPr>
                <w:sz w:val="18"/>
              </w:rPr>
            </w:pPr>
            <w:r>
              <w:rPr>
                <w:sz w:val="18"/>
              </w:rPr>
              <w:t>《关于引导保险资金长期稳健投资 加强国有商业保险公司长周期考核的通知》</w:t>
            </w:r>
          </w:p>
        </w:tc>
      </w:tr>
      <w:tr>
        <w:tblPrEx>
          <w:tblW w:w="0" w:type="auto"/>
          <w:jc w:val="left"/>
          <w:tblInd w:w="429" w:type="dxa"/>
          <w:tblLayout w:type="fixed"/>
          <w:tblCellMar>
            <w:top w:w="0" w:type="dxa"/>
            <w:left w:w="0" w:type="dxa"/>
            <w:bottom w:w="0" w:type="dxa"/>
            <w:right w:w="0" w:type="dxa"/>
          </w:tblCellMar>
          <w:tblLook w:val="01E0"/>
        </w:tblPrEx>
        <w:trPr>
          <w:trHeight w:val="311"/>
          <w:jc w:val="left"/>
        </w:trPr>
        <w:tc>
          <w:tcPr>
            <w:tcW w:w="1046" w:type="dxa"/>
            <w:tcBorders>
              <w:top w:val="dotted" w:sz="2" w:space="0" w:color="000000"/>
              <w:left w:val="dotted" w:sz="2" w:space="0" w:color="000000"/>
              <w:right w:val="dotted" w:sz="2" w:space="0" w:color="000000"/>
            </w:tcBorders>
          </w:tcPr>
          <w:p>
            <w:pPr>
              <w:pStyle w:val="TableParagraph"/>
              <w:ind w:left="142" w:right="135"/>
              <w:rPr>
                <w:rFonts w:ascii="Arial"/>
                <w:sz w:val="20"/>
              </w:rPr>
            </w:pPr>
            <w:r>
              <w:rPr>
                <w:rFonts w:ascii="Arial"/>
                <w:sz w:val="20"/>
              </w:rPr>
              <w:t>2023.10</w:t>
            </w:r>
          </w:p>
        </w:tc>
        <w:tc>
          <w:tcPr>
            <w:tcW w:w="2500" w:type="dxa"/>
            <w:tcBorders>
              <w:top w:val="dotted" w:sz="2" w:space="0" w:color="000000"/>
              <w:left w:val="dotted" w:sz="2" w:space="0" w:color="000000"/>
              <w:right w:val="dotted" w:sz="2" w:space="0" w:color="000000"/>
            </w:tcBorders>
          </w:tcPr>
          <w:p>
            <w:pPr>
              <w:pStyle w:val="TableParagraph"/>
              <w:spacing w:before="29"/>
              <w:ind w:left="131" w:right="124"/>
              <w:rPr>
                <w:sz w:val="20"/>
              </w:rPr>
            </w:pPr>
            <w:r>
              <w:rPr>
                <w:sz w:val="20"/>
              </w:rPr>
              <w:t>国务院</w:t>
            </w:r>
          </w:p>
        </w:tc>
        <w:tc>
          <w:tcPr>
            <w:tcW w:w="7511" w:type="dxa"/>
            <w:tcBorders>
              <w:top w:val="dotted" w:sz="2" w:space="0" w:color="000000"/>
              <w:left w:val="dotted" w:sz="2" w:space="0" w:color="000000"/>
              <w:right w:val="dotted" w:sz="2" w:space="0" w:color="000000"/>
            </w:tcBorders>
          </w:tcPr>
          <w:p>
            <w:pPr>
              <w:pStyle w:val="TableParagraph"/>
              <w:spacing w:before="29"/>
              <w:ind w:left="99" w:right="95"/>
              <w:rPr>
                <w:sz w:val="20"/>
              </w:rPr>
            </w:pPr>
            <w:r>
              <w:rPr>
                <w:sz w:val="20"/>
              </w:rPr>
              <w:t>《国务院关于推进普惠金融高质量发展的实施意见》</w:t>
            </w:r>
          </w:p>
        </w:tc>
      </w:tr>
    </w:tbl>
    <w:p>
      <w:pPr>
        <w:spacing w:before="41"/>
        <w:ind w:left="532" w:right="0" w:firstLine="0"/>
        <w:jc w:val="left"/>
        <w:rPr>
          <w:sz w:val="18"/>
        </w:rPr>
      </w:pPr>
      <w:r>
        <w:t xml:space="preserve">资料来源：国家金融监督管理总局，财政部，国务院，证监会，上交所，深交所， </w:t>
      </w:r>
    </w:p>
    <w:p>
      <w:pPr>
        <w:pStyle w:val="BodyText"/>
        <w:rPr>
          <w:sz w:val="20"/>
        </w:rPr>
      </w:pPr>
    </w:p>
    <w:p>
      <w:pPr>
        <w:pStyle w:val="BodyText"/>
        <w:spacing w:before="6"/>
        <w:rPr>
          <w:sz w:val="23"/>
        </w:rPr>
      </w:pPr>
    </w:p>
    <w:p>
      <w:pPr>
        <w:pStyle w:val="Heading1"/>
        <w:spacing w:before="72"/>
      </w:pPr>
      <w:bookmarkStart w:id="9" w:name="_TOC_250003"/>
      <w:r>
        <w:rPr>
          <w:rFonts w:ascii="Arial" w:eastAsia="Arial"/>
        </w:rPr>
        <w:t xml:space="preserve">3.2023 </w:t>
      </w:r>
      <w:bookmarkEnd w:id="9"/>
      <w:r>
        <w:t>年保险资产管理行业发展</w:t>
      </w:r>
    </w:p>
    <w:p>
      <w:pPr>
        <w:pStyle w:val="BodyText"/>
        <w:spacing w:before="291" w:line="266" w:lineRule="auto"/>
        <w:ind w:left="1132" w:right="1130" w:firstLine="441"/>
        <w:jc w:val="both"/>
      </w:pPr>
      <w:r>
        <w:rPr>
          <w:spacing w:val="-5"/>
        </w:rPr>
        <w:t>保险资产管理公司主要从事的两大业务板块：投行业务板块和资产管理业务板块，前者包括了债</w:t>
      </w:r>
      <w:r>
        <w:rPr>
          <w:spacing w:val="-7"/>
        </w:rPr>
        <w:t>权投资计划、股权投资计划、资产支持计划和保险私募基金，后者包括了保险资产管理计划、企业年</w:t>
      </w:r>
      <w:r>
        <w:rPr>
          <w:spacing w:val="-3"/>
        </w:rPr>
        <w:t>金业务、养老保障、公募业务、第三方资产管理业务和投连险管理。</w:t>
      </w:r>
    </w:p>
    <w:p>
      <w:pPr>
        <w:spacing w:before="179" w:after="41"/>
        <w:ind w:left="2704" w:right="0" w:firstLine="0"/>
        <w:jc w:val="left"/>
        <w:rPr>
          <w:sz w:val="18"/>
        </w:rPr>
      </w:pPr>
      <w:r>
        <w:rPr>
          <w:sz w:val="18"/>
        </w:rPr>
        <w:t xml:space="preserve">表 </w:t>
      </w:r>
      <w:r>
        <w:rPr>
          <w:rFonts w:ascii="Arial" w:eastAsia="Arial" w:hAnsi="Arial"/>
          <w:sz w:val="18"/>
        </w:rPr>
        <w:t>7  </w:t>
      </w:r>
      <w:r>
        <w:rPr>
          <w:sz w:val="18"/>
        </w:rPr>
        <w:t>保险资产管理公司主要业务一览</w:t>
      </w:r>
    </w:p>
    <w:tbl>
      <w:tblPr>
        <w:tblStyle w:val="TableNormal5"/>
        <w:tblW w:w="0" w:type="auto"/>
        <w:jc w:val="left"/>
        <w:tblInd w:w="2602"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1940"/>
        <w:gridCol w:w="4773"/>
      </w:tblGrid>
      <w:tr>
        <w:tblPrEx>
          <w:tblW w:w="0" w:type="auto"/>
          <w:jc w:val="left"/>
          <w:tblInd w:w="2602"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461"/>
          <w:jc w:val="left"/>
        </w:trPr>
        <w:tc>
          <w:tcPr>
            <w:tcW w:w="1940" w:type="dxa"/>
            <w:tcBorders>
              <w:left w:val="dotted" w:sz="4" w:space="0" w:color="000000"/>
              <w:bottom w:val="single" w:sz="6" w:space="0" w:color="BD0000"/>
              <w:right w:val="dotted" w:sz="4" w:space="0" w:color="000000"/>
            </w:tcBorders>
          </w:tcPr>
          <w:p>
            <w:pPr>
              <w:pStyle w:val="TableParagraph"/>
              <w:spacing w:before="101"/>
              <w:ind w:left="570"/>
              <w:jc w:val="left"/>
              <w:rPr>
                <w:b/>
                <w:sz w:val="20"/>
              </w:rPr>
            </w:pPr>
            <w:r>
              <w:rPr>
                <w:b/>
                <w:sz w:val="20"/>
              </w:rPr>
              <w:t>业务类型</w:t>
            </w:r>
          </w:p>
        </w:tc>
        <w:tc>
          <w:tcPr>
            <w:tcW w:w="4773" w:type="dxa"/>
            <w:tcBorders>
              <w:left w:val="dotted" w:sz="4" w:space="0" w:color="000000"/>
              <w:bottom w:val="single" w:sz="6" w:space="0" w:color="BD0000"/>
              <w:right w:val="dotted" w:sz="4" w:space="0" w:color="000000"/>
            </w:tcBorders>
          </w:tcPr>
          <w:p>
            <w:pPr>
              <w:pStyle w:val="TableParagraph"/>
              <w:spacing w:before="101"/>
              <w:ind w:left="1466" w:right="1456"/>
              <w:rPr>
                <w:b/>
                <w:sz w:val="20"/>
              </w:rPr>
            </w:pPr>
            <w:r>
              <w:rPr>
                <w:b/>
                <w:sz w:val="20"/>
              </w:rPr>
              <w:t>具体内容</w:t>
            </w:r>
          </w:p>
        </w:tc>
      </w:tr>
      <w:tr>
        <w:tblPrEx>
          <w:tblW w:w="0" w:type="auto"/>
          <w:jc w:val="left"/>
          <w:tblInd w:w="2602" w:type="dxa"/>
          <w:tblLayout w:type="fixed"/>
          <w:tblCellMar>
            <w:top w:w="0" w:type="dxa"/>
            <w:left w:w="0" w:type="dxa"/>
            <w:bottom w:w="0" w:type="dxa"/>
            <w:right w:w="0" w:type="dxa"/>
          </w:tblCellMar>
          <w:tblLook w:val="01E0"/>
        </w:tblPrEx>
        <w:trPr>
          <w:trHeight w:val="312"/>
          <w:jc w:val="left"/>
        </w:trPr>
        <w:tc>
          <w:tcPr>
            <w:tcW w:w="1940" w:type="dxa"/>
            <w:vMerge w:val="restart"/>
            <w:tcBorders>
              <w:top w:val="single" w:sz="6" w:space="0" w:color="BD0000"/>
              <w:left w:val="dotted" w:sz="4" w:space="0" w:color="000000"/>
              <w:bottom w:val="dotted" w:sz="4" w:space="0" w:color="000000"/>
              <w:right w:val="dotted" w:sz="4" w:space="0" w:color="000000"/>
            </w:tcBorders>
          </w:tcPr>
          <w:p>
            <w:pPr>
              <w:pStyle w:val="TableParagraph"/>
              <w:spacing w:before="0"/>
              <w:jc w:val="left"/>
              <w:rPr>
                <w:sz w:val="20"/>
              </w:rPr>
            </w:pPr>
          </w:p>
          <w:p>
            <w:pPr>
              <w:pStyle w:val="TableParagraph"/>
              <w:spacing w:before="11"/>
              <w:jc w:val="left"/>
              <w:rPr>
                <w:sz w:val="19"/>
              </w:rPr>
            </w:pPr>
          </w:p>
          <w:p>
            <w:pPr>
              <w:pStyle w:val="TableParagraph"/>
              <w:spacing w:before="0"/>
              <w:ind w:left="369"/>
              <w:jc w:val="left"/>
              <w:rPr>
                <w:b/>
                <w:sz w:val="20"/>
              </w:rPr>
            </w:pPr>
            <w:r>
              <w:rPr>
                <w:b/>
                <w:sz w:val="20"/>
              </w:rPr>
              <w:t>投行业务板块</w:t>
            </w:r>
          </w:p>
        </w:tc>
        <w:tc>
          <w:tcPr>
            <w:tcW w:w="4773"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28"/>
              <w:ind w:left="1466" w:right="1456"/>
              <w:rPr>
                <w:sz w:val="20"/>
              </w:rPr>
            </w:pPr>
            <w:r>
              <w:rPr>
                <w:sz w:val="20"/>
              </w:rPr>
              <w:t>债权投资计划</w:t>
            </w:r>
          </w:p>
        </w:tc>
      </w:tr>
      <w:tr>
        <w:tblPrEx>
          <w:tblW w:w="0" w:type="auto"/>
          <w:jc w:val="left"/>
          <w:tblInd w:w="2602" w:type="dxa"/>
          <w:tblLayout w:type="fixed"/>
          <w:tblCellMar>
            <w:top w:w="0" w:type="dxa"/>
            <w:left w:w="0" w:type="dxa"/>
            <w:bottom w:w="0" w:type="dxa"/>
            <w:right w:w="0" w:type="dxa"/>
          </w:tblCellMar>
          <w:tblLook w:val="01E0"/>
        </w:tblPrEx>
        <w:trPr>
          <w:trHeight w:val="311"/>
          <w:jc w:val="left"/>
        </w:trPr>
        <w:tc>
          <w:tcPr>
            <w:tcW w:w="1940" w:type="dxa"/>
            <w:vMerge/>
            <w:tcBorders>
              <w:top w:val="nil"/>
              <w:left w:val="dotted" w:sz="4" w:space="0" w:color="000000"/>
              <w:bottom w:val="dotted" w:sz="4" w:space="0" w:color="000000"/>
              <w:right w:val="dotted" w:sz="4" w:space="0" w:color="000000"/>
            </w:tcBorders>
          </w:tcPr>
          <w:p>
            <w:pPr>
              <w:rPr>
                <w:sz w:val="2"/>
                <w:szCs w:val="2"/>
              </w:rPr>
            </w:pPr>
          </w:p>
        </w:tc>
        <w:tc>
          <w:tcPr>
            <w:tcW w:w="4773" w:type="dxa"/>
            <w:tcBorders>
              <w:top w:val="dotted" w:sz="4" w:space="0" w:color="000000"/>
              <w:left w:val="dotted" w:sz="4" w:space="0" w:color="000000"/>
              <w:bottom w:val="dotted" w:sz="4" w:space="0" w:color="000000"/>
              <w:right w:val="dotted" w:sz="4" w:space="0" w:color="000000"/>
            </w:tcBorders>
          </w:tcPr>
          <w:p>
            <w:pPr>
              <w:pStyle w:val="TableParagraph"/>
              <w:spacing w:before="27"/>
              <w:ind w:left="1466" w:right="1456"/>
              <w:rPr>
                <w:sz w:val="20"/>
              </w:rPr>
            </w:pPr>
            <w:r>
              <w:rPr>
                <w:sz w:val="20"/>
              </w:rPr>
              <w:t>股权投资计划</w:t>
            </w:r>
          </w:p>
        </w:tc>
      </w:tr>
      <w:tr>
        <w:tblPrEx>
          <w:tblW w:w="0" w:type="auto"/>
          <w:jc w:val="left"/>
          <w:tblInd w:w="2602" w:type="dxa"/>
          <w:tblLayout w:type="fixed"/>
          <w:tblCellMar>
            <w:top w:w="0" w:type="dxa"/>
            <w:left w:w="0" w:type="dxa"/>
            <w:bottom w:w="0" w:type="dxa"/>
            <w:right w:w="0" w:type="dxa"/>
          </w:tblCellMar>
          <w:tblLook w:val="01E0"/>
        </w:tblPrEx>
        <w:trPr>
          <w:trHeight w:val="312"/>
          <w:jc w:val="left"/>
        </w:trPr>
        <w:tc>
          <w:tcPr>
            <w:tcW w:w="1940" w:type="dxa"/>
            <w:vMerge/>
            <w:tcBorders>
              <w:top w:val="nil"/>
              <w:left w:val="dotted" w:sz="4" w:space="0" w:color="000000"/>
              <w:bottom w:val="dotted" w:sz="4" w:space="0" w:color="000000"/>
              <w:right w:val="dotted" w:sz="4" w:space="0" w:color="000000"/>
            </w:tcBorders>
          </w:tcPr>
          <w:p>
            <w:pPr>
              <w:rPr>
                <w:sz w:val="2"/>
                <w:szCs w:val="2"/>
              </w:rPr>
            </w:pPr>
          </w:p>
        </w:tc>
        <w:tc>
          <w:tcPr>
            <w:tcW w:w="477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466" w:right="1456"/>
              <w:rPr>
                <w:sz w:val="20"/>
              </w:rPr>
            </w:pPr>
            <w:r>
              <w:rPr>
                <w:sz w:val="20"/>
              </w:rPr>
              <w:t>资产支持计划</w:t>
            </w:r>
          </w:p>
        </w:tc>
      </w:tr>
      <w:tr>
        <w:tblPrEx>
          <w:tblW w:w="0" w:type="auto"/>
          <w:jc w:val="left"/>
          <w:tblInd w:w="2602" w:type="dxa"/>
          <w:tblLayout w:type="fixed"/>
          <w:tblCellMar>
            <w:top w:w="0" w:type="dxa"/>
            <w:left w:w="0" w:type="dxa"/>
            <w:bottom w:w="0" w:type="dxa"/>
            <w:right w:w="0" w:type="dxa"/>
          </w:tblCellMar>
          <w:tblLook w:val="01E0"/>
        </w:tblPrEx>
        <w:trPr>
          <w:trHeight w:val="312"/>
          <w:jc w:val="left"/>
        </w:trPr>
        <w:tc>
          <w:tcPr>
            <w:tcW w:w="1940" w:type="dxa"/>
            <w:vMerge/>
            <w:tcBorders>
              <w:top w:val="nil"/>
              <w:left w:val="dotted" w:sz="4" w:space="0" w:color="000000"/>
              <w:bottom w:val="dotted" w:sz="4" w:space="0" w:color="000000"/>
              <w:right w:val="dotted" w:sz="4" w:space="0" w:color="000000"/>
            </w:tcBorders>
          </w:tcPr>
          <w:p>
            <w:pPr>
              <w:rPr>
                <w:sz w:val="2"/>
                <w:szCs w:val="2"/>
              </w:rPr>
            </w:pPr>
          </w:p>
        </w:tc>
        <w:tc>
          <w:tcPr>
            <w:tcW w:w="4773" w:type="dxa"/>
            <w:tcBorders>
              <w:top w:val="dotted" w:sz="4" w:space="0" w:color="000000"/>
              <w:left w:val="dotted" w:sz="4" w:space="0" w:color="000000"/>
              <w:bottom w:val="dotted" w:sz="4" w:space="0" w:color="000000"/>
              <w:right w:val="dotted" w:sz="4" w:space="0" w:color="000000"/>
            </w:tcBorders>
          </w:tcPr>
          <w:p>
            <w:pPr>
              <w:pStyle w:val="TableParagraph"/>
              <w:spacing w:before="27"/>
              <w:ind w:left="1466" w:right="1456"/>
              <w:rPr>
                <w:sz w:val="20"/>
              </w:rPr>
            </w:pPr>
            <w:r>
              <w:rPr>
                <w:sz w:val="20"/>
              </w:rPr>
              <w:t>保险私募基金</w:t>
            </w:r>
          </w:p>
        </w:tc>
      </w:tr>
      <w:tr>
        <w:tblPrEx>
          <w:tblW w:w="0" w:type="auto"/>
          <w:jc w:val="left"/>
          <w:tblInd w:w="2602" w:type="dxa"/>
          <w:tblLayout w:type="fixed"/>
          <w:tblCellMar>
            <w:top w:w="0" w:type="dxa"/>
            <w:left w:w="0" w:type="dxa"/>
            <w:bottom w:w="0" w:type="dxa"/>
            <w:right w:w="0" w:type="dxa"/>
          </w:tblCellMar>
          <w:tblLook w:val="01E0"/>
        </w:tblPrEx>
        <w:trPr>
          <w:trHeight w:val="302"/>
          <w:jc w:val="left"/>
        </w:trPr>
        <w:tc>
          <w:tcPr>
            <w:tcW w:w="1940" w:type="dxa"/>
            <w:vMerge w:val="restart"/>
            <w:tcBorders>
              <w:top w:val="dotted" w:sz="4" w:space="0" w:color="000000"/>
              <w:left w:val="dotted" w:sz="4" w:space="0" w:color="000000"/>
              <w:right w:val="dotted" w:sz="4" w:space="0" w:color="000000"/>
            </w:tcBorders>
          </w:tcPr>
          <w:p>
            <w:pPr>
              <w:pStyle w:val="TableParagraph"/>
              <w:spacing w:before="0"/>
              <w:jc w:val="left"/>
              <w:rPr>
                <w:sz w:val="20"/>
              </w:rPr>
            </w:pPr>
          </w:p>
          <w:p>
            <w:pPr>
              <w:pStyle w:val="TableParagraph"/>
              <w:spacing w:before="0"/>
              <w:jc w:val="left"/>
              <w:rPr>
                <w:sz w:val="20"/>
              </w:rPr>
            </w:pPr>
          </w:p>
          <w:p>
            <w:pPr>
              <w:pStyle w:val="TableParagraph"/>
              <w:spacing w:before="0"/>
              <w:jc w:val="left"/>
              <w:rPr>
                <w:sz w:val="25"/>
              </w:rPr>
            </w:pPr>
          </w:p>
          <w:p>
            <w:pPr>
              <w:pStyle w:val="TableParagraph"/>
              <w:spacing w:before="0"/>
              <w:ind w:left="169"/>
              <w:jc w:val="left"/>
              <w:rPr>
                <w:b/>
                <w:sz w:val="20"/>
              </w:rPr>
            </w:pPr>
            <w:r>
              <w:rPr>
                <w:b/>
                <w:sz w:val="20"/>
              </w:rPr>
              <w:t>资产管理业务板块</w:t>
            </w:r>
          </w:p>
        </w:tc>
        <w:tc>
          <w:tcPr>
            <w:tcW w:w="477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line="253" w:lineRule="exact"/>
              <w:ind w:left="1461" w:right="1456"/>
              <w:rPr>
                <w:sz w:val="20"/>
              </w:rPr>
            </w:pPr>
            <w:r>
              <w:rPr>
                <w:sz w:val="20"/>
              </w:rPr>
              <w:t>保险资产管理计划</w:t>
            </w:r>
          </w:p>
        </w:tc>
      </w:tr>
      <w:tr>
        <w:tblPrEx>
          <w:tblW w:w="0" w:type="auto"/>
          <w:jc w:val="left"/>
          <w:tblInd w:w="2602" w:type="dxa"/>
          <w:tblLayout w:type="fixed"/>
          <w:tblCellMar>
            <w:top w:w="0" w:type="dxa"/>
            <w:left w:w="0" w:type="dxa"/>
            <w:bottom w:w="0" w:type="dxa"/>
            <w:right w:w="0" w:type="dxa"/>
          </w:tblCellMar>
          <w:tblLook w:val="01E0"/>
        </w:tblPrEx>
        <w:trPr>
          <w:trHeight w:val="292"/>
          <w:jc w:val="left"/>
        </w:trPr>
        <w:tc>
          <w:tcPr>
            <w:tcW w:w="1940" w:type="dxa"/>
            <w:vMerge/>
            <w:tcBorders>
              <w:top w:val="nil"/>
              <w:left w:val="dotted" w:sz="4" w:space="0" w:color="000000"/>
              <w:right w:val="dotted" w:sz="4" w:space="0" w:color="000000"/>
            </w:tcBorders>
          </w:tcPr>
          <w:p>
            <w:pPr>
              <w:rPr>
                <w:sz w:val="2"/>
                <w:szCs w:val="2"/>
              </w:rPr>
            </w:pPr>
          </w:p>
        </w:tc>
        <w:tc>
          <w:tcPr>
            <w:tcW w:w="4773" w:type="dxa"/>
            <w:tcBorders>
              <w:top w:val="dotted" w:sz="4" w:space="0" w:color="000000"/>
              <w:left w:val="dotted" w:sz="4" w:space="0" w:color="000000"/>
              <w:bottom w:val="dotted" w:sz="4" w:space="0" w:color="000000"/>
              <w:right w:val="dotted" w:sz="4" w:space="0" w:color="000000"/>
            </w:tcBorders>
          </w:tcPr>
          <w:p>
            <w:pPr>
              <w:pStyle w:val="TableParagraph"/>
              <w:spacing w:before="18" w:line="253" w:lineRule="exact"/>
              <w:ind w:left="1466" w:right="1456"/>
              <w:rPr>
                <w:sz w:val="20"/>
              </w:rPr>
            </w:pPr>
            <w:r>
              <w:rPr>
                <w:sz w:val="20"/>
              </w:rPr>
              <w:t>企业年金业务</w:t>
            </w:r>
          </w:p>
        </w:tc>
      </w:tr>
      <w:tr>
        <w:tblPrEx>
          <w:tblW w:w="0" w:type="auto"/>
          <w:jc w:val="left"/>
          <w:tblInd w:w="2602" w:type="dxa"/>
          <w:tblLayout w:type="fixed"/>
          <w:tblCellMar>
            <w:top w:w="0" w:type="dxa"/>
            <w:left w:w="0" w:type="dxa"/>
            <w:bottom w:w="0" w:type="dxa"/>
            <w:right w:w="0" w:type="dxa"/>
          </w:tblCellMar>
          <w:tblLook w:val="01E0"/>
        </w:tblPrEx>
        <w:trPr>
          <w:trHeight w:val="291"/>
          <w:jc w:val="left"/>
        </w:trPr>
        <w:tc>
          <w:tcPr>
            <w:tcW w:w="1940" w:type="dxa"/>
            <w:vMerge/>
            <w:tcBorders>
              <w:top w:val="nil"/>
              <w:left w:val="dotted" w:sz="4" w:space="0" w:color="000000"/>
              <w:right w:val="dotted" w:sz="4" w:space="0" w:color="000000"/>
            </w:tcBorders>
          </w:tcPr>
          <w:p>
            <w:pPr>
              <w:rPr>
                <w:sz w:val="2"/>
                <w:szCs w:val="2"/>
              </w:rPr>
            </w:pPr>
          </w:p>
        </w:tc>
        <w:tc>
          <w:tcPr>
            <w:tcW w:w="477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18" w:line="254" w:lineRule="exact"/>
              <w:ind w:left="1463" w:right="1456"/>
              <w:rPr>
                <w:sz w:val="20"/>
              </w:rPr>
            </w:pPr>
            <w:r>
              <w:rPr>
                <w:sz w:val="20"/>
              </w:rPr>
              <w:t>养老保障</w:t>
            </w:r>
          </w:p>
        </w:tc>
      </w:tr>
      <w:tr>
        <w:tblPrEx>
          <w:tblW w:w="0" w:type="auto"/>
          <w:jc w:val="left"/>
          <w:tblInd w:w="2602" w:type="dxa"/>
          <w:tblLayout w:type="fixed"/>
          <w:tblCellMar>
            <w:top w:w="0" w:type="dxa"/>
            <w:left w:w="0" w:type="dxa"/>
            <w:bottom w:w="0" w:type="dxa"/>
            <w:right w:w="0" w:type="dxa"/>
          </w:tblCellMar>
          <w:tblLook w:val="01E0"/>
        </w:tblPrEx>
        <w:trPr>
          <w:trHeight w:val="292"/>
          <w:jc w:val="left"/>
        </w:trPr>
        <w:tc>
          <w:tcPr>
            <w:tcW w:w="1940" w:type="dxa"/>
            <w:vMerge/>
            <w:tcBorders>
              <w:top w:val="nil"/>
              <w:left w:val="dotted" w:sz="4" w:space="0" w:color="000000"/>
              <w:right w:val="dotted" w:sz="4" w:space="0" w:color="000000"/>
            </w:tcBorders>
          </w:tcPr>
          <w:p>
            <w:pPr>
              <w:rPr>
                <w:sz w:val="2"/>
                <w:szCs w:val="2"/>
              </w:rPr>
            </w:pPr>
          </w:p>
        </w:tc>
        <w:tc>
          <w:tcPr>
            <w:tcW w:w="4773" w:type="dxa"/>
            <w:tcBorders>
              <w:top w:val="dotted" w:sz="4" w:space="0" w:color="000000"/>
              <w:left w:val="dotted" w:sz="4" w:space="0" w:color="000000"/>
              <w:bottom w:val="dotted" w:sz="4" w:space="0" w:color="000000"/>
              <w:right w:val="dotted" w:sz="4" w:space="0" w:color="000000"/>
            </w:tcBorders>
          </w:tcPr>
          <w:p>
            <w:pPr>
              <w:pStyle w:val="TableParagraph"/>
              <w:spacing w:before="17" w:line="254" w:lineRule="exact"/>
              <w:ind w:left="1463" w:right="1456"/>
              <w:rPr>
                <w:sz w:val="20"/>
              </w:rPr>
            </w:pPr>
            <w:r>
              <w:rPr>
                <w:sz w:val="20"/>
              </w:rPr>
              <w:t>公募业务</w:t>
            </w:r>
          </w:p>
        </w:tc>
      </w:tr>
      <w:tr>
        <w:tblPrEx>
          <w:tblW w:w="0" w:type="auto"/>
          <w:jc w:val="left"/>
          <w:tblInd w:w="2602" w:type="dxa"/>
          <w:tblLayout w:type="fixed"/>
          <w:tblCellMar>
            <w:top w:w="0" w:type="dxa"/>
            <w:left w:w="0" w:type="dxa"/>
            <w:bottom w:w="0" w:type="dxa"/>
            <w:right w:w="0" w:type="dxa"/>
          </w:tblCellMar>
          <w:tblLook w:val="01E0"/>
        </w:tblPrEx>
        <w:trPr>
          <w:trHeight w:val="292"/>
          <w:jc w:val="left"/>
        </w:trPr>
        <w:tc>
          <w:tcPr>
            <w:tcW w:w="1940" w:type="dxa"/>
            <w:vMerge/>
            <w:tcBorders>
              <w:top w:val="nil"/>
              <w:left w:val="dotted" w:sz="4" w:space="0" w:color="000000"/>
              <w:right w:val="dotted" w:sz="4" w:space="0" w:color="000000"/>
            </w:tcBorders>
          </w:tcPr>
          <w:p>
            <w:pPr>
              <w:rPr>
                <w:sz w:val="2"/>
                <w:szCs w:val="2"/>
              </w:rPr>
            </w:pPr>
          </w:p>
        </w:tc>
        <w:tc>
          <w:tcPr>
            <w:tcW w:w="477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17" w:line="255" w:lineRule="exact"/>
              <w:ind w:left="1466" w:right="1456"/>
              <w:rPr>
                <w:sz w:val="20"/>
              </w:rPr>
            </w:pPr>
            <w:r>
              <w:rPr>
                <w:sz w:val="20"/>
              </w:rPr>
              <w:t>第三方资产管理业务</w:t>
            </w:r>
          </w:p>
        </w:tc>
      </w:tr>
      <w:tr>
        <w:tblPrEx>
          <w:tblW w:w="0" w:type="auto"/>
          <w:jc w:val="left"/>
          <w:tblInd w:w="2602" w:type="dxa"/>
          <w:tblLayout w:type="fixed"/>
          <w:tblCellMar>
            <w:top w:w="0" w:type="dxa"/>
            <w:left w:w="0" w:type="dxa"/>
            <w:bottom w:w="0" w:type="dxa"/>
            <w:right w:w="0" w:type="dxa"/>
          </w:tblCellMar>
          <w:tblLook w:val="01E0"/>
        </w:tblPrEx>
        <w:trPr>
          <w:trHeight w:val="301"/>
          <w:jc w:val="left"/>
        </w:trPr>
        <w:tc>
          <w:tcPr>
            <w:tcW w:w="1940" w:type="dxa"/>
            <w:vMerge/>
            <w:tcBorders>
              <w:top w:val="nil"/>
              <w:left w:val="dotted" w:sz="4" w:space="0" w:color="000000"/>
              <w:right w:val="dotted" w:sz="4" w:space="0" w:color="000000"/>
            </w:tcBorders>
          </w:tcPr>
          <w:p>
            <w:pPr>
              <w:rPr>
                <w:sz w:val="2"/>
                <w:szCs w:val="2"/>
              </w:rPr>
            </w:pPr>
          </w:p>
        </w:tc>
        <w:tc>
          <w:tcPr>
            <w:tcW w:w="4773" w:type="dxa"/>
            <w:tcBorders>
              <w:top w:val="dotted" w:sz="4" w:space="0" w:color="000000"/>
              <w:left w:val="dotted" w:sz="4" w:space="0" w:color="000000"/>
              <w:right w:val="dotted" w:sz="4" w:space="0" w:color="000000"/>
            </w:tcBorders>
          </w:tcPr>
          <w:p>
            <w:pPr>
              <w:pStyle w:val="TableParagraph"/>
              <w:spacing w:before="17"/>
              <w:ind w:left="1461" w:right="1456"/>
              <w:rPr>
                <w:sz w:val="20"/>
              </w:rPr>
            </w:pPr>
            <w:r>
              <w:rPr>
                <w:sz w:val="20"/>
              </w:rPr>
              <w:t>投连险管理</w:t>
            </w:r>
          </w:p>
        </w:tc>
      </w:tr>
    </w:tbl>
    <w:p>
      <w:pPr>
        <w:spacing w:before="42"/>
        <w:ind w:left="2704" w:right="0" w:firstLine="0"/>
        <w:jc w:val="left"/>
        <w:rPr>
          <w:sz w:val="18"/>
        </w:rPr>
      </w:pPr>
      <w:r>
        <w:t xml:space="preserve">资料来源： </w:t>
      </w:r>
    </w:p>
    <w:p>
      <w:pPr>
        <w:pStyle w:val="BodyText"/>
        <w:rPr>
          <w:sz w:val="20"/>
        </w:rPr>
      </w:pPr>
    </w:p>
    <w:p>
      <w:pPr>
        <w:pStyle w:val="BodyText"/>
        <w:spacing w:before="3"/>
        <w:rPr>
          <w:sz w:val="24"/>
        </w:rPr>
      </w:pPr>
    </w:p>
    <w:p>
      <w:pPr>
        <w:pStyle w:val="Heading2"/>
        <w:numPr>
          <w:ilvl w:val="1"/>
          <w:numId w:val="3"/>
        </w:numPr>
        <w:tabs>
          <w:tab w:val="left" w:pos="1604"/>
        </w:tabs>
        <w:spacing w:before="74" w:after="0" w:line="240" w:lineRule="auto"/>
        <w:ind w:left="1603" w:right="0" w:hanging="472"/>
        <w:jc w:val="left"/>
      </w:pPr>
      <w:bookmarkStart w:id="10" w:name="_TOC_250002"/>
      <w:bookmarkEnd w:id="10"/>
      <w:r>
        <w:t>投行业务板块</w:t>
      </w:r>
    </w:p>
    <w:p>
      <w:pPr>
        <w:pStyle w:val="BodyText"/>
        <w:spacing w:before="9"/>
        <w:rPr>
          <w:b/>
          <w:sz w:val="23"/>
        </w:rPr>
      </w:pPr>
    </w:p>
    <w:p>
      <w:pPr>
        <w:pStyle w:val="BodyText"/>
        <w:ind w:right="1127"/>
        <w:jc w:val="right"/>
      </w:pPr>
      <w:r>
        <w:rPr>
          <w:spacing w:val="-4"/>
        </w:rPr>
        <w:t xml:space="preserve">根据中国保险资管协会披露的数据， </w:t>
      </w:r>
      <w:r>
        <w:rPr>
          <w:rFonts w:ascii="Arial" w:eastAsia="Arial"/>
        </w:rPr>
        <w:t>2023</w:t>
      </w:r>
      <w:r>
        <w:rPr>
          <w:rFonts w:ascii="Arial" w:eastAsia="Arial"/>
          <w:spacing w:val="-2"/>
        </w:rPr>
        <w:t xml:space="preserve"> </w:t>
      </w:r>
      <w:r>
        <w:rPr>
          <w:spacing w:val="-5"/>
        </w:rPr>
        <w:t>年全年，保险资产管理机构和保险私募基金管理人累</w:t>
      </w:r>
    </w:p>
    <w:p>
      <w:pPr>
        <w:pStyle w:val="BodyText"/>
        <w:spacing w:before="30"/>
        <w:ind w:right="1127"/>
        <w:jc w:val="right"/>
      </w:pPr>
      <w:r>
        <w:rPr>
          <w:spacing w:val="-2"/>
        </w:rPr>
        <w:t xml:space="preserve">计发起设立各类债权和股权投资计划 </w:t>
      </w:r>
      <w:r>
        <w:rPr>
          <w:rFonts w:ascii="Arial" w:eastAsia="Arial"/>
        </w:rPr>
        <w:t>454</w:t>
      </w:r>
      <w:r>
        <w:rPr>
          <w:rFonts w:ascii="Arial" w:eastAsia="Arial"/>
          <w:spacing w:val="22"/>
        </w:rPr>
        <w:t xml:space="preserve"> </w:t>
      </w:r>
      <w:r>
        <w:rPr>
          <w:spacing w:val="-3"/>
        </w:rPr>
        <w:t xml:space="preserve">只，合计登记规模 </w:t>
      </w:r>
      <w:r>
        <w:rPr>
          <w:rFonts w:ascii="Arial" w:eastAsia="Arial"/>
        </w:rPr>
        <w:t>8018.46</w:t>
      </w:r>
      <w:r>
        <w:rPr>
          <w:rFonts w:ascii="Arial" w:eastAsia="Arial"/>
          <w:spacing w:val="18"/>
        </w:rPr>
        <w:t xml:space="preserve"> </w:t>
      </w:r>
      <w:r>
        <w:t>亿元；累计登记保险私募基金</w:t>
      </w:r>
    </w:p>
    <w:p>
      <w:pPr>
        <w:spacing w:after="0"/>
        <w:jc w:val="right"/>
        <w:sectPr>
          <w:headerReference w:type="default" r:id="rId33"/>
          <w:footerReference w:type="default" r:id="rId34"/>
          <w:pgSz w:w="11910" w:h="16840"/>
          <w:pgMar w:top="1280" w:right="0" w:bottom="1000" w:left="0" w:header="708" w:footer="708"/>
          <w:pgNumType w:start="12"/>
          <w:cols w:space="708"/>
        </w:sectPr>
      </w:pPr>
    </w:p>
    <w:p>
      <w:pPr>
        <w:pStyle w:val="BodyText"/>
        <w:spacing w:before="72"/>
        <w:ind w:left="1132"/>
      </w:pPr>
      <w:r>
        <w:rPr>
          <w:rFonts w:ascii="Arial" w:eastAsia="Arial"/>
        </w:rPr>
        <w:t xml:space="preserve">14 </w:t>
      </w:r>
      <w:r>
        <w:t xml:space="preserve">只，合计规模 </w:t>
      </w:r>
      <w:r>
        <w:rPr>
          <w:rFonts w:ascii="Arial" w:eastAsia="Arial"/>
        </w:rPr>
        <w:t xml:space="preserve">527.27 </w:t>
      </w:r>
      <w:r>
        <w:t>亿元。根据中保保险资产登记交易系统有限公司披露的数据，</w:t>
      </w:r>
      <w:r>
        <w:rPr>
          <w:rFonts w:ascii="Arial" w:eastAsia="Arial"/>
        </w:rPr>
        <w:t xml:space="preserve">2023 </w:t>
      </w:r>
      <w:r>
        <w:t>年中保</w:t>
      </w:r>
    </w:p>
    <w:p>
      <w:pPr>
        <w:pStyle w:val="BodyText"/>
        <w:spacing w:before="30"/>
        <w:ind w:left="1132"/>
      </w:pPr>
      <w:r>
        <w:t xml:space="preserve">登公司出具注册通知书的资产支持计划有 </w:t>
      </w:r>
      <w:r>
        <w:rPr>
          <w:rFonts w:ascii="Arial" w:eastAsia="Arial"/>
        </w:rPr>
        <w:t xml:space="preserve">93 </w:t>
      </w:r>
      <w:r>
        <w:t xml:space="preserve">只，登记规模合计约 </w:t>
      </w:r>
      <w:r>
        <w:rPr>
          <w:rFonts w:ascii="Arial" w:eastAsia="Arial"/>
        </w:rPr>
        <w:t xml:space="preserve">4595.74 </w:t>
      </w:r>
      <w:r>
        <w:t>亿元。</w:t>
      </w:r>
    </w:p>
    <w:p>
      <w:pPr>
        <w:pStyle w:val="BodyText"/>
        <w:spacing w:before="7"/>
        <w:rPr>
          <w:sz w:val="19"/>
        </w:rPr>
      </w:pPr>
    </w:p>
    <w:p>
      <w:pPr>
        <w:pStyle w:val="Heading3"/>
        <w:numPr>
          <w:ilvl w:val="2"/>
          <w:numId w:val="3"/>
        </w:numPr>
        <w:tabs>
          <w:tab w:val="left" w:pos="1736"/>
        </w:tabs>
        <w:spacing w:before="0" w:after="0" w:line="240" w:lineRule="auto"/>
        <w:ind w:left="1735" w:right="0" w:hanging="604"/>
        <w:jc w:val="left"/>
      </w:pPr>
      <w:r>
        <w:t>债权投资计划</w:t>
      </w:r>
    </w:p>
    <w:p>
      <w:pPr>
        <w:pStyle w:val="BodyText"/>
        <w:spacing w:before="9"/>
        <w:rPr>
          <w:b/>
          <w:sz w:val="19"/>
        </w:rPr>
      </w:pPr>
    </w:p>
    <w:p>
      <w:pPr>
        <w:pStyle w:val="BodyText"/>
        <w:spacing w:line="266" w:lineRule="auto"/>
        <w:ind w:left="1132" w:right="1132" w:firstLine="441"/>
        <w:jc w:val="both"/>
      </w:pPr>
      <w:r>
        <w:rPr>
          <w:spacing w:val="-5"/>
        </w:rPr>
        <w:t>债权投资计划是指保险资产管理机构作为受托人面向委托人发行受益凭证，募集资金以债权方式</w:t>
      </w:r>
      <w:r>
        <w:rPr>
          <w:spacing w:val="-7"/>
        </w:rPr>
        <w:t>主要投资基础设施、非基础设施类不动产等符合国家政策的项目，并按照约定条件和实际投资收益情</w:t>
      </w:r>
      <w:r>
        <w:rPr>
          <w:spacing w:val="-3"/>
        </w:rPr>
        <w:t>况向投资者支付收益、不保证本金支付和收益水平的保险资产管理产品。</w:t>
      </w:r>
    </w:p>
    <w:p>
      <w:pPr>
        <w:pStyle w:val="Heading4"/>
        <w:spacing w:before="153"/>
        <w:jc w:val="both"/>
      </w:pPr>
      <w:r>
        <w:t>（</w:t>
      </w:r>
      <w:r>
        <w:rPr>
          <w:rFonts w:ascii="Arial" w:eastAsia="Arial"/>
        </w:rPr>
        <w:t>1</w:t>
      </w:r>
      <w:r>
        <w:t>）</w:t>
      </w:r>
      <w:r>
        <w:rPr>
          <w:rFonts w:ascii="Arial" w:eastAsia="Arial"/>
        </w:rPr>
        <w:t xml:space="preserve">2023 </w:t>
      </w:r>
      <w:r>
        <w:t>年债权投资计划登记情况</w:t>
      </w:r>
    </w:p>
    <w:p>
      <w:pPr>
        <w:pStyle w:val="BodyText"/>
        <w:spacing w:before="187" w:line="266" w:lineRule="auto"/>
        <w:ind w:left="1132" w:right="1017" w:firstLine="441"/>
      </w:pPr>
      <w:r>
        <w:rPr>
          <w:spacing w:val="-4"/>
        </w:rPr>
        <w:t>根据保险资管协会披露的产品登记数据，</w:t>
      </w:r>
      <w:r>
        <w:rPr>
          <w:rFonts w:ascii="Arial" w:eastAsia="Arial"/>
          <w:spacing w:val="-16"/>
        </w:rPr>
        <w:t xml:space="preserve">2023 </w:t>
      </w:r>
      <w:r>
        <w:rPr>
          <w:spacing w:val="-6"/>
        </w:rPr>
        <w:t xml:space="preserve">年保险资产管理机构登记债权投资计划共 </w:t>
      </w:r>
      <w:r>
        <w:rPr>
          <w:rFonts w:ascii="Arial" w:eastAsia="Arial"/>
        </w:rPr>
        <w:t xml:space="preserve">433 </w:t>
      </w:r>
      <w:r>
        <w:t xml:space="preserve">项， </w:t>
      </w:r>
      <w:r>
        <w:rPr>
          <w:spacing w:val="-26"/>
        </w:rPr>
        <w:t xml:space="preserve">较 </w:t>
      </w:r>
      <w:r>
        <w:rPr>
          <w:rFonts w:ascii="Arial" w:eastAsia="Arial"/>
        </w:rPr>
        <w:t xml:space="preserve">2022 </w:t>
      </w:r>
      <w:r>
        <w:rPr>
          <w:spacing w:val="-10"/>
        </w:rPr>
        <w:t xml:space="preserve">年降幅达 </w:t>
      </w:r>
      <w:r>
        <w:rPr>
          <w:rFonts w:ascii="Arial" w:eastAsia="Arial"/>
        </w:rPr>
        <w:t>10.72%</w:t>
      </w:r>
      <w:r>
        <w:rPr>
          <w:spacing w:val="-7"/>
        </w:rPr>
        <w:t xml:space="preserve">，合计登记规模 </w:t>
      </w:r>
      <w:r>
        <w:rPr>
          <w:rFonts w:ascii="Arial" w:eastAsia="Arial"/>
        </w:rPr>
        <w:t xml:space="preserve">7356.61 </w:t>
      </w:r>
      <w:r>
        <w:rPr>
          <w:spacing w:val="-11"/>
        </w:rPr>
        <w:t xml:space="preserve">亿元，较 </w:t>
      </w:r>
      <w:r>
        <w:rPr>
          <w:rFonts w:ascii="Arial" w:eastAsia="Arial"/>
        </w:rPr>
        <w:t xml:space="preserve">2022 </w:t>
      </w:r>
      <w:r>
        <w:rPr>
          <w:spacing w:val="-9"/>
        </w:rPr>
        <w:t xml:space="preserve">年同期下降 </w:t>
      </w:r>
      <w:r>
        <w:rPr>
          <w:rFonts w:ascii="Arial" w:eastAsia="Arial"/>
        </w:rPr>
        <w:t>15.56%</w:t>
      </w:r>
      <w:r>
        <w:rPr>
          <w:spacing w:val="-18"/>
        </w:rPr>
        <w:t xml:space="preserve">。自 </w:t>
      </w:r>
      <w:r>
        <w:rPr>
          <w:rFonts w:ascii="Arial" w:eastAsia="Arial"/>
        </w:rPr>
        <w:t xml:space="preserve">2022 </w:t>
      </w:r>
      <w:r>
        <w:t>年</w:t>
      </w:r>
      <w:r>
        <w:rPr>
          <w:spacing w:val="-6"/>
        </w:rPr>
        <w:t>以来，债权投资计划脱离发展快车道，登记数量呈现持续收缩态势，或许主要受到了经济弱复苏背景</w:t>
      </w:r>
      <w:r>
        <w:rPr>
          <w:spacing w:val="-8"/>
        </w:rPr>
        <w:t>下，投融资表现低迷、利率持续走低、准入门槛收紧等多重因素的扰动。尽管登记与实际投资之间存</w:t>
      </w:r>
      <w:r>
        <w:rPr>
          <w:spacing w:val="-3"/>
        </w:rPr>
        <w:t>在差距，但是登记数量的收缩在一定程度上反映出保险资金的另类投资正身陷囹圄。</w:t>
      </w:r>
    </w:p>
    <w:p>
      <w:pPr>
        <w:pStyle w:val="BodyText"/>
        <w:spacing w:before="151" w:line="266" w:lineRule="auto"/>
        <w:ind w:left="1132" w:right="1125" w:firstLine="441"/>
        <w:jc w:val="both"/>
      </w:pPr>
      <w:r>
        <w:t>从发行主体上看，</w:t>
      </w:r>
      <w:r>
        <w:rPr>
          <w:rFonts w:ascii="Arial" w:eastAsia="Arial"/>
        </w:rPr>
        <w:t xml:space="preserve">2023 </w:t>
      </w:r>
      <w:r>
        <w:t>年招商信诺资管、安联保险资管和华泰资管登记的债权投资计划数量位</w:t>
      </w:r>
      <w:r>
        <w:rPr>
          <w:spacing w:val="-9"/>
        </w:rPr>
        <w:t xml:space="preserve">于前列，分别登记债权投资计划 </w:t>
      </w:r>
      <w:r>
        <w:rPr>
          <w:rFonts w:ascii="Arial" w:eastAsia="Arial"/>
        </w:rPr>
        <w:t xml:space="preserve">53 </w:t>
      </w:r>
      <w:r>
        <w:rPr>
          <w:spacing w:val="-11"/>
        </w:rPr>
        <w:t>项、</w:t>
      </w:r>
      <w:r>
        <w:rPr>
          <w:rFonts w:ascii="Arial" w:eastAsia="Arial"/>
        </w:rPr>
        <w:t xml:space="preserve">46 </w:t>
      </w:r>
      <w:r>
        <w:rPr>
          <w:spacing w:val="-19"/>
        </w:rPr>
        <w:t xml:space="preserve">项和 </w:t>
      </w:r>
      <w:r>
        <w:rPr>
          <w:rFonts w:ascii="Arial" w:eastAsia="Arial"/>
        </w:rPr>
        <w:t xml:space="preserve">27 </w:t>
      </w:r>
      <w:r>
        <w:rPr>
          <w:spacing w:val="-11"/>
        </w:rPr>
        <w:t xml:space="preserve">项。此外，债权投资计划登记数量超过 </w:t>
      </w:r>
      <w:r>
        <w:rPr>
          <w:rFonts w:ascii="Arial" w:eastAsia="Arial"/>
        </w:rPr>
        <w:t xml:space="preserve">20 </w:t>
      </w:r>
      <w:r>
        <w:t>项的还有中意资管（</w:t>
      </w:r>
      <w:r>
        <w:rPr>
          <w:rFonts w:ascii="Arial" w:eastAsia="Arial"/>
        </w:rPr>
        <w:t xml:space="preserve">27 </w:t>
      </w:r>
      <w:r>
        <w:t>项）、光大永明资管（</w:t>
      </w:r>
      <w:r>
        <w:rPr>
          <w:rFonts w:ascii="Arial" w:eastAsia="Arial"/>
        </w:rPr>
        <w:t xml:space="preserve">26 </w:t>
      </w:r>
      <w:r>
        <w:t>项）、平安资管（</w:t>
      </w:r>
      <w:r>
        <w:rPr>
          <w:rFonts w:ascii="Arial" w:eastAsia="Arial"/>
        </w:rPr>
        <w:t xml:space="preserve">25 </w:t>
      </w:r>
      <w:r>
        <w:t>项）和泰康资管（</w:t>
      </w:r>
      <w:r>
        <w:rPr>
          <w:rFonts w:ascii="Arial" w:eastAsia="Arial"/>
        </w:rPr>
        <w:t xml:space="preserve">24 </w:t>
      </w:r>
      <w:r>
        <w:t>项）。从债权投资计划的投向来看，</w:t>
      </w:r>
      <w:r>
        <w:rPr>
          <w:rFonts w:ascii="Arial" w:eastAsia="Arial"/>
        </w:rPr>
        <w:t xml:space="preserve">2023 </w:t>
      </w:r>
      <w:r>
        <w:t xml:space="preserve">年保险资管机构登记的债权投资计划仍以基础设施债权投资计划为主， </w:t>
      </w:r>
      <w:r>
        <w:rPr>
          <w:spacing w:val="-10"/>
        </w:rPr>
        <w:t xml:space="preserve">注登记数量达 </w:t>
      </w:r>
      <w:r>
        <w:rPr>
          <w:rFonts w:ascii="Arial" w:eastAsia="Arial"/>
        </w:rPr>
        <w:t xml:space="preserve">260 </w:t>
      </w:r>
      <w:r>
        <w:rPr>
          <w:spacing w:val="-7"/>
        </w:rPr>
        <w:t xml:space="preserve">项，占当年登记债权投资计划总数的 </w:t>
      </w:r>
      <w:r>
        <w:rPr>
          <w:rFonts w:ascii="Arial" w:eastAsia="Arial"/>
        </w:rPr>
        <w:t>60.05%</w:t>
      </w:r>
      <w:r>
        <w:t>。</w:t>
      </w:r>
    </w:p>
    <w:p>
      <w:pPr>
        <w:spacing w:before="162"/>
        <w:ind w:left="2268" w:right="0" w:firstLine="0"/>
        <w:jc w:val="left"/>
        <w:rPr>
          <w:sz w:val="20"/>
        </w:rPr>
      </w:pPr>
      <w:r>
        <w:pict>
          <v:shape id="_x0000_s1048" style="width:368.5pt;height:0.1pt;margin-top:23.06pt;margin-left:113.4pt;mso-position-horizontal-relative:page;mso-wrap-distance-left:0;mso-wrap-distance-right:0;position:absolute;z-index:-251642880" coordorigin="2268,461" coordsize="7370,0" path="m2268,461l9638,461e" filled="f" stroked="t" strokecolor="#c00" strokeweight="1.44pt">
            <v:stroke dashstyle="solid"/>
            <v:path arrowok="t"/>
            <w10:wrap type="topAndBottom"/>
          </v:shape>
        </w:pict>
      </w:r>
      <w:r>
        <w:drawing>
          <wp:anchor distT="0" distB="0" distL="0" distR="0" simplePos="0" relativeHeight="251672576" behindDoc="0" locked="0" layoutInCell="1" allowOverlap="1">
            <wp:simplePos x="0" y="0"/>
            <wp:positionH relativeFrom="page">
              <wp:posOffset>1584249</wp:posOffset>
            </wp:positionH>
            <wp:positionV relativeFrom="paragraph">
              <wp:posOffset>391674</wp:posOffset>
            </wp:positionV>
            <wp:extent cx="4440743" cy="2005584"/>
            <wp:effectExtent l="0" t="0" r="0" b="0"/>
            <wp:wrapTopAndBottom/>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jpeg"/>
                    <pic:cNvPicPr/>
                  </pic:nvPicPr>
                  <pic:blipFill>
                    <a:blip xmlns:r="http://schemas.openxmlformats.org/officeDocument/2006/relationships" r:embed="rId35" cstate="print"/>
                    <a:stretch>
                      <a:fillRect/>
                    </a:stretch>
                  </pic:blipFill>
                  <pic:spPr>
                    <a:xfrm>
                      <a:off x="0" y="0"/>
                      <a:ext cx="4440743" cy="2005584"/>
                    </a:xfrm>
                    <a:prstGeom prst="rect">
                      <a:avLst/>
                    </a:prstGeom>
                  </pic:spPr>
                </pic:pic>
              </a:graphicData>
            </a:graphic>
          </wp:anchor>
        </w:drawing>
      </w:r>
      <w:r>
        <w:pict>
          <v:shape id="_x0000_s1049" style="width:368.5pt;height:0.1pt;margin-top:196.81pt;margin-left:113.4pt;mso-position-horizontal-relative:page;mso-wrap-distance-left:0;mso-wrap-distance-right:0;position:absolute;z-index:-251641856" coordorigin="2268,3936" coordsize="7370,0" path="m2268,3936l9638,3936e" filled="f" stroked="t" strokecolor="#c00" strokeweight="1.44pt">
            <v:stroke dashstyle="solid"/>
            <v:path arrowok="t"/>
            <w10:wrap type="topAndBottom"/>
          </v:shape>
        </w:pict>
      </w:r>
      <w:r>
        <w:rPr>
          <w:sz w:val="20"/>
        </w:rPr>
        <w:t xml:space="preserve">图 </w:t>
      </w:r>
      <w:r>
        <w:rPr>
          <w:rFonts w:ascii="Arial" w:eastAsia="Arial"/>
          <w:sz w:val="20"/>
        </w:rPr>
        <w:t xml:space="preserve">8 </w:t>
      </w:r>
      <w:r>
        <w:rPr>
          <w:sz w:val="20"/>
        </w:rPr>
        <w:t>近五年保险资产管理机构登记债权投资计划数量情况（单位：项）</w:t>
      </w:r>
    </w:p>
    <w:p>
      <w:pPr>
        <w:pStyle w:val="BodyText"/>
        <w:spacing w:before="8"/>
        <w:rPr>
          <w:sz w:val="5"/>
        </w:rPr>
      </w:pPr>
    </w:p>
    <w:p>
      <w:pPr>
        <w:pStyle w:val="BodyText"/>
        <w:spacing w:before="1"/>
        <w:rPr>
          <w:sz w:val="6"/>
        </w:rPr>
      </w:pPr>
    </w:p>
    <w:p>
      <w:pPr>
        <w:spacing w:before="13"/>
        <w:ind w:left="2268" w:right="0" w:firstLine="0"/>
        <w:jc w:val="left"/>
        <w:rPr>
          <w:sz w:val="18"/>
        </w:rPr>
      </w:pPr>
      <w:r>
        <w:t xml:space="preserve">资料来源：中国保险资产管理业协会， </w:t>
      </w:r>
    </w:p>
    <w:p>
      <w:pPr>
        <w:pStyle w:val="BodyText"/>
        <w:rPr>
          <w:sz w:val="20"/>
        </w:rPr>
      </w:pPr>
    </w:p>
    <w:p>
      <w:pPr>
        <w:pStyle w:val="BodyText"/>
        <w:spacing w:before="5"/>
        <w:rPr>
          <w:sz w:val="15"/>
        </w:rPr>
      </w:pPr>
    </w:p>
    <w:p>
      <w:pPr>
        <w:pStyle w:val="BodyText"/>
        <w:spacing w:before="70" w:line="266" w:lineRule="auto"/>
        <w:ind w:left="1132" w:right="1017" w:firstLine="441"/>
        <w:jc w:val="both"/>
      </w:pPr>
      <w:r>
        <w:rPr>
          <w:spacing w:val="-11"/>
        </w:rPr>
        <w:t>基础设施债权投资计划方面，涉及市政、产业园、轨交、水利、棚改、文旅等众多国计民生领域。</w:t>
      </w:r>
      <w:r>
        <w:rPr>
          <w:spacing w:val="-7"/>
        </w:rPr>
        <w:t>具体来看，</w:t>
      </w:r>
      <w:r>
        <w:rPr>
          <w:rFonts w:ascii="Arial" w:eastAsia="Arial"/>
          <w:spacing w:val="-14"/>
        </w:rPr>
        <w:t>3</w:t>
      </w:r>
      <w:r>
        <w:rPr>
          <w:rFonts w:ascii="Arial" w:eastAsia="Arial"/>
          <w:spacing w:val="-3"/>
        </w:rPr>
        <w:t xml:space="preserve"> </w:t>
      </w:r>
      <w:r>
        <w:rPr>
          <w:spacing w:val="-6"/>
        </w:rPr>
        <w:t xml:space="preserve">家保险资产管理机构登记的债权投资计划超 </w:t>
      </w:r>
      <w:r>
        <w:rPr>
          <w:rFonts w:ascii="Arial" w:eastAsia="Arial"/>
        </w:rPr>
        <w:t>20</w:t>
      </w:r>
      <w:r>
        <w:rPr>
          <w:rFonts w:ascii="Arial" w:eastAsia="Arial"/>
          <w:spacing w:val="-5"/>
        </w:rPr>
        <w:t xml:space="preserve"> </w:t>
      </w:r>
      <w:r>
        <w:rPr>
          <w:spacing w:val="-12"/>
        </w:rPr>
        <w:t xml:space="preserve">项，安联保险资管以 </w:t>
      </w:r>
      <w:r>
        <w:rPr>
          <w:rFonts w:ascii="Arial" w:eastAsia="Arial"/>
        </w:rPr>
        <w:t>32</w:t>
      </w:r>
      <w:r>
        <w:rPr>
          <w:rFonts w:ascii="Arial" w:eastAsia="Arial"/>
          <w:spacing w:val="-5"/>
        </w:rPr>
        <w:t xml:space="preserve"> </w:t>
      </w:r>
      <w:r>
        <w:rPr>
          <w:spacing w:val="-3"/>
        </w:rPr>
        <w:t>项基础设施债权</w:t>
      </w:r>
    </w:p>
    <w:p>
      <w:pPr>
        <w:pStyle w:val="BodyText"/>
        <w:spacing w:line="280" w:lineRule="exact"/>
        <w:ind w:left="1132"/>
        <w:jc w:val="both"/>
      </w:pPr>
      <w:r>
        <w:rPr>
          <w:spacing w:val="-9"/>
        </w:rPr>
        <w:t xml:space="preserve">投资计划位居第一，其中住房改善、安置房建设、棚改相关债权投资计划高达 </w:t>
      </w:r>
      <w:r>
        <w:rPr>
          <w:rFonts w:ascii="Arial" w:eastAsia="Arial"/>
        </w:rPr>
        <w:t xml:space="preserve">7 </w:t>
      </w:r>
      <w:r>
        <w:rPr>
          <w:spacing w:val="-5"/>
        </w:rPr>
        <w:t>项，轨交、产业园建</w:t>
      </w:r>
    </w:p>
    <w:p>
      <w:pPr>
        <w:pStyle w:val="BodyText"/>
        <w:spacing w:before="30" w:line="266" w:lineRule="auto"/>
        <w:ind w:left="1132" w:right="1130"/>
        <w:jc w:val="both"/>
      </w:pPr>
      <w:r>
        <w:rPr>
          <w:spacing w:val="-2"/>
        </w:rPr>
        <w:t xml:space="preserve">设等领域也有所涉及；光大永明资管登记的基础设施债权投资计划达 </w:t>
      </w:r>
      <w:r>
        <w:rPr>
          <w:rFonts w:ascii="Arial" w:eastAsia="Arial"/>
        </w:rPr>
        <w:t xml:space="preserve">21 </w:t>
      </w:r>
      <w:r>
        <w:t>项，主要涉及高铁、机场、</w:t>
      </w:r>
      <w:r>
        <w:rPr>
          <w:spacing w:val="-3"/>
        </w:rPr>
        <w:t>轨交、产业园等领域。</w:t>
      </w:r>
    </w:p>
    <w:p>
      <w:pPr>
        <w:pStyle w:val="BodyText"/>
        <w:spacing w:before="154" w:line="266" w:lineRule="auto"/>
        <w:ind w:left="1132" w:right="1127" w:firstLine="441"/>
        <w:jc w:val="both"/>
      </w:pPr>
      <w:r>
        <w:t>不动产债权投资计划方面，</w:t>
      </w:r>
      <w:r>
        <w:rPr>
          <w:rFonts w:ascii="Arial" w:eastAsia="Arial"/>
        </w:rPr>
        <w:t xml:space="preserve">2023 </w:t>
      </w:r>
      <w:r>
        <w:t>年保险资管机构登记的项目延续了此前的格局，以商业不动产</w:t>
      </w:r>
      <w:r>
        <w:rPr>
          <w:spacing w:val="-8"/>
        </w:rPr>
        <w:t>为主，遍及杭州、苏州、南京、长沙、济南、北京、贵阳等一二三线城市。就发行主体而言，招商信</w:t>
      </w:r>
      <w:r>
        <w:rPr>
          <w:spacing w:val="-13"/>
        </w:rPr>
        <w:t xml:space="preserve">诺资管以 </w:t>
      </w:r>
      <w:r>
        <w:rPr>
          <w:rFonts w:ascii="Arial" w:eastAsia="Arial"/>
        </w:rPr>
        <w:t xml:space="preserve">14 </w:t>
      </w:r>
      <w:r>
        <w:rPr>
          <w:spacing w:val="-8"/>
        </w:rPr>
        <w:t>项位居第一，以商业不动产为主；安联保险资管位居第二，</w:t>
      </w:r>
      <w:r>
        <w:rPr>
          <w:rFonts w:ascii="Arial" w:eastAsia="Arial"/>
          <w:spacing w:val="-6"/>
        </w:rPr>
        <w:t xml:space="preserve">2023 </w:t>
      </w:r>
      <w:r>
        <w:rPr>
          <w:spacing w:val="-12"/>
        </w:rPr>
        <w:t xml:space="preserve">年共登记 </w:t>
      </w:r>
      <w:r>
        <w:rPr>
          <w:rFonts w:ascii="Arial" w:eastAsia="Arial"/>
        </w:rPr>
        <w:t xml:space="preserve">7 </w:t>
      </w:r>
      <w:r>
        <w:rPr>
          <w:spacing w:val="-2"/>
        </w:rPr>
        <w:t>项不动产债</w:t>
      </w:r>
      <w:r>
        <w:rPr>
          <w:spacing w:val="-3"/>
        </w:rPr>
        <w:t>权投资计划。</w:t>
      </w:r>
    </w:p>
    <w:p>
      <w:pPr>
        <w:spacing w:after="0" w:line="266" w:lineRule="auto"/>
        <w:jc w:val="both"/>
        <w:sectPr>
          <w:headerReference w:type="default" r:id="rId36"/>
          <w:footerReference w:type="default" r:id="rId37"/>
          <w:pgSz w:w="11910" w:h="16840"/>
          <w:pgMar w:top="1280" w:right="0" w:bottom="1000" w:left="0" w:header="708" w:footer="708"/>
          <w:pgNumType w:start="13"/>
          <w:cols w:space="708"/>
        </w:sectPr>
      </w:pPr>
    </w:p>
    <w:p>
      <w:pPr>
        <w:pStyle w:val="BodyText"/>
        <w:spacing w:before="72"/>
        <w:ind w:left="1574"/>
      </w:pPr>
      <w:r>
        <w:t xml:space="preserve">绿色债权投资计划方面，“绿色金融”概念最早于 </w:t>
      </w:r>
      <w:r>
        <w:rPr>
          <w:rFonts w:ascii="Arial" w:eastAsia="Arial" w:hAnsi="Arial"/>
        </w:rPr>
        <w:t xml:space="preserve">2015 </w:t>
      </w:r>
      <w:r>
        <w:t xml:space="preserve">年 </w:t>
      </w:r>
      <w:r>
        <w:rPr>
          <w:rFonts w:ascii="Arial" w:eastAsia="Arial" w:hAnsi="Arial"/>
        </w:rPr>
        <w:t xml:space="preserve">9 </w:t>
      </w:r>
      <w:r>
        <w:t>月的《生态文明体制改革总体方案》</w:t>
      </w:r>
    </w:p>
    <w:p>
      <w:pPr>
        <w:pStyle w:val="BodyText"/>
        <w:spacing w:before="30" w:line="266" w:lineRule="auto"/>
        <w:ind w:left="1132" w:right="1016"/>
      </w:pPr>
      <w:r>
        <w:rPr>
          <w:spacing w:val="-5"/>
        </w:rPr>
        <w:t xml:space="preserve">中被正式提出，在 </w:t>
      </w:r>
      <w:r>
        <w:rPr>
          <w:rFonts w:ascii="Arial" w:eastAsia="Arial" w:hAnsi="Arial"/>
        </w:rPr>
        <w:t xml:space="preserve">2021 </w:t>
      </w:r>
      <w:r>
        <w:rPr>
          <w:spacing w:val="-20"/>
        </w:rPr>
        <w:t xml:space="preserve">年 </w:t>
      </w:r>
      <w:r>
        <w:rPr>
          <w:rFonts w:ascii="Arial" w:eastAsia="Arial" w:hAnsi="Arial"/>
        </w:rPr>
        <w:t xml:space="preserve">10 </w:t>
      </w:r>
      <w:r>
        <w:t>月出台的《关于完整准确全面贯彻新发展理念做好碳达峰、碳中和工</w:t>
      </w:r>
      <w:r>
        <w:rPr>
          <w:spacing w:val="-6"/>
        </w:rPr>
        <w:t>作的意见》文件中，“碳达峰和碳中和”、“绿色金融”成为重点发展的战略目标，响应号召，银保</w:t>
      </w:r>
      <w:r>
        <w:rPr>
          <w:spacing w:val="-17"/>
        </w:rPr>
        <w:t xml:space="preserve">监会于 </w:t>
      </w:r>
      <w:r>
        <w:rPr>
          <w:rFonts w:ascii="Arial" w:eastAsia="Arial" w:hAnsi="Arial"/>
        </w:rPr>
        <w:t xml:space="preserve">2022 </w:t>
      </w:r>
      <w:r>
        <w:rPr>
          <w:spacing w:val="-27"/>
        </w:rPr>
        <w:t xml:space="preserve">年 </w:t>
      </w:r>
      <w:r>
        <w:rPr>
          <w:rFonts w:ascii="Arial" w:eastAsia="Arial" w:hAnsi="Arial"/>
        </w:rPr>
        <w:t xml:space="preserve">6 </w:t>
      </w:r>
      <w:r>
        <w:rPr>
          <w:spacing w:val="-3"/>
        </w:rPr>
        <w:t>月出台了具有里程碑意义的《银行业保险业绿色金融指引》，旨在从战略高度推进</w:t>
      </w:r>
      <w:r>
        <w:rPr>
          <w:spacing w:val="-6"/>
        </w:rPr>
        <w:t>银行保险行业绿色发展，助力美丽中国建设。保险资产管理机构作为中国资本市场上重要的长期资金的供给方，积极践行绿色投资理念、助力实体经济转型发展，首单绿色债权投资计划——平安</w:t>
      </w:r>
      <w:r>
        <w:rPr>
          <w:rFonts w:ascii="Arial" w:eastAsia="Arial" w:hAnsi="Arial"/>
          <w:spacing w:val="3"/>
        </w:rPr>
        <w:t>-</w:t>
      </w:r>
      <w:r>
        <w:t xml:space="preserve">江西 </w:t>
      </w:r>
      <w:r>
        <w:rPr>
          <w:spacing w:val="-6"/>
        </w:rPr>
        <w:t xml:space="preserve">交投基础设施绿色债权投资计划于 </w:t>
      </w:r>
      <w:r>
        <w:rPr>
          <w:rFonts w:ascii="Arial" w:eastAsia="Arial" w:hAnsi="Arial"/>
        </w:rPr>
        <w:t xml:space="preserve">2021 </w:t>
      </w:r>
      <w:r>
        <w:rPr>
          <w:spacing w:val="-3"/>
        </w:rPr>
        <w:t>年正式问世。自首单产品问世以来，越来越多的保险资产管</w:t>
      </w:r>
      <w:r>
        <w:rPr>
          <w:spacing w:val="-12"/>
          <w:w w:val="100"/>
        </w:rPr>
        <w:t>理机构入局这一新赛道，</w:t>
      </w:r>
      <w:r>
        <w:rPr>
          <w:rFonts w:ascii="Arial" w:eastAsia="Arial" w:hAnsi="Arial"/>
          <w:spacing w:val="-1"/>
          <w:w w:val="100"/>
        </w:rPr>
        <w:t>202</w:t>
      </w:r>
      <w:r>
        <w:rPr>
          <w:rFonts w:ascii="Arial" w:eastAsia="Arial" w:hAnsi="Arial"/>
          <w:w w:val="100"/>
        </w:rPr>
        <w:t>2</w:t>
      </w:r>
      <w:r>
        <w:rPr>
          <w:rFonts w:ascii="Arial" w:eastAsia="Arial" w:hAnsi="Arial"/>
        </w:rPr>
        <w:t xml:space="preserve"> </w:t>
      </w:r>
      <w:r>
        <w:rPr>
          <w:spacing w:val="-2"/>
          <w:w w:val="100"/>
        </w:rPr>
        <w:t>年全年共登记</w:t>
      </w:r>
      <w:r>
        <w:rPr>
          <w:spacing w:val="-58"/>
        </w:rPr>
        <w:t xml:space="preserve"> </w:t>
      </w:r>
      <w:r>
        <w:rPr>
          <w:rFonts w:ascii="Arial" w:eastAsia="Arial" w:hAnsi="Arial"/>
          <w:spacing w:val="-1"/>
          <w:w w:val="100"/>
        </w:rPr>
        <w:t>1</w:t>
      </w:r>
      <w:r>
        <w:rPr>
          <w:rFonts w:ascii="Arial" w:eastAsia="Arial" w:hAnsi="Arial"/>
          <w:w w:val="100"/>
        </w:rPr>
        <w:t>2</w:t>
      </w:r>
      <w:r>
        <w:rPr>
          <w:rFonts w:ascii="Arial" w:eastAsia="Arial" w:hAnsi="Arial"/>
        </w:rPr>
        <w:t xml:space="preserve"> </w:t>
      </w:r>
      <w:r>
        <w:rPr>
          <w:spacing w:val="-13"/>
          <w:w w:val="100"/>
        </w:rPr>
        <w:t>项绿色债权投资计划，</w:t>
      </w:r>
      <w:r>
        <w:rPr>
          <w:rFonts w:ascii="Arial" w:eastAsia="Arial" w:hAnsi="Arial"/>
          <w:spacing w:val="-1"/>
          <w:w w:val="100"/>
        </w:rPr>
        <w:t>202</w:t>
      </w:r>
      <w:r>
        <w:rPr>
          <w:rFonts w:ascii="Arial" w:eastAsia="Arial" w:hAnsi="Arial"/>
          <w:w w:val="100"/>
        </w:rPr>
        <w:t>3</w:t>
      </w:r>
      <w:r>
        <w:rPr>
          <w:rFonts w:ascii="Arial" w:eastAsia="Arial" w:hAnsi="Arial"/>
        </w:rPr>
        <w:t xml:space="preserve"> </w:t>
      </w:r>
      <w:r>
        <w:rPr>
          <w:spacing w:val="-3"/>
          <w:w w:val="100"/>
        </w:rPr>
        <w:t>年登记数量攀升至</w:t>
      </w:r>
      <w:r>
        <w:rPr>
          <w:spacing w:val="-55"/>
        </w:rPr>
        <w:t xml:space="preserve"> </w:t>
      </w:r>
      <w:r>
        <w:rPr>
          <w:rFonts w:ascii="Arial" w:eastAsia="Arial" w:hAnsi="Arial"/>
          <w:spacing w:val="-1"/>
          <w:w w:val="100"/>
        </w:rPr>
        <w:t>2</w:t>
      </w:r>
      <w:r>
        <w:rPr>
          <w:rFonts w:ascii="Arial" w:eastAsia="Arial" w:hAnsi="Arial"/>
          <w:w w:val="100"/>
        </w:rPr>
        <w:t>8</w:t>
      </w:r>
      <w:r>
        <w:rPr>
          <w:rFonts w:ascii="Arial" w:eastAsia="Arial" w:hAnsi="Arial"/>
        </w:rPr>
        <w:t xml:space="preserve"> </w:t>
      </w:r>
      <w:r>
        <w:rPr>
          <w:spacing w:val="-1"/>
          <w:w w:val="100"/>
        </w:rPr>
        <w:t>项，</w:t>
      </w:r>
      <w:r>
        <w:rPr>
          <w:spacing w:val="-9"/>
        </w:rPr>
        <w:t>且以基础设施债权投资计划为主，主要覆盖不动产、轨交、高速、新能源、污废治理等领域，其中招</w:t>
      </w:r>
      <w:r>
        <w:rPr>
          <w:spacing w:val="-11"/>
        </w:rPr>
        <w:t xml:space="preserve">商信诺资管以 </w:t>
      </w:r>
      <w:r>
        <w:rPr>
          <w:rFonts w:ascii="Arial" w:eastAsia="Arial" w:hAnsi="Arial"/>
        </w:rPr>
        <w:t>5</w:t>
      </w:r>
      <w:r>
        <w:rPr>
          <w:rFonts w:ascii="Arial" w:eastAsia="Arial" w:hAnsi="Arial"/>
          <w:spacing w:val="-7"/>
        </w:rPr>
        <w:t xml:space="preserve"> </w:t>
      </w:r>
      <w:r>
        <w:rPr>
          <w:spacing w:val="-3"/>
        </w:rPr>
        <w:t>项的注册数量位居第一。</w:t>
      </w:r>
    </w:p>
    <w:p>
      <w:pPr>
        <w:spacing w:before="159" w:after="29"/>
        <w:ind w:left="1032" w:right="0" w:firstLine="0"/>
        <w:jc w:val="left"/>
        <w:rPr>
          <w:sz w:val="20"/>
        </w:rPr>
      </w:pPr>
      <w:r>
        <w:rPr>
          <w:sz w:val="20"/>
        </w:rPr>
        <w:t xml:space="preserve">表 </w:t>
      </w:r>
      <w:r>
        <w:rPr>
          <w:rFonts w:ascii="Arial" w:eastAsia="Arial"/>
          <w:sz w:val="20"/>
        </w:rPr>
        <w:t xml:space="preserve">8 2023 </w:t>
      </w:r>
      <w:r>
        <w:rPr>
          <w:sz w:val="20"/>
        </w:rPr>
        <w:t>年登记的绿色债权投资计划</w:t>
      </w:r>
    </w:p>
    <w:tbl>
      <w:tblPr>
        <w:tblStyle w:val="TableNormal6"/>
        <w:tblW w:w="0" w:type="auto"/>
        <w:jc w:val="left"/>
        <w:tblInd w:w="929"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2127"/>
        <w:gridCol w:w="5662"/>
        <w:gridCol w:w="2268"/>
      </w:tblGrid>
      <w:tr>
        <w:tblPrEx>
          <w:tblW w:w="0" w:type="auto"/>
          <w:jc w:val="left"/>
          <w:tblInd w:w="929"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571"/>
          <w:jc w:val="left"/>
        </w:trPr>
        <w:tc>
          <w:tcPr>
            <w:tcW w:w="2127" w:type="dxa"/>
            <w:tcBorders>
              <w:left w:val="dotted" w:sz="4" w:space="0" w:color="000000"/>
              <w:bottom w:val="single" w:sz="6" w:space="0" w:color="BD0000"/>
              <w:right w:val="dotted" w:sz="4" w:space="0" w:color="000000"/>
            </w:tcBorders>
          </w:tcPr>
          <w:p>
            <w:pPr>
              <w:pStyle w:val="TableParagraph"/>
              <w:spacing w:before="158"/>
              <w:ind w:left="214" w:right="206"/>
              <w:rPr>
                <w:b/>
                <w:sz w:val="20"/>
              </w:rPr>
            </w:pPr>
            <w:r>
              <w:rPr>
                <w:b/>
                <w:sz w:val="20"/>
              </w:rPr>
              <w:t>发行主体</w:t>
            </w:r>
          </w:p>
        </w:tc>
        <w:tc>
          <w:tcPr>
            <w:tcW w:w="5662" w:type="dxa"/>
            <w:tcBorders>
              <w:left w:val="dotted" w:sz="4" w:space="0" w:color="000000"/>
              <w:bottom w:val="single" w:sz="6" w:space="0" w:color="BD0000"/>
              <w:right w:val="dotted" w:sz="4" w:space="0" w:color="000000"/>
            </w:tcBorders>
          </w:tcPr>
          <w:p>
            <w:pPr>
              <w:pStyle w:val="TableParagraph"/>
              <w:spacing w:before="158"/>
              <w:ind w:left="177" w:right="167"/>
              <w:rPr>
                <w:b/>
                <w:sz w:val="20"/>
              </w:rPr>
            </w:pPr>
            <w:r>
              <w:rPr>
                <w:b/>
                <w:sz w:val="20"/>
              </w:rPr>
              <w:t>项目名称</w:t>
            </w:r>
          </w:p>
        </w:tc>
        <w:tc>
          <w:tcPr>
            <w:tcW w:w="2268" w:type="dxa"/>
            <w:tcBorders>
              <w:left w:val="dotted" w:sz="4" w:space="0" w:color="000000"/>
              <w:bottom w:val="single" w:sz="6" w:space="0" w:color="BD0000"/>
              <w:right w:val="dotted" w:sz="4" w:space="0" w:color="000000"/>
            </w:tcBorders>
          </w:tcPr>
          <w:p>
            <w:pPr>
              <w:pStyle w:val="TableParagraph"/>
              <w:spacing w:before="158"/>
              <w:ind w:left="112" w:right="103"/>
              <w:rPr>
                <w:b/>
                <w:sz w:val="20"/>
              </w:rPr>
            </w:pPr>
            <w:r>
              <w:rPr>
                <w:b/>
                <w:sz w:val="20"/>
              </w:rPr>
              <w:t>项目类别</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val="restart"/>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0"/>
              <w:jc w:val="left"/>
              <w:rPr>
                <w:sz w:val="20"/>
              </w:rPr>
            </w:pPr>
          </w:p>
          <w:p>
            <w:pPr>
              <w:pStyle w:val="TableParagraph"/>
              <w:spacing w:before="0"/>
              <w:jc w:val="left"/>
              <w:rPr>
                <w:sz w:val="20"/>
              </w:rPr>
            </w:pPr>
          </w:p>
          <w:p>
            <w:pPr>
              <w:pStyle w:val="TableParagraph"/>
              <w:spacing w:before="159"/>
              <w:ind w:left="462"/>
              <w:jc w:val="left"/>
              <w:rPr>
                <w:sz w:val="20"/>
              </w:rPr>
            </w:pPr>
            <w:r>
              <w:rPr>
                <w:sz w:val="20"/>
              </w:rPr>
              <w:t>招商信诺资管</w:t>
            </w:r>
          </w:p>
        </w:tc>
        <w:tc>
          <w:tcPr>
            <w:tcW w:w="5662"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28"/>
              <w:ind w:left="174" w:right="167"/>
              <w:rPr>
                <w:sz w:val="20"/>
              </w:rPr>
            </w:pPr>
            <w:r>
              <w:rPr>
                <w:sz w:val="20"/>
              </w:rPr>
              <w:t>招商信诺资管</w:t>
            </w:r>
            <w:r>
              <w:rPr>
                <w:rFonts w:ascii="Arial" w:eastAsia="Arial"/>
                <w:sz w:val="20"/>
              </w:rPr>
              <w:t>-</w:t>
            </w:r>
            <w:r>
              <w:rPr>
                <w:sz w:val="20"/>
              </w:rPr>
              <w:t>粗芦岛核心区一期绿色债权投资计划</w:t>
            </w:r>
          </w:p>
        </w:tc>
        <w:tc>
          <w:tcPr>
            <w:tcW w:w="2268"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77" w:right="166"/>
              <w:rPr>
                <w:rFonts w:ascii="Arial" w:eastAsia="Arial"/>
                <w:sz w:val="20"/>
              </w:rPr>
            </w:pPr>
            <w:r>
              <w:rPr>
                <w:sz w:val="20"/>
              </w:rPr>
              <w:t>招商信诺资管</w:t>
            </w:r>
            <w:r>
              <w:rPr>
                <w:rFonts w:ascii="Arial" w:eastAsia="Arial"/>
                <w:sz w:val="20"/>
              </w:rPr>
              <w:t>-</w:t>
            </w:r>
            <w:r>
              <w:rPr>
                <w:sz w:val="20"/>
              </w:rPr>
              <w:t>佛山地铁基础设施绿色债权投资计划</w:t>
            </w:r>
            <w:r>
              <w:rPr>
                <w:rFonts w:ascii="Arial" w:eastAsia="Arial"/>
                <w:sz w:val="20"/>
              </w:rPr>
              <w:t>(</w:t>
            </w:r>
            <w:r>
              <w:rPr>
                <w:sz w:val="20"/>
              </w:rPr>
              <w:t>二期</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77" w:right="166"/>
              <w:rPr>
                <w:rFonts w:ascii="Arial" w:eastAsia="Arial"/>
                <w:sz w:val="20"/>
              </w:rPr>
            </w:pPr>
            <w:r>
              <w:rPr>
                <w:sz w:val="20"/>
              </w:rPr>
              <w:t>招商信诺资管</w:t>
            </w:r>
            <w:r>
              <w:rPr>
                <w:rFonts w:ascii="Arial" w:eastAsia="Arial"/>
                <w:sz w:val="20"/>
              </w:rPr>
              <w:t>-</w:t>
            </w:r>
            <w:r>
              <w:rPr>
                <w:sz w:val="20"/>
              </w:rPr>
              <w:t>佛山地铁基础设施绿色债权投资计划</w:t>
            </w:r>
            <w:r>
              <w:rPr>
                <w:rFonts w:ascii="Arial" w:eastAsia="Arial"/>
                <w:sz w:val="20"/>
              </w:rPr>
              <w:t>(</w:t>
            </w:r>
            <w:r>
              <w:rPr>
                <w:sz w:val="20"/>
              </w:rPr>
              <w:t>一期</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77" w:right="167"/>
              <w:rPr>
                <w:sz w:val="20"/>
              </w:rPr>
            </w:pPr>
            <w:r>
              <w:rPr>
                <w:sz w:val="20"/>
              </w:rPr>
              <w:t>招商信诺资管</w:t>
            </w:r>
            <w:r>
              <w:rPr>
                <w:rFonts w:ascii="Arial" w:eastAsia="Arial"/>
                <w:sz w:val="20"/>
              </w:rPr>
              <w:t>-</w:t>
            </w:r>
            <w:r>
              <w:rPr>
                <w:sz w:val="20"/>
              </w:rPr>
              <w:t>莞惠城际北延线绿色债权投资计划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12" w:right="103"/>
              <w:rPr>
                <w:sz w:val="20"/>
              </w:rPr>
            </w:pPr>
            <w:r>
              <w:rPr>
                <w:sz w:val="20"/>
              </w:rPr>
              <w:t>项目债权投资计划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9"/>
              <w:ind w:left="174" w:right="167"/>
              <w:rPr>
                <w:sz w:val="20"/>
              </w:rPr>
            </w:pPr>
            <w:r>
              <w:rPr>
                <w:sz w:val="20"/>
              </w:rPr>
              <w:t>招商信诺资管</w:t>
            </w:r>
            <w:r>
              <w:rPr>
                <w:rFonts w:ascii="Arial" w:eastAsia="Arial"/>
                <w:sz w:val="20"/>
              </w:rPr>
              <w:t>-</w:t>
            </w:r>
            <w:r>
              <w:rPr>
                <w:sz w:val="20"/>
              </w:rPr>
              <w:t>徐州循环经济产业园绿色债权投资计划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9"/>
              <w:ind w:left="112" w:right="103"/>
              <w:rPr>
                <w:sz w:val="20"/>
              </w:rPr>
            </w:pPr>
            <w:r>
              <w:rPr>
                <w:sz w:val="20"/>
              </w:rPr>
              <w:t>项目债权投资计划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0"/>
              <w:jc w:val="left"/>
              <w:rPr>
                <w:sz w:val="20"/>
              </w:rPr>
            </w:pPr>
          </w:p>
          <w:p>
            <w:pPr>
              <w:pStyle w:val="TableParagraph"/>
              <w:spacing w:before="11"/>
              <w:jc w:val="left"/>
              <w:rPr>
                <w:sz w:val="19"/>
              </w:rPr>
            </w:pPr>
          </w:p>
          <w:p>
            <w:pPr>
              <w:pStyle w:val="TableParagraph"/>
              <w:spacing w:before="0"/>
              <w:ind w:left="662"/>
              <w:jc w:val="left"/>
              <w:rPr>
                <w:sz w:val="20"/>
              </w:rPr>
            </w:pPr>
            <w:r>
              <w:rPr>
                <w:sz w:val="20"/>
              </w:rPr>
              <w:t>人保资管</w:t>
            </w: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8"/>
              <w:ind w:left="174" w:right="167"/>
              <w:rPr>
                <w:sz w:val="20"/>
              </w:rPr>
            </w:pPr>
            <w:r>
              <w:rPr>
                <w:sz w:val="20"/>
              </w:rPr>
              <w:t>人保资产</w:t>
            </w:r>
            <w:r>
              <w:rPr>
                <w:rFonts w:ascii="Arial" w:eastAsia="Arial"/>
                <w:sz w:val="20"/>
              </w:rPr>
              <w:t>-</w:t>
            </w:r>
            <w:r>
              <w:rPr>
                <w:sz w:val="20"/>
              </w:rPr>
              <w:t>丰台科技园基础设施绿色债权投资计划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8"/>
              <w:ind w:left="177" w:right="166"/>
              <w:rPr>
                <w:rFonts w:ascii="Arial" w:eastAsia="Arial"/>
                <w:sz w:val="20"/>
              </w:rPr>
            </w:pPr>
            <w:r>
              <w:rPr>
                <w:sz w:val="20"/>
              </w:rPr>
              <w:t>人保资产</w:t>
            </w:r>
            <w:r>
              <w:rPr>
                <w:rFonts w:ascii="Arial" w:eastAsia="Arial"/>
                <w:sz w:val="20"/>
              </w:rPr>
              <w:t>-</w:t>
            </w:r>
            <w:r>
              <w:rPr>
                <w:sz w:val="20"/>
              </w:rPr>
              <w:t>佛山地铁基础设施绿色债权投资计划</w:t>
            </w:r>
            <w:r>
              <w:rPr>
                <w:rFonts w:ascii="Arial" w:eastAsia="Arial"/>
                <w:sz w:val="20"/>
              </w:rPr>
              <w:t>(</w:t>
            </w:r>
            <w:r>
              <w:rPr>
                <w:sz w:val="20"/>
              </w:rPr>
              <w:t>一</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7"/>
              <w:ind w:left="177" w:right="167"/>
              <w:rPr>
                <w:sz w:val="20"/>
              </w:rPr>
            </w:pPr>
            <w:r>
              <w:rPr>
                <w:sz w:val="20"/>
              </w:rPr>
              <w:t>人保资产</w:t>
            </w:r>
            <w:r>
              <w:rPr>
                <w:rFonts w:ascii="Arial" w:eastAsia="Arial"/>
                <w:sz w:val="20"/>
              </w:rPr>
              <w:t>-</w:t>
            </w:r>
            <w:r>
              <w:rPr>
                <w:sz w:val="20"/>
              </w:rPr>
              <w:t>河南水投基础设施绿色债权投资计划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tcBorders>
              <w:top w:val="nil"/>
              <w:left w:val="dotted" w:sz="4" w:space="0" w:color="000000"/>
              <w:bottom w:val="dotted" w:sz="4" w:space="0" w:color="000000"/>
              <w:right w:val="dotted" w:sz="4" w:space="0" w:color="000000"/>
            </w:tcBorders>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7"/>
              <w:ind w:left="177" w:right="167"/>
              <w:rPr>
                <w:sz w:val="20"/>
              </w:rPr>
            </w:pPr>
            <w:r>
              <w:rPr>
                <w:sz w:val="20"/>
              </w:rPr>
              <w:t>人保资产</w:t>
            </w:r>
            <w:r>
              <w:rPr>
                <w:rFonts w:ascii="Arial" w:eastAsia="Arial"/>
                <w:sz w:val="20"/>
              </w:rPr>
              <w:t>-</w:t>
            </w:r>
            <w:r>
              <w:rPr>
                <w:sz w:val="20"/>
              </w:rPr>
              <w:t>信阳市四水同治及城市供水工程绿色债权投资计划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7"/>
              <w:ind w:left="112" w:right="103"/>
              <w:rPr>
                <w:sz w:val="20"/>
              </w:rPr>
            </w:pPr>
            <w:r>
              <w:rPr>
                <w:sz w:val="20"/>
              </w:rPr>
              <w:t>项目债权投资计划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val="restart"/>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
              <w:jc w:val="left"/>
              <w:rPr>
                <w:sz w:val="27"/>
              </w:rPr>
            </w:pPr>
          </w:p>
          <w:p>
            <w:pPr>
              <w:pStyle w:val="TableParagraph"/>
              <w:spacing w:before="0"/>
              <w:ind w:left="462"/>
              <w:jc w:val="left"/>
              <w:rPr>
                <w:sz w:val="20"/>
              </w:rPr>
            </w:pPr>
            <w:r>
              <w:rPr>
                <w:sz w:val="20"/>
              </w:rPr>
              <w:t>建信保险资管</w:t>
            </w: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77" w:right="166"/>
              <w:rPr>
                <w:rFonts w:ascii="Arial" w:eastAsia="Arial"/>
                <w:sz w:val="20"/>
              </w:rPr>
            </w:pPr>
            <w:r>
              <w:rPr>
                <w:sz w:val="20"/>
              </w:rPr>
              <w:t>建信保险资管</w:t>
            </w:r>
            <w:r>
              <w:rPr>
                <w:rFonts w:ascii="Arial" w:eastAsia="Arial"/>
                <w:sz w:val="20"/>
              </w:rPr>
              <w:t>-</w:t>
            </w:r>
            <w:r>
              <w:rPr>
                <w:sz w:val="20"/>
              </w:rPr>
              <w:t>佛山地铁基础设施绿色债权投资计划</w:t>
            </w:r>
            <w:r>
              <w:rPr>
                <w:rFonts w:ascii="Arial" w:eastAsia="Arial"/>
                <w:sz w:val="20"/>
              </w:rPr>
              <w:t>(</w:t>
            </w:r>
            <w:r>
              <w:rPr>
                <w:sz w:val="20"/>
              </w:rPr>
              <w:t>一期</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9"/>
              <w:ind w:left="174" w:right="167"/>
              <w:rPr>
                <w:sz w:val="20"/>
              </w:rPr>
            </w:pPr>
            <w:r>
              <w:rPr>
                <w:sz w:val="20"/>
              </w:rPr>
              <w:t>建信保险资管</w:t>
            </w:r>
            <w:r>
              <w:rPr>
                <w:rFonts w:ascii="Arial" w:eastAsia="Arial"/>
                <w:sz w:val="20"/>
              </w:rPr>
              <w:t>-</w:t>
            </w:r>
            <w:r>
              <w:rPr>
                <w:sz w:val="20"/>
              </w:rPr>
              <w:t>芜湖交投塔桥项目绿色债权投资计划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9"/>
              <w:ind w:left="112" w:right="103"/>
              <w:rPr>
                <w:sz w:val="20"/>
              </w:rPr>
            </w:pPr>
            <w:r>
              <w:rPr>
                <w:sz w:val="20"/>
              </w:rPr>
              <w:t>项目债权投资计划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77" w:right="167"/>
              <w:rPr>
                <w:sz w:val="20"/>
              </w:rPr>
            </w:pPr>
            <w:r>
              <w:rPr>
                <w:sz w:val="20"/>
              </w:rPr>
              <w:t>建信保险资管</w:t>
            </w:r>
            <w:r>
              <w:rPr>
                <w:rFonts w:ascii="Arial" w:eastAsia="Arial"/>
                <w:sz w:val="20"/>
              </w:rPr>
              <w:t>-</w:t>
            </w:r>
            <w:r>
              <w:rPr>
                <w:sz w:val="20"/>
              </w:rPr>
              <w:t>漳州九龙江医院绿色债权投资计划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12" w:right="103"/>
              <w:rPr>
                <w:sz w:val="20"/>
              </w:rPr>
            </w:pPr>
            <w:r>
              <w:rPr>
                <w:sz w:val="20"/>
              </w:rPr>
              <w:t>项目债权投资计划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27"/>
              </w:rPr>
            </w:pPr>
          </w:p>
          <w:p>
            <w:pPr>
              <w:pStyle w:val="TableParagraph"/>
              <w:spacing w:before="1"/>
              <w:ind w:left="462"/>
              <w:jc w:val="left"/>
              <w:rPr>
                <w:sz w:val="20"/>
              </w:rPr>
            </w:pPr>
            <w:r>
              <w:rPr>
                <w:sz w:val="20"/>
              </w:rPr>
              <w:t>交银康联资管</w:t>
            </w: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8"/>
              <w:ind w:left="177" w:right="167"/>
              <w:rPr>
                <w:sz w:val="20"/>
              </w:rPr>
            </w:pPr>
            <w:r>
              <w:rPr>
                <w:sz w:val="20"/>
              </w:rPr>
              <w:t>交银</w:t>
            </w:r>
            <w:r>
              <w:rPr>
                <w:rFonts w:ascii="Arial" w:eastAsia="Arial"/>
                <w:sz w:val="20"/>
              </w:rPr>
              <w:t>-</w:t>
            </w:r>
            <w:r>
              <w:rPr>
                <w:sz w:val="20"/>
              </w:rPr>
              <w:t>奉发古华绿色债权投资计划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8"/>
              <w:ind w:left="112" w:right="103"/>
              <w:rPr>
                <w:sz w:val="20"/>
              </w:rPr>
            </w:pPr>
            <w:r>
              <w:rPr>
                <w:sz w:val="20"/>
              </w:rPr>
              <w:t>项目债权投资计划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tcBorders>
              <w:top w:val="nil"/>
              <w:left w:val="dotted" w:sz="4" w:space="0" w:color="000000"/>
              <w:bottom w:val="dotted" w:sz="4" w:space="0" w:color="000000"/>
              <w:right w:val="dotted" w:sz="4" w:space="0" w:color="000000"/>
            </w:tcBorders>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7"/>
              <w:ind w:left="174" w:right="167"/>
              <w:rPr>
                <w:sz w:val="20"/>
              </w:rPr>
            </w:pPr>
            <w:r>
              <w:rPr>
                <w:sz w:val="20"/>
              </w:rPr>
              <w:t>交银</w:t>
            </w:r>
            <w:r>
              <w:rPr>
                <w:rFonts w:ascii="Arial" w:eastAsia="Arial"/>
                <w:sz w:val="20"/>
              </w:rPr>
              <w:t>-</w:t>
            </w:r>
            <w:r>
              <w:rPr>
                <w:sz w:val="20"/>
              </w:rPr>
              <w:t>湖北交投绿色基础设施债权投资计划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7"/>
              <w:ind w:left="177" w:right="167"/>
              <w:rPr>
                <w:sz w:val="20"/>
              </w:rPr>
            </w:pPr>
            <w:r>
              <w:rPr>
                <w:sz w:val="20"/>
              </w:rPr>
              <w:t>交银</w:t>
            </w:r>
            <w:r>
              <w:rPr>
                <w:rFonts w:ascii="Arial" w:eastAsia="Arial"/>
                <w:sz w:val="20"/>
              </w:rPr>
              <w:t>-</w:t>
            </w:r>
            <w:r>
              <w:rPr>
                <w:sz w:val="20"/>
              </w:rPr>
              <w:t>新盛绿源循环基础设施绿色债权投资计划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val="restart"/>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10"/>
              <w:jc w:val="left"/>
              <w:rPr>
                <w:sz w:val="14"/>
              </w:rPr>
            </w:pPr>
          </w:p>
          <w:p>
            <w:pPr>
              <w:pStyle w:val="TableParagraph"/>
              <w:spacing w:before="1"/>
              <w:ind w:left="662"/>
              <w:jc w:val="left"/>
              <w:rPr>
                <w:sz w:val="20"/>
              </w:rPr>
            </w:pPr>
            <w:r>
              <w:rPr>
                <w:sz w:val="20"/>
              </w:rPr>
              <w:t>平安资管</w:t>
            </w: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77" w:right="167"/>
              <w:rPr>
                <w:sz w:val="20"/>
              </w:rPr>
            </w:pPr>
            <w:r>
              <w:rPr>
                <w:sz w:val="20"/>
              </w:rPr>
              <w:t>平安</w:t>
            </w:r>
            <w:r>
              <w:rPr>
                <w:rFonts w:ascii="Arial" w:eastAsia="Arial"/>
                <w:sz w:val="20"/>
              </w:rPr>
              <w:t>-</w:t>
            </w:r>
            <w:r>
              <w:rPr>
                <w:sz w:val="20"/>
              </w:rPr>
              <w:t>绿发九寨不动产绿色债权投资计划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12" w:right="103"/>
              <w:rPr>
                <w:sz w:val="20"/>
              </w:rPr>
            </w:pPr>
            <w:r>
              <w:rPr>
                <w:sz w:val="20"/>
              </w:rPr>
              <w:t>不动产债权投资计划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9"/>
              <w:ind w:left="174" w:right="167"/>
              <w:rPr>
                <w:sz w:val="20"/>
              </w:rPr>
            </w:pPr>
            <w:r>
              <w:rPr>
                <w:sz w:val="20"/>
              </w:rPr>
              <w:t>平安</w:t>
            </w:r>
            <w:r>
              <w:rPr>
                <w:rFonts w:ascii="Arial" w:eastAsia="Arial"/>
                <w:sz w:val="20"/>
              </w:rPr>
              <w:t>-</w:t>
            </w:r>
            <w:r>
              <w:rPr>
                <w:sz w:val="20"/>
              </w:rPr>
              <w:t>新能源电池基础设施绿色债权投资计划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9"/>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10"/>
              <w:jc w:val="left"/>
              <w:rPr>
                <w:sz w:val="14"/>
              </w:rPr>
            </w:pPr>
          </w:p>
          <w:p>
            <w:pPr>
              <w:pStyle w:val="TableParagraph"/>
              <w:spacing w:before="0"/>
              <w:ind w:left="462"/>
              <w:jc w:val="left"/>
              <w:rPr>
                <w:sz w:val="20"/>
              </w:rPr>
            </w:pPr>
            <w:r>
              <w:rPr>
                <w:sz w:val="20"/>
              </w:rPr>
              <w:t>中信保诚资管</w:t>
            </w: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8"/>
              <w:ind w:left="177" w:right="166"/>
              <w:rPr>
                <w:rFonts w:ascii="Arial" w:eastAsia="Arial"/>
                <w:sz w:val="20"/>
              </w:rPr>
            </w:pPr>
            <w:r>
              <w:rPr>
                <w:sz w:val="20"/>
              </w:rPr>
              <w:t>中信保诚</w:t>
            </w:r>
            <w:r>
              <w:rPr>
                <w:rFonts w:ascii="Arial" w:eastAsia="Arial"/>
                <w:sz w:val="20"/>
              </w:rPr>
              <w:t>-</w:t>
            </w:r>
            <w:r>
              <w:rPr>
                <w:sz w:val="20"/>
              </w:rPr>
              <w:t>四川港投老木孔基础设施绿色债权投资计划</w:t>
            </w:r>
            <w:r>
              <w:rPr>
                <w:rFonts w:ascii="Arial" w:eastAsia="Arial"/>
                <w:sz w:val="20"/>
              </w:rPr>
              <w:t>(</w:t>
            </w:r>
            <w:r>
              <w:rPr>
                <w:sz w:val="20"/>
              </w:rPr>
              <w:t>二期</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8"/>
              <w:ind w:left="177" w:right="166"/>
              <w:rPr>
                <w:rFonts w:ascii="Arial" w:eastAsia="Arial"/>
                <w:sz w:val="20"/>
              </w:rPr>
            </w:pPr>
            <w:r>
              <w:rPr>
                <w:sz w:val="20"/>
              </w:rPr>
              <w:t>中信保诚</w:t>
            </w:r>
            <w:r>
              <w:rPr>
                <w:rFonts w:ascii="Arial" w:eastAsia="Arial"/>
                <w:sz w:val="20"/>
              </w:rPr>
              <w:t>-</w:t>
            </w:r>
            <w:r>
              <w:rPr>
                <w:sz w:val="20"/>
              </w:rPr>
              <w:t>四川港投老木孔基础设施绿色债权投资计划</w:t>
            </w:r>
            <w:r>
              <w:rPr>
                <w:rFonts w:ascii="Arial" w:eastAsia="Arial"/>
                <w:sz w:val="20"/>
              </w:rPr>
              <w:t>(</w:t>
            </w:r>
            <w:r>
              <w:rPr>
                <w:sz w:val="20"/>
              </w:rPr>
              <w:t>一期</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val="restart"/>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9"/>
              <w:jc w:val="left"/>
              <w:rPr>
                <w:sz w:val="14"/>
              </w:rPr>
            </w:pPr>
          </w:p>
          <w:p>
            <w:pPr>
              <w:pStyle w:val="TableParagraph"/>
              <w:spacing w:before="0"/>
              <w:ind w:left="263"/>
              <w:jc w:val="left"/>
              <w:rPr>
                <w:sz w:val="20"/>
              </w:rPr>
            </w:pPr>
            <w:r>
              <w:rPr>
                <w:sz w:val="20"/>
              </w:rPr>
              <w:t>国华兴益保险资管</w:t>
            </w: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74" w:right="167"/>
              <w:rPr>
                <w:sz w:val="20"/>
              </w:rPr>
            </w:pPr>
            <w:r>
              <w:rPr>
                <w:sz w:val="20"/>
              </w:rPr>
              <w:t>国华兴益</w:t>
            </w:r>
            <w:r>
              <w:rPr>
                <w:rFonts w:ascii="Arial" w:eastAsia="Arial"/>
                <w:sz w:val="20"/>
              </w:rPr>
              <w:t>-</w:t>
            </w:r>
            <w:r>
              <w:rPr>
                <w:sz w:val="20"/>
              </w:rPr>
              <w:t>北京琉璃河基础设施绿色债权投资计划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77" w:right="166"/>
              <w:rPr>
                <w:rFonts w:ascii="Arial" w:eastAsia="Arial"/>
                <w:sz w:val="20"/>
              </w:rPr>
            </w:pPr>
            <w:r>
              <w:rPr>
                <w:sz w:val="20"/>
              </w:rPr>
              <w:t>国华兴益</w:t>
            </w:r>
            <w:r>
              <w:rPr>
                <w:rFonts w:ascii="Arial" w:eastAsia="Arial"/>
                <w:sz w:val="20"/>
              </w:rPr>
              <w:t>-</w:t>
            </w:r>
            <w:r>
              <w:rPr>
                <w:sz w:val="20"/>
              </w:rPr>
              <w:t>河南水投绿色基础设施债权投资计划</w:t>
            </w:r>
            <w:r>
              <w:rPr>
                <w:rFonts w:ascii="Arial" w:eastAsia="Arial"/>
                <w:sz w:val="20"/>
              </w:rPr>
              <w:t>(</w:t>
            </w:r>
            <w:r>
              <w:rPr>
                <w:sz w:val="20"/>
              </w:rPr>
              <w:t>一期</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10"/>
              <w:jc w:val="left"/>
              <w:rPr>
                <w:sz w:val="14"/>
              </w:rPr>
            </w:pPr>
          </w:p>
          <w:p>
            <w:pPr>
              <w:pStyle w:val="TableParagraph"/>
              <w:spacing w:before="1"/>
              <w:ind w:left="462"/>
              <w:jc w:val="left"/>
              <w:rPr>
                <w:sz w:val="20"/>
              </w:rPr>
            </w:pPr>
            <w:r>
              <w:rPr>
                <w:sz w:val="20"/>
              </w:rPr>
              <w:t>工银安盛资管</w:t>
            </w: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7"/>
              <w:ind w:left="177" w:right="167"/>
              <w:rPr>
                <w:sz w:val="20"/>
              </w:rPr>
            </w:pPr>
            <w:r>
              <w:rPr>
                <w:sz w:val="20"/>
              </w:rPr>
              <w:t>工银安盛</w:t>
            </w:r>
            <w:r>
              <w:rPr>
                <w:rFonts w:ascii="Arial" w:eastAsia="Arial"/>
                <w:sz w:val="20"/>
              </w:rPr>
              <w:t>-</w:t>
            </w:r>
            <w:r>
              <w:rPr>
                <w:sz w:val="20"/>
              </w:rPr>
              <w:t>白云水库绿色基础设施债权投资计划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vMerge/>
            <w:tcBorders>
              <w:top w:val="nil"/>
              <w:left w:val="dotted" w:sz="4" w:space="0" w:color="000000"/>
              <w:bottom w:val="dotted" w:sz="4" w:space="0" w:color="000000"/>
              <w:right w:val="dotted" w:sz="4" w:space="0" w:color="000000"/>
            </w:tcBorders>
          </w:tcPr>
          <w:p>
            <w:pPr>
              <w:rPr>
                <w:sz w:val="2"/>
                <w:szCs w:val="2"/>
              </w:rPr>
            </w:pP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9"/>
              <w:ind w:left="174" w:right="167"/>
              <w:rPr>
                <w:sz w:val="20"/>
              </w:rPr>
            </w:pPr>
            <w:r>
              <w:rPr>
                <w:sz w:val="20"/>
              </w:rPr>
              <w:t>工银安盛</w:t>
            </w:r>
            <w:r>
              <w:rPr>
                <w:rFonts w:ascii="Arial" w:eastAsia="Arial"/>
                <w:sz w:val="20"/>
              </w:rPr>
              <w:t>-</w:t>
            </w:r>
            <w:r>
              <w:rPr>
                <w:sz w:val="20"/>
              </w:rPr>
              <w:t>滨江水环境绿色基础设施债权投资计划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9"/>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212" w:right="206"/>
              <w:rPr>
                <w:sz w:val="20"/>
              </w:rPr>
            </w:pPr>
            <w:r>
              <w:rPr>
                <w:sz w:val="20"/>
              </w:rPr>
              <w:t>国寿投资</w:t>
            </w: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74" w:right="167"/>
              <w:rPr>
                <w:sz w:val="20"/>
              </w:rPr>
            </w:pPr>
            <w:r>
              <w:rPr>
                <w:sz w:val="20"/>
              </w:rPr>
              <w:t>国寿投资</w:t>
            </w:r>
            <w:r>
              <w:rPr>
                <w:rFonts w:ascii="Arial" w:eastAsia="Arial"/>
                <w:sz w:val="20"/>
              </w:rPr>
              <w:t>-</w:t>
            </w:r>
            <w:r>
              <w:rPr>
                <w:sz w:val="20"/>
              </w:rPr>
              <w:t>中节能绿色基础设施债权投资计划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tcBorders>
              <w:top w:val="dotted" w:sz="4" w:space="0" w:color="000000"/>
              <w:left w:val="dotted" w:sz="4" w:space="0" w:color="000000"/>
              <w:bottom w:val="dotted" w:sz="4" w:space="0" w:color="000000"/>
              <w:right w:val="dotted" w:sz="4" w:space="0" w:color="000000"/>
            </w:tcBorders>
          </w:tcPr>
          <w:p>
            <w:pPr>
              <w:pStyle w:val="TableParagraph"/>
              <w:spacing w:before="28"/>
              <w:ind w:left="212" w:right="206"/>
              <w:rPr>
                <w:sz w:val="20"/>
              </w:rPr>
            </w:pPr>
            <w:r>
              <w:rPr>
                <w:sz w:val="20"/>
              </w:rPr>
              <w:t>华泰资管</w:t>
            </w: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8"/>
              <w:ind w:left="176" w:right="167"/>
              <w:rPr>
                <w:rFonts w:ascii="Arial" w:eastAsia="Arial"/>
                <w:sz w:val="20"/>
              </w:rPr>
            </w:pPr>
            <w:r>
              <w:rPr>
                <w:sz w:val="20"/>
              </w:rPr>
              <w:t>华泰</w:t>
            </w:r>
            <w:r>
              <w:rPr>
                <w:rFonts w:ascii="Arial" w:eastAsia="Arial"/>
                <w:sz w:val="20"/>
              </w:rPr>
              <w:t>-</w:t>
            </w:r>
            <w:r>
              <w:rPr>
                <w:sz w:val="20"/>
              </w:rPr>
              <w:t>佛山地铁绿色基础设施债权投资计划</w:t>
            </w:r>
            <w:r>
              <w:rPr>
                <w:rFonts w:ascii="Arial" w:eastAsia="Arial"/>
                <w:sz w:val="20"/>
              </w:rPr>
              <w:t xml:space="preserve">(1 </w:t>
            </w:r>
            <w:r>
              <w:rPr>
                <w:sz w:val="20"/>
              </w:rPr>
              <w:t>号</w:t>
            </w:r>
            <w:r>
              <w:rPr>
                <w:rFonts w:ascii="Arial" w:eastAsia="Arial"/>
                <w:sz w:val="20"/>
              </w:rPr>
              <w:t>)</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8"/>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212" w:right="206"/>
              <w:rPr>
                <w:sz w:val="20"/>
              </w:rPr>
            </w:pPr>
            <w:r>
              <w:rPr>
                <w:sz w:val="20"/>
              </w:rPr>
              <w:t>人保资本</w:t>
            </w:r>
          </w:p>
        </w:tc>
        <w:tc>
          <w:tcPr>
            <w:tcW w:w="566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74" w:right="167"/>
              <w:rPr>
                <w:sz w:val="20"/>
              </w:rPr>
            </w:pPr>
            <w:r>
              <w:rPr>
                <w:sz w:val="20"/>
              </w:rPr>
              <w:t>人保资本</w:t>
            </w:r>
            <w:r>
              <w:rPr>
                <w:rFonts w:ascii="Arial" w:eastAsia="Arial"/>
                <w:sz w:val="20"/>
              </w:rPr>
              <w:t>-</w:t>
            </w:r>
            <w:r>
              <w:rPr>
                <w:sz w:val="20"/>
              </w:rPr>
              <w:t>佛山地铁集团基础设施绿色债权投资计划</w:t>
            </w:r>
          </w:p>
        </w:tc>
        <w:tc>
          <w:tcPr>
            <w:tcW w:w="2268"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2"/>
          <w:jc w:val="left"/>
        </w:trPr>
        <w:tc>
          <w:tcPr>
            <w:tcW w:w="2127" w:type="dxa"/>
            <w:tcBorders>
              <w:top w:val="dotted" w:sz="4" w:space="0" w:color="000000"/>
              <w:left w:val="dotted" w:sz="4" w:space="0" w:color="000000"/>
              <w:bottom w:val="dotted" w:sz="4" w:space="0" w:color="000000"/>
              <w:right w:val="dotted" w:sz="4" w:space="0" w:color="000000"/>
            </w:tcBorders>
          </w:tcPr>
          <w:p>
            <w:pPr>
              <w:pStyle w:val="TableParagraph"/>
              <w:spacing w:before="27"/>
              <w:ind w:left="212" w:right="206"/>
              <w:rPr>
                <w:sz w:val="20"/>
              </w:rPr>
            </w:pPr>
            <w:r>
              <w:rPr>
                <w:sz w:val="20"/>
              </w:rPr>
              <w:t>中意资管</w:t>
            </w:r>
          </w:p>
        </w:tc>
        <w:tc>
          <w:tcPr>
            <w:tcW w:w="5662" w:type="dxa"/>
            <w:tcBorders>
              <w:top w:val="dotted" w:sz="4" w:space="0" w:color="000000"/>
              <w:left w:val="dotted" w:sz="4" w:space="0" w:color="000000"/>
              <w:bottom w:val="dotted" w:sz="4" w:space="0" w:color="000000"/>
              <w:right w:val="dotted" w:sz="4" w:space="0" w:color="000000"/>
            </w:tcBorders>
          </w:tcPr>
          <w:p>
            <w:pPr>
              <w:pStyle w:val="TableParagraph"/>
              <w:spacing w:before="27"/>
              <w:ind w:left="174" w:right="167"/>
              <w:rPr>
                <w:sz w:val="20"/>
              </w:rPr>
            </w:pPr>
            <w:r>
              <w:rPr>
                <w:sz w:val="20"/>
              </w:rPr>
              <w:t>中意</w:t>
            </w:r>
            <w:r>
              <w:rPr>
                <w:rFonts w:ascii="Arial" w:eastAsia="Arial"/>
                <w:sz w:val="20"/>
              </w:rPr>
              <w:t>-</w:t>
            </w:r>
            <w:r>
              <w:rPr>
                <w:sz w:val="20"/>
              </w:rPr>
              <w:t>湖北交投绿色基础设施债权投资计划</w:t>
            </w:r>
          </w:p>
        </w:tc>
        <w:tc>
          <w:tcPr>
            <w:tcW w:w="2268" w:type="dxa"/>
            <w:tcBorders>
              <w:top w:val="dotted" w:sz="4" w:space="0" w:color="000000"/>
              <w:left w:val="dotted" w:sz="4" w:space="0" w:color="000000"/>
              <w:bottom w:val="dotted" w:sz="4" w:space="0" w:color="000000"/>
              <w:right w:val="dotted" w:sz="4" w:space="0" w:color="000000"/>
            </w:tcBorders>
          </w:tcPr>
          <w:p>
            <w:pPr>
              <w:pStyle w:val="TableParagraph"/>
              <w:spacing w:before="27"/>
              <w:ind w:left="112" w:right="105"/>
              <w:rPr>
                <w:sz w:val="20"/>
              </w:rPr>
            </w:pPr>
            <w:r>
              <w:rPr>
                <w:sz w:val="20"/>
              </w:rPr>
              <w:t>基础设施债权投资计划</w:t>
            </w:r>
          </w:p>
        </w:tc>
      </w:tr>
      <w:tr>
        <w:tblPrEx>
          <w:tblW w:w="0" w:type="auto"/>
          <w:jc w:val="left"/>
          <w:tblInd w:w="929" w:type="dxa"/>
          <w:tblLayout w:type="fixed"/>
          <w:tblCellMar>
            <w:top w:w="0" w:type="dxa"/>
            <w:left w:w="0" w:type="dxa"/>
            <w:bottom w:w="0" w:type="dxa"/>
            <w:right w:w="0" w:type="dxa"/>
          </w:tblCellMar>
          <w:tblLook w:val="01E0"/>
        </w:tblPrEx>
        <w:trPr>
          <w:trHeight w:val="311"/>
          <w:jc w:val="left"/>
        </w:trPr>
        <w:tc>
          <w:tcPr>
            <w:tcW w:w="2127" w:type="dxa"/>
            <w:tcBorders>
              <w:top w:val="dotted" w:sz="4" w:space="0" w:color="000000"/>
              <w:left w:val="dotted" w:sz="4" w:space="0" w:color="000000"/>
              <w:right w:val="dotted" w:sz="4" w:space="0" w:color="000000"/>
            </w:tcBorders>
            <w:shd w:val="clear" w:color="auto" w:fill="F1F1F1"/>
          </w:tcPr>
          <w:p>
            <w:pPr>
              <w:pStyle w:val="TableParagraph"/>
              <w:spacing w:before="27"/>
              <w:ind w:left="212" w:right="206"/>
              <w:rPr>
                <w:sz w:val="20"/>
              </w:rPr>
            </w:pPr>
            <w:r>
              <w:rPr>
                <w:sz w:val="20"/>
              </w:rPr>
              <w:t>中再资管</w:t>
            </w:r>
          </w:p>
        </w:tc>
        <w:tc>
          <w:tcPr>
            <w:tcW w:w="5662" w:type="dxa"/>
            <w:tcBorders>
              <w:top w:val="dotted" w:sz="4" w:space="0" w:color="000000"/>
              <w:left w:val="dotted" w:sz="4" w:space="0" w:color="000000"/>
              <w:right w:val="dotted" w:sz="4" w:space="0" w:color="000000"/>
            </w:tcBorders>
            <w:shd w:val="clear" w:color="auto" w:fill="F1F1F1"/>
          </w:tcPr>
          <w:p>
            <w:pPr>
              <w:pStyle w:val="TableParagraph"/>
              <w:spacing w:before="27"/>
              <w:ind w:left="177" w:right="166"/>
              <w:rPr>
                <w:rFonts w:ascii="Arial" w:eastAsia="Arial"/>
                <w:sz w:val="20"/>
              </w:rPr>
            </w:pPr>
            <w:r>
              <w:rPr>
                <w:sz w:val="20"/>
              </w:rPr>
              <w:t>中再</w:t>
            </w:r>
            <w:r>
              <w:rPr>
                <w:rFonts w:ascii="Arial" w:eastAsia="Arial"/>
                <w:sz w:val="20"/>
              </w:rPr>
              <w:t>-</w:t>
            </w:r>
            <w:r>
              <w:rPr>
                <w:sz w:val="20"/>
              </w:rPr>
              <w:t>节能环保绿色债权投资计划</w:t>
            </w:r>
            <w:r>
              <w:rPr>
                <w:rFonts w:ascii="Arial" w:eastAsia="Arial"/>
                <w:sz w:val="20"/>
              </w:rPr>
              <w:t>(</w:t>
            </w:r>
            <w:r>
              <w:rPr>
                <w:sz w:val="20"/>
              </w:rPr>
              <w:t>一期</w:t>
            </w:r>
            <w:r>
              <w:rPr>
                <w:rFonts w:ascii="Arial" w:eastAsia="Arial"/>
                <w:sz w:val="20"/>
              </w:rPr>
              <w:t>)</w:t>
            </w:r>
          </w:p>
        </w:tc>
        <w:tc>
          <w:tcPr>
            <w:tcW w:w="2268" w:type="dxa"/>
            <w:tcBorders>
              <w:top w:val="dotted" w:sz="4" w:space="0" w:color="000000"/>
              <w:left w:val="dotted" w:sz="4" w:space="0" w:color="000000"/>
              <w:right w:val="dotted" w:sz="4" w:space="0" w:color="000000"/>
            </w:tcBorders>
            <w:shd w:val="clear" w:color="auto" w:fill="F1F1F1"/>
          </w:tcPr>
          <w:p>
            <w:pPr>
              <w:pStyle w:val="TableParagraph"/>
              <w:spacing w:before="27"/>
              <w:ind w:left="112" w:right="103"/>
              <w:rPr>
                <w:sz w:val="20"/>
              </w:rPr>
            </w:pPr>
            <w:r>
              <w:rPr>
                <w:sz w:val="20"/>
              </w:rPr>
              <w:t>项目债权投资计划</w:t>
            </w:r>
          </w:p>
        </w:tc>
      </w:tr>
    </w:tbl>
    <w:p>
      <w:pPr>
        <w:spacing w:before="42"/>
        <w:ind w:left="1032" w:right="0" w:firstLine="0"/>
        <w:jc w:val="left"/>
        <w:rPr>
          <w:sz w:val="18"/>
        </w:rPr>
      </w:pPr>
      <w:r>
        <w:t xml:space="preserve">资料来源：中国保险资产管理业协会， </w:t>
      </w:r>
    </w:p>
    <w:p>
      <w:pPr>
        <w:pStyle w:val="BodyText"/>
        <w:rPr>
          <w:sz w:val="20"/>
        </w:rPr>
      </w:pPr>
    </w:p>
    <w:p>
      <w:pPr>
        <w:pStyle w:val="BodyText"/>
        <w:spacing w:before="8"/>
        <w:rPr>
          <w:sz w:val="14"/>
        </w:rPr>
      </w:pPr>
    </w:p>
    <w:p>
      <w:pPr>
        <w:pStyle w:val="Heading4"/>
        <w:spacing w:before="80"/>
      </w:pPr>
      <w:r>
        <w:t>（</w:t>
      </w:r>
      <w:r>
        <w:rPr>
          <w:rFonts w:ascii="Arial" w:eastAsia="Arial"/>
        </w:rPr>
        <w:t>2</w:t>
      </w:r>
      <w:r>
        <w:t>）</w:t>
      </w:r>
      <w:r>
        <w:rPr>
          <w:rFonts w:ascii="Arial" w:eastAsia="Arial"/>
        </w:rPr>
        <w:t xml:space="preserve">2023 </w:t>
      </w:r>
      <w:r>
        <w:t>年保险机构投资债权投资计划情况</w:t>
      </w:r>
    </w:p>
    <w:p>
      <w:pPr>
        <w:spacing w:after="0"/>
        <w:sectPr>
          <w:headerReference w:type="default" r:id="rId38"/>
          <w:footerReference w:type="default" r:id="rId39"/>
          <w:pgSz w:w="11910" w:h="16840"/>
          <w:pgMar w:top="1280" w:right="0" w:bottom="1000" w:left="0" w:header="708" w:footer="708"/>
          <w:pgNumType w:start="14"/>
          <w:cols w:space="708"/>
        </w:sectPr>
      </w:pPr>
    </w:p>
    <w:p>
      <w:pPr>
        <w:pStyle w:val="BodyText"/>
        <w:spacing w:before="72" w:line="266" w:lineRule="auto"/>
        <w:ind w:left="1132" w:right="1089" w:firstLine="441"/>
        <w:jc w:val="both"/>
      </w:pPr>
      <w:r>
        <w:t xml:space="preserve">根据各保险公司官网公开披露信息板块的资金运用等数据，对中国人保、中国太保、中国人寿、中国太平、泰康保险、中国平安、华泰保险集团公司及其下属子公司 </w:t>
      </w:r>
      <w:r>
        <w:rPr>
          <w:rFonts w:ascii="Arial" w:eastAsia="Arial"/>
        </w:rPr>
        <w:t xml:space="preserve">2023 </w:t>
      </w:r>
      <w:r>
        <w:t>年的债权投资计划的投资</w:t>
      </w:r>
    </w:p>
    <w:p>
      <w:pPr>
        <w:pStyle w:val="BodyText"/>
        <w:spacing w:line="266" w:lineRule="auto"/>
        <w:ind w:left="1132" w:right="1125"/>
        <w:jc w:val="both"/>
      </w:pPr>
      <w:r>
        <w:rPr>
          <w:spacing w:val="-3"/>
        </w:rPr>
        <w:t xml:space="preserve">情况进行了统计，共涉及投资记录 </w:t>
      </w:r>
      <w:r>
        <w:rPr>
          <w:rFonts w:ascii="Arial" w:eastAsia="Arial"/>
        </w:rPr>
        <w:t xml:space="preserve">190 </w:t>
      </w:r>
      <w:r>
        <w:rPr>
          <w:spacing w:val="-5"/>
        </w:rPr>
        <w:t xml:space="preserve">笔，累计投资金额 </w:t>
      </w:r>
      <w:r>
        <w:rPr>
          <w:rFonts w:ascii="Arial" w:eastAsia="Arial"/>
        </w:rPr>
        <w:t xml:space="preserve">900.59 </w:t>
      </w:r>
      <w:r>
        <w:rPr>
          <w:spacing w:val="-4"/>
        </w:rPr>
        <w:t xml:space="preserve">亿元，数量同比增加 </w:t>
      </w:r>
      <w:r>
        <w:rPr>
          <w:rFonts w:ascii="Arial" w:eastAsia="Arial"/>
        </w:rPr>
        <w:t>11.76%</w:t>
      </w:r>
      <w:r>
        <w:t>，金</w:t>
      </w:r>
      <w:r>
        <w:rPr>
          <w:spacing w:val="-11"/>
        </w:rPr>
        <w:t xml:space="preserve">额同比减少 </w:t>
      </w:r>
      <w:r>
        <w:rPr>
          <w:rFonts w:ascii="Arial" w:eastAsia="Arial"/>
        </w:rPr>
        <w:t>6.58%</w:t>
      </w:r>
      <w:r>
        <w:rPr>
          <w:spacing w:val="-3"/>
        </w:rPr>
        <w:t>，水利、交通、商业地产、产业园、科创、市政等仍是主要投向领域。</w:t>
      </w:r>
    </w:p>
    <w:p>
      <w:pPr>
        <w:pStyle w:val="BodyText"/>
        <w:spacing w:before="153"/>
        <w:ind w:right="1127"/>
        <w:jc w:val="right"/>
      </w:pPr>
      <w:r>
        <w:rPr>
          <w:spacing w:val="-5"/>
        </w:rPr>
        <w:t xml:space="preserve">就单公司而言，仅有中国人寿保险股份有限公司和平安人寿保险股份有限公司 </w:t>
      </w:r>
      <w:r>
        <w:rPr>
          <w:rFonts w:ascii="Arial" w:eastAsia="Arial"/>
        </w:rPr>
        <w:t>2023</w:t>
      </w:r>
      <w:r>
        <w:rPr>
          <w:rFonts w:ascii="Arial" w:eastAsia="Arial"/>
          <w:spacing w:val="-2"/>
        </w:rPr>
        <w:t xml:space="preserve"> </w:t>
      </w:r>
      <w:r>
        <w:t>年投资的债</w:t>
      </w:r>
    </w:p>
    <w:p>
      <w:pPr>
        <w:pStyle w:val="BodyText"/>
        <w:spacing w:before="30"/>
        <w:ind w:right="1125"/>
        <w:jc w:val="right"/>
      </w:pPr>
      <w:r>
        <w:rPr>
          <w:spacing w:val="-9"/>
        </w:rPr>
        <w:t xml:space="preserve">权投资计划金额超 </w:t>
      </w:r>
      <w:r>
        <w:rPr>
          <w:rFonts w:ascii="Arial" w:eastAsia="Arial"/>
        </w:rPr>
        <w:t>200</w:t>
      </w:r>
      <w:r>
        <w:rPr>
          <w:rFonts w:ascii="Arial" w:eastAsia="Arial"/>
          <w:spacing w:val="-5"/>
        </w:rPr>
        <w:t xml:space="preserve"> </w:t>
      </w:r>
      <w:r>
        <w:rPr>
          <w:spacing w:val="-17"/>
        </w:rPr>
        <w:t xml:space="preserve">亿元，分别为 </w:t>
      </w:r>
      <w:r>
        <w:rPr>
          <w:rFonts w:ascii="Arial" w:eastAsia="Arial"/>
        </w:rPr>
        <w:t>248.28</w:t>
      </w:r>
      <w:r>
        <w:rPr>
          <w:rFonts w:ascii="Arial" w:eastAsia="Arial"/>
          <w:spacing w:val="-7"/>
        </w:rPr>
        <w:t xml:space="preserve"> </w:t>
      </w:r>
      <w:r>
        <w:rPr>
          <w:spacing w:val="-15"/>
        </w:rPr>
        <w:t xml:space="preserve">亿元和 </w:t>
      </w:r>
      <w:r>
        <w:rPr>
          <w:rFonts w:ascii="Arial" w:eastAsia="Arial"/>
        </w:rPr>
        <w:t>238.40</w:t>
      </w:r>
      <w:r>
        <w:rPr>
          <w:rFonts w:ascii="Arial" w:eastAsia="Arial"/>
          <w:spacing w:val="-7"/>
        </w:rPr>
        <w:t xml:space="preserve"> </w:t>
      </w:r>
      <w:r>
        <w:rPr>
          <w:spacing w:val="-8"/>
        </w:rPr>
        <w:t>亿元，中国太平洋人寿保险股份有限公司</w:t>
      </w:r>
    </w:p>
    <w:p>
      <w:pPr>
        <w:pStyle w:val="BodyText"/>
        <w:spacing w:before="30" w:line="266" w:lineRule="auto"/>
        <w:ind w:left="1132" w:right="1127"/>
        <w:jc w:val="both"/>
      </w:pPr>
      <w:r>
        <w:rPr>
          <w:spacing w:val="-11"/>
        </w:rPr>
        <w:t xml:space="preserve">位列第三，投资金额 </w:t>
      </w:r>
      <w:r>
        <w:rPr>
          <w:rFonts w:ascii="Arial" w:eastAsia="Arial"/>
        </w:rPr>
        <w:t>98.2</w:t>
      </w:r>
      <w:r>
        <w:rPr>
          <w:rFonts w:ascii="Arial" w:eastAsia="Arial"/>
          <w:spacing w:val="-5"/>
        </w:rPr>
        <w:t xml:space="preserve"> </w:t>
      </w:r>
      <w:r>
        <w:rPr>
          <w:spacing w:val="-10"/>
        </w:rPr>
        <w:t xml:space="preserve">亿元，出现了较为明显的断档。排名前二的公司的投资金额占 </w:t>
      </w:r>
      <w:r>
        <w:rPr>
          <w:rFonts w:ascii="Arial" w:eastAsia="Arial"/>
        </w:rPr>
        <w:t>2023</w:t>
      </w:r>
      <w:r>
        <w:rPr>
          <w:rFonts w:ascii="Arial" w:eastAsia="Arial"/>
          <w:spacing w:val="-4"/>
        </w:rPr>
        <w:t xml:space="preserve"> </w:t>
      </w:r>
      <w:r>
        <w:rPr>
          <w:spacing w:val="-2"/>
        </w:rPr>
        <w:t>年全样</w:t>
      </w:r>
      <w:r>
        <w:rPr>
          <w:spacing w:val="-5"/>
        </w:rPr>
        <w:t xml:space="preserve">本公司累计投资金额的 </w:t>
      </w:r>
      <w:r>
        <w:rPr>
          <w:rFonts w:ascii="Arial" w:eastAsia="Arial"/>
        </w:rPr>
        <w:t>54.04%</w:t>
      </w:r>
      <w:r>
        <w:rPr>
          <w:spacing w:val="-2"/>
        </w:rPr>
        <w:t xml:space="preserve">，排名前五的公司的投资金额占 </w:t>
      </w:r>
      <w:r>
        <w:rPr>
          <w:rFonts w:ascii="Arial" w:eastAsia="Arial"/>
        </w:rPr>
        <w:t>2023</w:t>
      </w:r>
      <w:r>
        <w:rPr>
          <w:rFonts w:ascii="Arial" w:eastAsia="Arial"/>
          <w:spacing w:val="18"/>
        </w:rPr>
        <w:t xml:space="preserve"> </w:t>
      </w:r>
      <w:r>
        <w:t>年全样本公司累计投资金额的</w:t>
      </w:r>
      <w:r>
        <w:rPr>
          <w:rFonts w:ascii="Arial" w:eastAsia="Arial"/>
        </w:rPr>
        <w:t>81.53%</w:t>
      </w:r>
      <w:r>
        <w:rPr>
          <w:spacing w:val="-3"/>
        </w:rPr>
        <w:t>，头部效应显著。</w:t>
      </w:r>
    </w:p>
    <w:p>
      <w:pPr>
        <w:pStyle w:val="BodyText"/>
        <w:spacing w:before="153"/>
        <w:ind w:left="1574"/>
        <w:jc w:val="both"/>
        <w:rPr>
          <w:rFonts w:ascii="Arial" w:eastAsia="Arial"/>
        </w:rPr>
      </w:pPr>
      <w:r>
        <w:t xml:space="preserve">就保险集团而言，纳入统计的 </w:t>
      </w:r>
      <w:r>
        <w:rPr>
          <w:rFonts w:ascii="Arial" w:eastAsia="Arial"/>
        </w:rPr>
        <w:t xml:space="preserve">7 </w:t>
      </w:r>
      <w:r>
        <w:t xml:space="preserve">家保险集团中有 </w:t>
      </w:r>
      <w:r>
        <w:rPr>
          <w:rFonts w:ascii="Arial" w:eastAsia="Arial"/>
        </w:rPr>
        <w:t xml:space="preserve">3 </w:t>
      </w:r>
      <w:r>
        <w:t xml:space="preserve">家总投资金额超百亿，其中中国人寿以 </w:t>
      </w:r>
      <w:r>
        <w:rPr>
          <w:rFonts w:ascii="Arial" w:eastAsia="Arial"/>
        </w:rPr>
        <w:t>280.69</w:t>
      </w:r>
    </w:p>
    <w:p>
      <w:pPr>
        <w:pStyle w:val="BodyText"/>
        <w:spacing w:before="30"/>
        <w:ind w:left="1132"/>
        <w:jc w:val="both"/>
      </w:pPr>
      <w:r>
        <w:t xml:space="preserve">亿元位居第一，中国平安以 </w:t>
      </w:r>
      <w:r>
        <w:rPr>
          <w:rFonts w:ascii="Arial" w:eastAsia="Arial"/>
        </w:rPr>
        <w:t xml:space="preserve">259.60 </w:t>
      </w:r>
      <w:r>
        <w:t xml:space="preserve">亿元的投资金额位居第二，中国人保以 </w:t>
      </w:r>
      <w:r>
        <w:rPr>
          <w:rFonts w:ascii="Arial" w:eastAsia="Arial"/>
        </w:rPr>
        <w:t xml:space="preserve">143.16 </w:t>
      </w:r>
      <w:r>
        <w:t>亿元紧随其后。</w:t>
      </w:r>
    </w:p>
    <w:p>
      <w:pPr>
        <w:pStyle w:val="BodyText"/>
        <w:spacing w:before="186" w:line="266" w:lineRule="auto"/>
        <w:ind w:left="1132" w:right="1125" w:firstLine="441"/>
        <w:jc w:val="both"/>
      </w:pPr>
      <w:r>
        <w:t>就债权投资计划的类别而言，</w:t>
      </w:r>
      <w:r>
        <w:rPr>
          <w:rFonts w:ascii="Arial" w:eastAsia="Arial"/>
        </w:rPr>
        <w:t xml:space="preserve">2023 </w:t>
      </w:r>
      <w:r>
        <w:t>年，债权投资计划仍是各保险公司投资的最主要类别，纳入</w:t>
      </w:r>
      <w:r>
        <w:rPr>
          <w:spacing w:val="-8"/>
        </w:rPr>
        <w:t xml:space="preserve">统计的保险公司共投资 </w:t>
      </w:r>
      <w:r>
        <w:rPr>
          <w:rFonts w:ascii="Arial" w:eastAsia="Arial"/>
        </w:rPr>
        <w:t xml:space="preserve">557.15 </w:t>
      </w:r>
      <w:r>
        <w:rPr>
          <w:spacing w:val="-13"/>
        </w:rPr>
        <w:t xml:space="preserve">亿元，占据 </w:t>
      </w:r>
      <w:r>
        <w:rPr>
          <w:rFonts w:ascii="Arial" w:eastAsia="Arial"/>
        </w:rPr>
        <w:t xml:space="preserve">2023 </w:t>
      </w:r>
      <w:r>
        <w:rPr>
          <w:spacing w:val="-7"/>
        </w:rPr>
        <w:t xml:space="preserve">年全部样本公司累计投资金额的 </w:t>
      </w:r>
      <w:r>
        <w:rPr>
          <w:rFonts w:ascii="Arial" w:eastAsia="Arial"/>
        </w:rPr>
        <w:t>61.86%</w:t>
      </w:r>
      <w:r>
        <w:rPr>
          <w:spacing w:val="-4"/>
        </w:rPr>
        <w:t>。聚焦于公</w:t>
      </w:r>
    </w:p>
    <w:p>
      <w:pPr>
        <w:pStyle w:val="BodyText"/>
        <w:spacing w:line="266" w:lineRule="auto"/>
        <w:ind w:left="1132" w:right="1130"/>
        <w:jc w:val="both"/>
      </w:pPr>
      <w:r>
        <w:rPr>
          <w:spacing w:val="-2"/>
        </w:rPr>
        <w:t xml:space="preserve">司层面，绝大多数均是以基础设施债权投资计划的投资为主，但在总投资金额超 </w:t>
      </w:r>
      <w:r>
        <w:rPr>
          <w:rFonts w:ascii="Arial" w:eastAsia="Arial"/>
        </w:rPr>
        <w:t xml:space="preserve">50 </w:t>
      </w:r>
      <w:r>
        <w:t>亿元的保险公司</w:t>
      </w:r>
      <w:r>
        <w:rPr>
          <w:spacing w:val="-8"/>
        </w:rPr>
        <w:t>中，中国人寿保险股份有限公司和泰康人寿保险有限责任公司却分别是以项目债权投资计划和不动产</w:t>
      </w:r>
      <w:r>
        <w:rPr>
          <w:spacing w:val="-7"/>
        </w:rPr>
        <w:t xml:space="preserve">债权投资计划为主，分别占比 </w:t>
      </w:r>
      <w:r>
        <w:rPr>
          <w:rFonts w:ascii="Arial" w:eastAsia="Arial"/>
        </w:rPr>
        <w:t>62.25%</w:t>
      </w:r>
      <w:r>
        <w:rPr>
          <w:spacing w:val="-29"/>
        </w:rPr>
        <w:t xml:space="preserve">和 </w:t>
      </w:r>
      <w:r>
        <w:rPr>
          <w:rFonts w:ascii="Arial" w:eastAsia="Arial"/>
        </w:rPr>
        <w:t>55.84%</w:t>
      </w:r>
      <w:r>
        <w:t>。</w:t>
      </w:r>
    </w:p>
    <w:p>
      <w:pPr>
        <w:pStyle w:val="BodyText"/>
        <w:spacing w:before="152"/>
        <w:ind w:left="1574"/>
        <w:jc w:val="both"/>
      </w:pPr>
      <w:r>
        <w:t xml:space="preserve">就是否投资自身保险集团体系外的债权投资计划而言，纳入统计的 </w:t>
      </w:r>
      <w:r>
        <w:rPr>
          <w:rFonts w:ascii="Arial" w:eastAsia="Arial"/>
        </w:rPr>
        <w:t xml:space="preserve">7 </w:t>
      </w:r>
      <w:r>
        <w:t>家的保险集团涉及的集团公</w:t>
      </w:r>
    </w:p>
    <w:p>
      <w:pPr>
        <w:pStyle w:val="BodyText"/>
        <w:spacing w:before="30" w:line="266" w:lineRule="auto"/>
        <w:ind w:left="1132" w:right="1130"/>
        <w:jc w:val="both"/>
      </w:pPr>
      <w:r>
        <w:rPr>
          <w:spacing w:val="-8"/>
        </w:rPr>
        <w:t xml:space="preserve">司及其子公司在 </w:t>
      </w:r>
      <w:r>
        <w:rPr>
          <w:rFonts w:ascii="Arial" w:eastAsia="Arial"/>
        </w:rPr>
        <w:t xml:space="preserve">2023 </w:t>
      </w:r>
      <w:r>
        <w:rPr>
          <w:spacing w:val="-3"/>
        </w:rPr>
        <w:t xml:space="preserve">年投资的债权投资计划，几乎都是自身保险集团体系内保险资管机构创设的， </w:t>
      </w:r>
      <w:r>
        <w:rPr>
          <w:spacing w:val="-5"/>
        </w:rPr>
        <w:t>仅有泰康保险旗下的泰康人寿认购了非集团体系的债权投资计划，是由招商信诺资管担任管理人的招</w:t>
      </w:r>
      <w:r>
        <w:rPr>
          <w:spacing w:val="-3"/>
        </w:rPr>
        <w:t>商信诺资管</w:t>
      </w:r>
      <w:r>
        <w:rPr>
          <w:rFonts w:ascii="Arial" w:eastAsia="Arial"/>
        </w:rPr>
        <w:t>-</w:t>
      </w:r>
      <w:r>
        <w:rPr>
          <w:spacing w:val="-6"/>
        </w:rPr>
        <w:t xml:space="preserve">天悦商业不动产债权投资计划，认购金额 </w:t>
      </w:r>
      <w:r>
        <w:rPr>
          <w:rFonts w:ascii="Arial" w:eastAsia="Arial"/>
        </w:rPr>
        <w:t xml:space="preserve">8.02 </w:t>
      </w:r>
      <w:r>
        <w:rPr>
          <w:spacing w:val="-2"/>
        </w:rPr>
        <w:t>亿元。</w:t>
      </w:r>
    </w:p>
    <w:p>
      <w:pPr>
        <w:pStyle w:val="BodyText"/>
        <w:spacing w:before="154" w:line="266" w:lineRule="auto"/>
        <w:ind w:left="1132" w:right="1019" w:firstLine="441"/>
      </w:pPr>
      <w:r>
        <w:t>就绿色债权投资计划而言，</w:t>
      </w:r>
      <w:r>
        <w:rPr>
          <w:rFonts w:ascii="Arial" w:eastAsia="Arial"/>
        </w:rPr>
        <w:t xml:space="preserve">2023 </w:t>
      </w:r>
      <w:r>
        <w:rPr>
          <w:spacing w:val="-4"/>
        </w:rPr>
        <w:t xml:space="preserve">年纳入统计的保险公司中有 </w:t>
      </w:r>
      <w:r>
        <w:rPr>
          <w:rFonts w:ascii="Arial" w:eastAsia="Arial"/>
        </w:rPr>
        <w:t xml:space="preserve">7 </w:t>
      </w:r>
      <w:r>
        <w:t>家进行了绿色债权投资，分别来</w:t>
      </w:r>
      <w:r>
        <w:rPr>
          <w:spacing w:val="-13"/>
        </w:rPr>
        <w:t xml:space="preserve">自于中国人保、中国人寿、中国平安 </w:t>
      </w:r>
      <w:r>
        <w:rPr>
          <w:rFonts w:ascii="Arial" w:eastAsia="Arial"/>
        </w:rPr>
        <w:t xml:space="preserve">3 </w:t>
      </w:r>
      <w:r>
        <w:rPr>
          <w:spacing w:val="-12"/>
        </w:rPr>
        <w:t xml:space="preserve">家保险集团，总投资金额 </w:t>
      </w:r>
      <w:r>
        <w:rPr>
          <w:rFonts w:ascii="Arial" w:eastAsia="Arial"/>
        </w:rPr>
        <w:t xml:space="preserve">41.65 </w:t>
      </w:r>
      <w:r>
        <w:rPr>
          <w:spacing w:val="-10"/>
        </w:rPr>
        <w:t>亿元，主要投向于水利、能源、科创、铁路等领域。其中中国人寿保险股份有限公司投资的国寿投资</w:t>
      </w:r>
      <w:r>
        <w:rPr>
          <w:rFonts w:ascii="Arial" w:eastAsia="Arial"/>
          <w:spacing w:val="-10"/>
        </w:rPr>
        <w:t>-</w:t>
      </w:r>
      <w:r>
        <w:rPr>
          <w:spacing w:val="-10"/>
        </w:rPr>
        <w:t xml:space="preserve">南崇铁路绿色债权投资计划是 </w:t>
      </w:r>
      <w:r>
        <w:rPr>
          <w:spacing w:val="-9"/>
        </w:rPr>
        <w:t xml:space="preserve">单笔投资金额最大的，达 </w:t>
      </w:r>
      <w:r>
        <w:rPr>
          <w:rFonts w:ascii="Arial" w:eastAsia="Arial"/>
        </w:rPr>
        <w:t xml:space="preserve">20 </w:t>
      </w:r>
      <w:r>
        <w:rPr>
          <w:spacing w:val="-2"/>
        </w:rPr>
        <w:t>亿元。</w:t>
      </w:r>
    </w:p>
    <w:p>
      <w:pPr>
        <w:tabs>
          <w:tab w:val="left" w:pos="6064"/>
          <w:tab w:val="left" w:pos="6734"/>
        </w:tabs>
        <w:spacing w:before="162" w:after="4"/>
        <w:ind w:left="480" w:right="0" w:firstLine="0"/>
        <w:jc w:val="left"/>
        <w:rPr>
          <w:sz w:val="20"/>
        </w:rPr>
      </w:pPr>
      <w:r>
        <w:pict>
          <v:group id="_x0000_s1050" style="width:265.7pt;height:178.05pt;margin-top:21.59pt;margin-left:23.95pt;mso-position-horizontal-relative:page;position:absolute;z-index:251675648" coordorigin="479,432" coordsize="5314,3561">
            <v:shape id="_x0000_s1051" type="#_x0000_t75" style="width:4383;height:3390;left:914;position:absolute;top:509" stroked="f">
              <v:imagedata r:id="rId40" o:title=""/>
            </v:shape>
            <v:shape id="_x0000_s1052" style="width:5314;height:3532;left:479;position:absolute;top:-6401" coordorigin="479,-6401" coordsize="5314,3532" path="m479,446l5793,446m479,3978l5793,3978e" filled="f" stroked="t" strokecolor="#c00" strokeweight="1.44pt">
              <v:stroke dashstyle="solid"/>
              <v:path arrowok="t"/>
            </v:shape>
          </v:group>
        </w:pict>
      </w:r>
      <w:r>
        <w:drawing>
          <wp:anchor distT="0" distB="0" distL="0" distR="0" simplePos="0" relativeHeight="251676672" behindDoc="0" locked="0" layoutInCell="1" allowOverlap="1">
            <wp:simplePos x="0" y="0"/>
            <wp:positionH relativeFrom="page">
              <wp:posOffset>4532757</wp:posOffset>
            </wp:positionH>
            <wp:positionV relativeFrom="paragraph">
              <wp:posOffset>616402</wp:posOffset>
            </wp:positionV>
            <wp:extent cx="2148468" cy="1517903"/>
            <wp:effectExtent l="0" t="0" r="0" b="0"/>
            <wp:wrapNone/>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jpeg"/>
                    <pic:cNvPicPr/>
                  </pic:nvPicPr>
                  <pic:blipFill>
                    <a:blip xmlns:r="http://schemas.openxmlformats.org/officeDocument/2006/relationships" r:embed="rId41" cstate="print"/>
                    <a:stretch>
                      <a:fillRect/>
                    </a:stretch>
                  </pic:blipFill>
                  <pic:spPr>
                    <a:xfrm>
                      <a:off x="0" y="0"/>
                      <a:ext cx="2148468" cy="1517903"/>
                    </a:xfrm>
                    <a:prstGeom prst="rect">
                      <a:avLst/>
                    </a:prstGeom>
                  </pic:spPr>
                </pic:pic>
              </a:graphicData>
            </a:graphic>
          </wp:anchor>
        </w:drawing>
      </w:r>
      <w:r>
        <w:pict>
          <v:line id="_x0000_s1053" style="mso-position-horizontal-relative:page;position:absolute;z-index:251677696" from="303.2pt,22.3pt" to="571.35pt,22.3pt" stroked="t" strokecolor="#c00" strokeweight="1.44pt">
            <v:stroke dashstyle="solid"/>
          </v:line>
        </w:pict>
      </w:r>
      <w:r>
        <w:rPr>
          <w:sz w:val="20"/>
        </w:rPr>
        <w:t>图</w:t>
      </w:r>
      <w:r>
        <w:rPr>
          <w:spacing w:val="-52"/>
          <w:sz w:val="20"/>
        </w:rPr>
        <w:t xml:space="preserve"> </w:t>
      </w:r>
      <w:r>
        <w:rPr>
          <w:rFonts w:ascii="Arial" w:eastAsia="Arial"/>
          <w:sz w:val="20"/>
        </w:rPr>
        <w:t xml:space="preserve">9  </w:t>
      </w:r>
      <w:r>
        <w:rPr>
          <w:rFonts w:ascii="Arial" w:eastAsia="Arial"/>
          <w:spacing w:val="27"/>
          <w:sz w:val="20"/>
        </w:rPr>
        <w:t xml:space="preserve"> </w:t>
      </w:r>
      <w:r>
        <w:rPr>
          <w:rFonts w:ascii="Arial" w:eastAsia="Arial"/>
          <w:sz w:val="20"/>
        </w:rPr>
        <w:t>2023</w:t>
      </w:r>
      <w:r>
        <w:rPr>
          <w:rFonts w:ascii="Arial" w:eastAsia="Arial"/>
          <w:spacing w:val="-4"/>
          <w:sz w:val="20"/>
        </w:rPr>
        <w:t xml:space="preserve"> </w:t>
      </w:r>
      <w:r>
        <w:rPr>
          <w:sz w:val="20"/>
        </w:rPr>
        <w:t>年纳入统计的保险公司的债权投资计划认购情况</w:t>
        <w:tab/>
        <w:t>图</w:t>
      </w:r>
      <w:r>
        <w:rPr>
          <w:spacing w:val="-53"/>
          <w:sz w:val="20"/>
        </w:rPr>
        <w:t xml:space="preserve"> </w:t>
      </w:r>
      <w:r>
        <w:rPr>
          <w:rFonts w:ascii="Arial" w:eastAsia="Arial"/>
          <w:sz w:val="20"/>
        </w:rPr>
        <w:t>10</w:t>
        <w:tab/>
        <w:t>2023</w:t>
      </w:r>
      <w:r>
        <w:rPr>
          <w:rFonts w:ascii="Arial" w:eastAsia="Arial"/>
          <w:spacing w:val="-9"/>
          <w:sz w:val="20"/>
        </w:rPr>
        <w:t xml:space="preserve"> </w:t>
      </w:r>
      <w:r>
        <w:rPr>
          <w:sz w:val="20"/>
        </w:rPr>
        <w:t>年纳入统计的保险集团的债权投资计划认购情况</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pStyle w:val="BodyText"/>
        <w:spacing w:line="30" w:lineRule="exact"/>
        <w:ind w:left="6049"/>
        <w:rPr>
          <w:sz w:val="3"/>
        </w:rPr>
      </w:pPr>
      <w:r>
        <w:rPr>
          <w:position w:val="0"/>
          <w:sz w:val="3"/>
        </w:rPr>
        <w:pict>
          <v:group id="_x0000_i1054" style="width:268.15pt;height:1.45pt;mso-position-horizontal-relative:char;mso-position-vertical-relative:line" coordorigin="0,0" coordsize="5363,29">
            <v:line id="_x0000_s1055" style="position:absolute" from="0,14" to="5363,14" stroked="t" strokecolor="#c00" strokeweight="1.44pt">
              <v:stroke dashstyle="solid"/>
            </v:line>
            <w10:wrap type="none"/>
          </v:group>
        </w:pict>
      </w:r>
    </w:p>
    <w:p>
      <w:pPr>
        <w:tabs>
          <w:tab w:val="left" w:pos="6064"/>
        </w:tabs>
        <w:spacing w:before="40"/>
        <w:ind w:left="480" w:right="0" w:firstLine="0"/>
        <w:jc w:val="left"/>
        <w:rPr>
          <w:sz w:val="18"/>
        </w:rPr>
      </w:pPr>
      <w:r>
        <w:t xml:space="preserve">资料来源：各保险公司官网， </w:t>
        <w:tab/>
        <w:t xml:space="preserve">资料来源：各保险公司官网， </w:t>
      </w:r>
    </w:p>
    <w:p>
      <w:pPr>
        <w:spacing w:after="0"/>
        <w:jc w:val="left"/>
        <w:rPr>
          <w:sz w:val="18"/>
        </w:rPr>
        <w:sectPr>
          <w:headerReference w:type="default" r:id="rId42"/>
          <w:footerReference w:type="default" r:id="rId43"/>
          <w:pgSz w:w="11910" w:h="16840"/>
          <w:pgMar w:top="1280" w:right="0" w:bottom="1000" w:left="0" w:header="708" w:footer="708"/>
          <w:pgNumType w:start="15"/>
          <w:cols w:space="708"/>
        </w:sectPr>
      </w:pPr>
    </w:p>
    <w:p>
      <w:pPr>
        <w:tabs>
          <w:tab w:val="left" w:pos="5500"/>
          <w:tab w:val="left" w:pos="6172"/>
        </w:tabs>
        <w:spacing w:before="83"/>
        <w:ind w:left="96" w:right="0" w:firstLine="0"/>
        <w:jc w:val="left"/>
        <w:rPr>
          <w:sz w:val="20"/>
        </w:rPr>
      </w:pPr>
      <w:r>
        <w:drawing>
          <wp:anchor distT="0" distB="0" distL="0" distR="0" simplePos="0" relativeHeight="251678720" behindDoc="0" locked="0" layoutInCell="1" allowOverlap="1">
            <wp:simplePos x="0" y="0"/>
            <wp:positionH relativeFrom="page">
              <wp:posOffset>335534</wp:posOffset>
            </wp:positionH>
            <wp:positionV relativeFrom="paragraph">
              <wp:posOffset>878599</wp:posOffset>
            </wp:positionV>
            <wp:extent cx="2731008" cy="1664207"/>
            <wp:effectExtent l="0" t="0" r="0" b="0"/>
            <wp:wrapNone/>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jpeg"/>
                    <pic:cNvPicPr/>
                  </pic:nvPicPr>
                  <pic:blipFill>
                    <a:blip xmlns:r="http://schemas.openxmlformats.org/officeDocument/2006/relationships" r:embed="rId44" cstate="print"/>
                    <a:stretch>
                      <a:fillRect/>
                    </a:stretch>
                  </pic:blipFill>
                  <pic:spPr>
                    <a:xfrm>
                      <a:off x="0" y="0"/>
                      <a:ext cx="2731008" cy="1664207"/>
                    </a:xfrm>
                    <a:prstGeom prst="rect">
                      <a:avLst/>
                    </a:prstGeom>
                  </pic:spPr>
                </pic:pic>
              </a:graphicData>
            </a:graphic>
          </wp:anchor>
        </w:drawing>
      </w:r>
      <w:r>
        <w:pict>
          <v:line id="_x0000_s1056" style="mso-position-horizontal-relative:page;position:absolute;z-index:251679744" from="4.75pt,18.35pt" to="261.45pt,18.35pt" stroked="t" strokecolor="#c00" strokeweight="1.44pt">
            <v:stroke dashstyle="solid"/>
          </v:line>
        </w:pict>
      </w:r>
      <w:r>
        <w:drawing>
          <wp:anchor distT="0" distB="0" distL="0" distR="0" simplePos="0" relativeHeight="251680768" behindDoc="0" locked="0" layoutInCell="1" allowOverlap="1">
            <wp:simplePos x="0" y="0"/>
            <wp:positionH relativeFrom="page">
              <wp:posOffset>3492500</wp:posOffset>
            </wp:positionH>
            <wp:positionV relativeFrom="paragraph">
              <wp:posOffset>224041</wp:posOffset>
            </wp:positionV>
            <wp:extent cx="4011507" cy="2976562"/>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45" cstate="print"/>
                    <a:stretch>
                      <a:fillRect/>
                    </a:stretch>
                  </pic:blipFill>
                  <pic:spPr>
                    <a:xfrm>
                      <a:off x="0" y="0"/>
                      <a:ext cx="4011507" cy="2976562"/>
                    </a:xfrm>
                    <a:prstGeom prst="rect">
                      <a:avLst/>
                    </a:prstGeom>
                  </pic:spPr>
                </pic:pic>
              </a:graphicData>
            </a:graphic>
          </wp:anchor>
        </w:drawing>
      </w:r>
      <w:r>
        <w:rPr>
          <w:spacing w:val="33"/>
          <w:sz w:val="20"/>
        </w:rPr>
        <w:t>图</w:t>
      </w:r>
      <w:r>
        <w:rPr>
          <w:rFonts w:ascii="Arial" w:eastAsia="Arial"/>
          <w:sz w:val="20"/>
        </w:rPr>
        <w:t xml:space="preserve">11  </w:t>
      </w:r>
      <w:r>
        <w:rPr>
          <w:rFonts w:ascii="Arial" w:eastAsia="Arial"/>
          <w:spacing w:val="25"/>
          <w:sz w:val="20"/>
        </w:rPr>
        <w:t xml:space="preserve"> </w:t>
      </w:r>
      <w:r>
        <w:rPr>
          <w:rFonts w:ascii="Arial" w:eastAsia="Arial"/>
          <w:sz w:val="20"/>
        </w:rPr>
        <w:t>2023</w:t>
      </w:r>
      <w:r>
        <w:rPr>
          <w:rFonts w:ascii="Arial" w:eastAsia="Arial"/>
          <w:spacing w:val="-24"/>
          <w:sz w:val="20"/>
        </w:rPr>
        <w:t xml:space="preserve"> </w:t>
      </w:r>
      <w:r>
        <w:rPr>
          <w:sz w:val="20"/>
        </w:rPr>
        <w:t>年纳入统计的各类别债权投资计划被认购情况</w:t>
        <w:tab/>
        <w:t>图</w:t>
      </w:r>
      <w:r>
        <w:rPr>
          <w:spacing w:val="-51"/>
          <w:sz w:val="20"/>
        </w:rPr>
        <w:t xml:space="preserve"> </w:t>
      </w:r>
      <w:r>
        <w:rPr>
          <w:rFonts w:ascii="Arial" w:eastAsia="Arial"/>
          <w:sz w:val="20"/>
        </w:rPr>
        <w:t>12</w:t>
        <w:tab/>
        <w:t>2023</w:t>
      </w:r>
      <w:r>
        <w:rPr>
          <w:rFonts w:ascii="Arial" w:eastAsia="Arial"/>
          <w:spacing w:val="-6"/>
          <w:sz w:val="20"/>
        </w:rPr>
        <w:t xml:space="preserve"> </w:t>
      </w:r>
      <w:r>
        <w:rPr>
          <w:sz w:val="20"/>
        </w:rPr>
        <w:t>年纳入统计的保险公司认购的不同类别债权投资计划情况</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17"/>
        </w:rPr>
      </w:pPr>
    </w:p>
    <w:p>
      <w:pPr>
        <w:tabs>
          <w:tab w:val="left" w:pos="5500"/>
        </w:tabs>
        <w:spacing w:before="1"/>
        <w:ind w:left="96" w:right="0" w:firstLine="0"/>
        <w:jc w:val="left"/>
        <w:rPr>
          <w:sz w:val="18"/>
        </w:rPr>
      </w:pPr>
      <w:r>
        <w:t xml:space="preserve">资料来源：各保险公司官网， </w:t>
        <w:tab/>
        <w:t xml:space="preserve">资料来源：各保险公司官网， </w:t>
      </w:r>
    </w:p>
    <w:p>
      <w:pPr>
        <w:pStyle w:val="BodyText"/>
        <w:rPr>
          <w:sz w:val="20"/>
        </w:rPr>
      </w:pPr>
    </w:p>
    <w:p>
      <w:pPr>
        <w:pStyle w:val="BodyText"/>
        <w:spacing w:before="10"/>
        <w:rPr>
          <w:sz w:val="27"/>
        </w:rPr>
      </w:pPr>
    </w:p>
    <w:p>
      <w:pPr>
        <w:spacing w:before="80" w:after="28"/>
        <w:ind w:left="295" w:right="0" w:firstLine="0"/>
        <w:jc w:val="left"/>
        <w:rPr>
          <w:sz w:val="20"/>
        </w:rPr>
      </w:pPr>
      <w:r>
        <w:rPr>
          <w:sz w:val="20"/>
        </w:rPr>
        <w:t xml:space="preserve">表 </w:t>
      </w:r>
      <w:r>
        <w:rPr>
          <w:rFonts w:ascii="Arial" w:eastAsia="Arial"/>
          <w:sz w:val="20"/>
        </w:rPr>
        <w:t xml:space="preserve">9 2023 </w:t>
      </w:r>
      <w:r>
        <w:rPr>
          <w:sz w:val="20"/>
        </w:rPr>
        <w:t>年纳入统计的保险公司认购的绿色债权投资计划</w:t>
      </w:r>
    </w:p>
    <w:tbl>
      <w:tblPr>
        <w:tblStyle w:val="TableNormal7"/>
        <w:tblW w:w="0" w:type="auto"/>
        <w:jc w:val="left"/>
        <w:tblInd w:w="193"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1701"/>
        <w:gridCol w:w="4962"/>
        <w:gridCol w:w="1134"/>
        <w:gridCol w:w="1275"/>
        <w:gridCol w:w="1134"/>
        <w:gridCol w:w="1324"/>
      </w:tblGrid>
      <w:tr>
        <w:tblPrEx>
          <w:tblW w:w="0" w:type="auto"/>
          <w:jc w:val="left"/>
          <w:tblInd w:w="193"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624"/>
          <w:jc w:val="left"/>
        </w:trPr>
        <w:tc>
          <w:tcPr>
            <w:tcW w:w="1701" w:type="dxa"/>
            <w:tcBorders>
              <w:left w:val="dotted" w:sz="4" w:space="0" w:color="000000"/>
              <w:bottom w:val="single" w:sz="6" w:space="0" w:color="BD0000"/>
              <w:right w:val="dotted" w:sz="4" w:space="0" w:color="000000"/>
            </w:tcBorders>
          </w:tcPr>
          <w:p>
            <w:pPr>
              <w:pStyle w:val="TableParagraph"/>
              <w:spacing w:before="4"/>
              <w:jc w:val="left"/>
              <w:rPr>
                <w:sz w:val="15"/>
              </w:rPr>
            </w:pPr>
          </w:p>
          <w:p>
            <w:pPr>
              <w:pStyle w:val="TableParagraph"/>
              <w:spacing w:before="0"/>
              <w:ind w:left="108" w:right="98"/>
              <w:rPr>
                <w:b/>
                <w:sz w:val="18"/>
              </w:rPr>
            </w:pPr>
            <w:r>
              <w:rPr>
                <w:b/>
                <w:sz w:val="18"/>
              </w:rPr>
              <w:t>认购人</w:t>
            </w:r>
          </w:p>
        </w:tc>
        <w:tc>
          <w:tcPr>
            <w:tcW w:w="4962" w:type="dxa"/>
            <w:tcBorders>
              <w:left w:val="dotted" w:sz="4" w:space="0" w:color="000000"/>
              <w:bottom w:val="single" w:sz="6" w:space="0" w:color="BD0000"/>
              <w:right w:val="dotted" w:sz="4" w:space="0" w:color="000000"/>
            </w:tcBorders>
          </w:tcPr>
          <w:p>
            <w:pPr>
              <w:pStyle w:val="TableParagraph"/>
              <w:spacing w:before="4"/>
              <w:jc w:val="left"/>
              <w:rPr>
                <w:sz w:val="15"/>
              </w:rPr>
            </w:pPr>
          </w:p>
          <w:p>
            <w:pPr>
              <w:pStyle w:val="TableParagraph"/>
              <w:spacing w:before="0"/>
              <w:ind w:left="89" w:right="77"/>
              <w:rPr>
                <w:b/>
                <w:sz w:val="18"/>
              </w:rPr>
            </w:pPr>
            <w:r>
              <w:rPr>
                <w:b/>
                <w:sz w:val="18"/>
              </w:rPr>
              <w:t>项目名称</w:t>
            </w:r>
          </w:p>
        </w:tc>
        <w:tc>
          <w:tcPr>
            <w:tcW w:w="1134" w:type="dxa"/>
            <w:tcBorders>
              <w:left w:val="dotted" w:sz="4" w:space="0" w:color="000000"/>
              <w:bottom w:val="single" w:sz="6" w:space="0" w:color="BD0000"/>
              <w:right w:val="dotted" w:sz="4" w:space="0" w:color="000000"/>
            </w:tcBorders>
          </w:tcPr>
          <w:p>
            <w:pPr>
              <w:pStyle w:val="TableParagraph"/>
              <w:spacing w:before="40"/>
              <w:ind w:left="96" w:right="86"/>
              <w:rPr>
                <w:b/>
                <w:sz w:val="18"/>
              </w:rPr>
            </w:pPr>
            <w:r>
              <w:rPr>
                <w:b/>
                <w:sz w:val="18"/>
              </w:rPr>
              <w:t>设立</w:t>
            </w:r>
            <w:r>
              <w:rPr>
                <w:rFonts w:ascii="Arial" w:eastAsia="Arial"/>
                <w:b/>
                <w:sz w:val="18"/>
              </w:rPr>
              <w:t>/</w:t>
            </w:r>
            <w:r>
              <w:rPr>
                <w:b/>
                <w:sz w:val="18"/>
              </w:rPr>
              <w:t>管理</w:t>
            </w:r>
          </w:p>
          <w:p>
            <w:pPr>
              <w:pStyle w:val="TableParagraph"/>
              <w:spacing w:before="82"/>
              <w:ind w:left="7"/>
              <w:rPr>
                <w:b/>
                <w:sz w:val="18"/>
              </w:rPr>
            </w:pPr>
            <w:r>
              <w:rPr>
                <w:b/>
                <w:w w:val="99"/>
                <w:sz w:val="18"/>
              </w:rPr>
              <w:t>人</w:t>
            </w:r>
          </w:p>
        </w:tc>
        <w:tc>
          <w:tcPr>
            <w:tcW w:w="1275" w:type="dxa"/>
            <w:tcBorders>
              <w:left w:val="dotted" w:sz="4" w:space="0" w:color="000000"/>
              <w:bottom w:val="single" w:sz="6" w:space="0" w:color="BD0000"/>
              <w:right w:val="dotted" w:sz="4" w:space="0" w:color="000000"/>
            </w:tcBorders>
          </w:tcPr>
          <w:p>
            <w:pPr>
              <w:pStyle w:val="TableParagraph"/>
              <w:spacing w:before="4"/>
              <w:jc w:val="left"/>
              <w:rPr>
                <w:sz w:val="15"/>
              </w:rPr>
            </w:pPr>
          </w:p>
          <w:p>
            <w:pPr>
              <w:pStyle w:val="TableParagraph"/>
              <w:spacing w:before="0"/>
              <w:ind w:left="114" w:right="106"/>
              <w:rPr>
                <w:b/>
                <w:sz w:val="18"/>
              </w:rPr>
            </w:pPr>
            <w:r>
              <w:rPr>
                <w:b/>
                <w:sz w:val="18"/>
              </w:rPr>
              <w:t>认购时间</w:t>
            </w:r>
          </w:p>
        </w:tc>
        <w:tc>
          <w:tcPr>
            <w:tcW w:w="1134" w:type="dxa"/>
            <w:tcBorders>
              <w:left w:val="dotted" w:sz="4" w:space="0" w:color="000000"/>
              <w:bottom w:val="single" w:sz="6" w:space="0" w:color="BD0000"/>
              <w:right w:val="dotted" w:sz="4" w:space="0" w:color="000000"/>
            </w:tcBorders>
          </w:tcPr>
          <w:p>
            <w:pPr>
              <w:pStyle w:val="TableParagraph"/>
              <w:spacing w:before="40"/>
              <w:ind w:left="96" w:right="82"/>
              <w:rPr>
                <w:b/>
                <w:sz w:val="18"/>
              </w:rPr>
            </w:pPr>
            <w:r>
              <w:rPr>
                <w:b/>
                <w:sz w:val="18"/>
              </w:rPr>
              <w:t>认购金额</w:t>
            </w:r>
          </w:p>
          <w:p>
            <w:pPr>
              <w:pStyle w:val="TableParagraph"/>
              <w:spacing w:before="82"/>
              <w:ind w:left="96" w:right="85"/>
              <w:rPr>
                <w:rFonts w:ascii="Arial" w:eastAsia="Arial"/>
                <w:b/>
                <w:sz w:val="18"/>
              </w:rPr>
            </w:pPr>
            <w:r>
              <w:rPr>
                <w:rFonts w:ascii="Arial" w:eastAsia="Arial"/>
                <w:b/>
                <w:sz w:val="18"/>
              </w:rPr>
              <w:t>(</w:t>
            </w:r>
            <w:r>
              <w:rPr>
                <w:b/>
                <w:sz w:val="18"/>
              </w:rPr>
              <w:t>亿元</w:t>
            </w:r>
            <w:r>
              <w:rPr>
                <w:rFonts w:ascii="Arial" w:eastAsia="Arial"/>
                <w:b/>
                <w:sz w:val="18"/>
              </w:rPr>
              <w:t>)</w:t>
            </w:r>
          </w:p>
        </w:tc>
        <w:tc>
          <w:tcPr>
            <w:tcW w:w="1324" w:type="dxa"/>
            <w:tcBorders>
              <w:left w:val="dotted" w:sz="4" w:space="0" w:color="000000"/>
              <w:bottom w:val="single" w:sz="6" w:space="0" w:color="BD0000"/>
              <w:right w:val="dotted" w:sz="4" w:space="0" w:color="000000"/>
            </w:tcBorders>
          </w:tcPr>
          <w:p>
            <w:pPr>
              <w:pStyle w:val="TableParagraph"/>
              <w:spacing w:before="4"/>
              <w:jc w:val="left"/>
              <w:rPr>
                <w:sz w:val="15"/>
              </w:rPr>
            </w:pPr>
          </w:p>
          <w:p>
            <w:pPr>
              <w:pStyle w:val="TableParagraph"/>
              <w:spacing w:before="0"/>
              <w:ind w:left="153"/>
              <w:jc w:val="left"/>
              <w:rPr>
                <w:rFonts w:ascii="Arial" w:eastAsia="Arial"/>
                <w:b/>
                <w:sz w:val="18"/>
              </w:rPr>
            </w:pPr>
            <w:r>
              <w:rPr>
                <w:b/>
                <w:sz w:val="18"/>
              </w:rPr>
              <w:t>投资期限</w:t>
            </w:r>
            <w:r>
              <w:rPr>
                <w:rFonts w:ascii="Arial" w:eastAsia="Arial"/>
                <w:b/>
                <w:sz w:val="18"/>
              </w:rPr>
              <w:t>(</w:t>
            </w:r>
            <w:r>
              <w:rPr>
                <w:b/>
                <w:sz w:val="18"/>
              </w:rPr>
              <w:t>年</w:t>
            </w:r>
            <w:r>
              <w:rPr>
                <w:rFonts w:ascii="Arial" w:eastAsia="Arial"/>
                <w:b/>
                <w:sz w:val="18"/>
              </w:rPr>
              <w:t>)</w:t>
            </w:r>
          </w:p>
        </w:tc>
      </w:tr>
      <w:tr>
        <w:tblPrEx>
          <w:tblW w:w="0" w:type="auto"/>
          <w:jc w:val="left"/>
          <w:tblInd w:w="193" w:type="dxa"/>
          <w:tblLayout w:type="fixed"/>
          <w:tblCellMar>
            <w:top w:w="0" w:type="dxa"/>
            <w:left w:w="0" w:type="dxa"/>
            <w:bottom w:w="0" w:type="dxa"/>
            <w:right w:w="0" w:type="dxa"/>
          </w:tblCellMar>
          <w:tblLook w:val="01E0"/>
        </w:tblPrEx>
        <w:trPr>
          <w:trHeight w:val="624"/>
          <w:jc w:val="left"/>
        </w:trPr>
        <w:tc>
          <w:tcPr>
            <w:tcW w:w="1701"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42"/>
              <w:ind w:left="107" w:right="101"/>
              <w:rPr>
                <w:sz w:val="18"/>
              </w:rPr>
            </w:pPr>
            <w:r>
              <w:rPr>
                <w:sz w:val="18"/>
              </w:rPr>
              <w:t>中国人民财产保险</w:t>
            </w:r>
          </w:p>
          <w:p>
            <w:pPr>
              <w:pStyle w:val="TableParagraph"/>
              <w:spacing w:before="81"/>
              <w:ind w:left="107" w:right="101"/>
              <w:rPr>
                <w:sz w:val="18"/>
              </w:rPr>
            </w:pPr>
            <w:r>
              <w:rPr>
                <w:sz w:val="18"/>
              </w:rPr>
              <w:t>股份有限公司</w:t>
            </w:r>
          </w:p>
        </w:tc>
        <w:tc>
          <w:tcPr>
            <w:tcW w:w="4962"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6"/>
              <w:jc w:val="left"/>
              <w:rPr>
                <w:sz w:val="15"/>
              </w:rPr>
            </w:pPr>
          </w:p>
          <w:p>
            <w:pPr>
              <w:pStyle w:val="TableParagraph"/>
              <w:spacing w:before="0"/>
              <w:ind w:left="89" w:right="82"/>
              <w:rPr>
                <w:sz w:val="18"/>
              </w:rPr>
            </w:pPr>
            <w:r>
              <w:rPr>
                <w:sz w:val="18"/>
              </w:rPr>
              <w:t>人保资产</w:t>
            </w:r>
            <w:r>
              <w:rPr>
                <w:rFonts w:ascii="Arial" w:eastAsia="Arial"/>
                <w:sz w:val="18"/>
              </w:rPr>
              <w:t>-</w:t>
            </w:r>
            <w:r>
              <w:rPr>
                <w:sz w:val="18"/>
              </w:rPr>
              <w:t>河南水投绿色基础设施债权投资计划</w:t>
            </w:r>
          </w:p>
        </w:tc>
        <w:tc>
          <w:tcPr>
            <w:tcW w:w="1134"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6"/>
              <w:jc w:val="left"/>
              <w:rPr>
                <w:sz w:val="15"/>
              </w:rPr>
            </w:pPr>
          </w:p>
          <w:p>
            <w:pPr>
              <w:pStyle w:val="TableParagraph"/>
              <w:spacing w:before="0"/>
              <w:ind w:left="207"/>
              <w:jc w:val="left"/>
              <w:rPr>
                <w:sz w:val="18"/>
              </w:rPr>
            </w:pPr>
            <w:r>
              <w:rPr>
                <w:sz w:val="18"/>
              </w:rPr>
              <w:t>人保资产</w:t>
            </w:r>
          </w:p>
        </w:tc>
        <w:tc>
          <w:tcPr>
            <w:tcW w:w="1275"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4"/>
              <w:jc w:val="left"/>
              <w:rPr>
                <w:sz w:val="16"/>
              </w:rPr>
            </w:pPr>
          </w:p>
          <w:p>
            <w:pPr>
              <w:pStyle w:val="TableParagraph"/>
              <w:spacing w:before="0"/>
              <w:ind w:left="114" w:right="104"/>
              <w:rPr>
                <w:rFonts w:ascii="Arial"/>
                <w:sz w:val="18"/>
              </w:rPr>
            </w:pPr>
            <w:r>
              <w:rPr>
                <w:rFonts w:ascii="Arial"/>
                <w:sz w:val="18"/>
              </w:rPr>
              <w:t>2023.08.24</w:t>
            </w:r>
          </w:p>
        </w:tc>
        <w:tc>
          <w:tcPr>
            <w:tcW w:w="1134"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4"/>
              <w:jc w:val="left"/>
              <w:rPr>
                <w:sz w:val="16"/>
              </w:rPr>
            </w:pPr>
          </w:p>
          <w:p>
            <w:pPr>
              <w:pStyle w:val="TableParagraph"/>
              <w:spacing w:before="0"/>
              <w:ind w:left="10"/>
              <w:rPr>
                <w:rFonts w:ascii="Arial"/>
                <w:sz w:val="18"/>
              </w:rPr>
            </w:pPr>
            <w:r>
              <w:rPr>
                <w:rFonts w:ascii="Arial"/>
                <w:sz w:val="18"/>
              </w:rPr>
              <w:t>2</w:t>
            </w:r>
          </w:p>
        </w:tc>
        <w:tc>
          <w:tcPr>
            <w:tcW w:w="1324"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4"/>
              <w:jc w:val="left"/>
              <w:rPr>
                <w:sz w:val="16"/>
              </w:rPr>
            </w:pPr>
          </w:p>
          <w:p>
            <w:pPr>
              <w:pStyle w:val="TableParagraph"/>
              <w:spacing w:before="0"/>
              <w:ind w:left="405"/>
              <w:jc w:val="left"/>
              <w:rPr>
                <w:rFonts w:ascii="Arial"/>
                <w:sz w:val="18"/>
              </w:rPr>
            </w:pPr>
            <w:r>
              <w:rPr>
                <w:rFonts w:ascii="Arial"/>
                <w:sz w:val="18"/>
              </w:rPr>
              <w:t>3+3+4</w:t>
            </w:r>
          </w:p>
        </w:tc>
      </w:tr>
      <w:tr>
        <w:tblPrEx>
          <w:tblW w:w="0" w:type="auto"/>
          <w:jc w:val="left"/>
          <w:tblInd w:w="193" w:type="dxa"/>
          <w:tblLayout w:type="fixed"/>
          <w:tblCellMar>
            <w:top w:w="0" w:type="dxa"/>
            <w:left w:w="0" w:type="dxa"/>
            <w:bottom w:w="0" w:type="dxa"/>
            <w:right w:w="0" w:type="dxa"/>
          </w:tblCellMar>
          <w:tblLook w:val="01E0"/>
        </w:tblPrEx>
        <w:trPr>
          <w:trHeight w:val="623"/>
          <w:jc w:val="left"/>
        </w:trPr>
        <w:tc>
          <w:tcPr>
            <w:tcW w:w="1701" w:type="dxa"/>
            <w:tcBorders>
              <w:top w:val="dotted" w:sz="4" w:space="0" w:color="000000"/>
              <w:left w:val="dotted" w:sz="4" w:space="0" w:color="000000"/>
              <w:bottom w:val="dotted" w:sz="4" w:space="0" w:color="000000"/>
              <w:right w:val="dotted" w:sz="4" w:space="0" w:color="000000"/>
            </w:tcBorders>
          </w:tcPr>
          <w:p>
            <w:pPr>
              <w:pStyle w:val="TableParagraph"/>
              <w:ind w:left="107" w:right="101"/>
              <w:rPr>
                <w:sz w:val="18"/>
              </w:rPr>
            </w:pPr>
            <w:r>
              <w:rPr>
                <w:sz w:val="18"/>
              </w:rPr>
              <w:t>中国人民健康保险</w:t>
            </w:r>
          </w:p>
          <w:p>
            <w:pPr>
              <w:pStyle w:val="TableParagraph"/>
              <w:spacing w:before="82"/>
              <w:ind w:left="107" w:right="101"/>
              <w:rPr>
                <w:sz w:val="18"/>
              </w:rPr>
            </w:pPr>
            <w:r>
              <w:rPr>
                <w:sz w:val="18"/>
              </w:rPr>
              <w:t>股份有限公司</w:t>
            </w:r>
          </w:p>
        </w:tc>
        <w:tc>
          <w:tcPr>
            <w:tcW w:w="4962" w:type="dxa"/>
            <w:tcBorders>
              <w:top w:val="dotted" w:sz="4" w:space="0" w:color="000000"/>
              <w:left w:val="dotted" w:sz="4" w:space="0" w:color="000000"/>
              <w:bottom w:val="dotted" w:sz="4" w:space="0" w:color="000000"/>
              <w:right w:val="dotted" w:sz="4" w:space="0" w:color="000000"/>
            </w:tcBorders>
          </w:tcPr>
          <w:p>
            <w:pPr>
              <w:pStyle w:val="TableParagraph"/>
              <w:spacing w:before="5"/>
              <w:jc w:val="left"/>
              <w:rPr>
                <w:sz w:val="15"/>
              </w:rPr>
            </w:pPr>
          </w:p>
          <w:p>
            <w:pPr>
              <w:pStyle w:val="TableParagraph"/>
              <w:spacing w:before="0"/>
              <w:ind w:left="89" w:right="82"/>
              <w:rPr>
                <w:sz w:val="18"/>
              </w:rPr>
            </w:pPr>
            <w:r>
              <w:rPr>
                <w:sz w:val="18"/>
              </w:rPr>
              <w:t>人保资产</w:t>
            </w:r>
            <w:r>
              <w:rPr>
                <w:rFonts w:ascii="Arial" w:eastAsia="Arial"/>
                <w:sz w:val="18"/>
              </w:rPr>
              <w:t>-</w:t>
            </w:r>
            <w:r>
              <w:rPr>
                <w:sz w:val="18"/>
              </w:rPr>
              <w:t>河南水投绿色基础设施债权投资计划</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
              <w:jc w:val="left"/>
              <w:rPr>
                <w:sz w:val="15"/>
              </w:rPr>
            </w:pPr>
          </w:p>
          <w:p>
            <w:pPr>
              <w:pStyle w:val="TableParagraph"/>
              <w:spacing w:before="0"/>
              <w:ind w:left="207"/>
              <w:jc w:val="left"/>
              <w:rPr>
                <w:sz w:val="18"/>
              </w:rPr>
            </w:pPr>
            <w:r>
              <w:rPr>
                <w:sz w:val="18"/>
              </w:rPr>
              <w:t>人保资产</w:t>
            </w:r>
          </w:p>
        </w:tc>
        <w:tc>
          <w:tcPr>
            <w:tcW w:w="1275" w:type="dxa"/>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16"/>
              </w:rPr>
            </w:pPr>
          </w:p>
          <w:p>
            <w:pPr>
              <w:pStyle w:val="TableParagraph"/>
              <w:spacing w:before="1"/>
              <w:ind w:left="114" w:right="104"/>
              <w:rPr>
                <w:rFonts w:ascii="Arial"/>
                <w:sz w:val="18"/>
              </w:rPr>
            </w:pPr>
            <w:r>
              <w:rPr>
                <w:rFonts w:ascii="Arial"/>
                <w:sz w:val="18"/>
              </w:rPr>
              <w:t>2023.08.25</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16"/>
              </w:rPr>
            </w:pPr>
          </w:p>
          <w:p>
            <w:pPr>
              <w:pStyle w:val="TableParagraph"/>
              <w:spacing w:before="1"/>
              <w:ind w:left="96" w:right="86"/>
              <w:rPr>
                <w:rFonts w:ascii="Arial"/>
                <w:sz w:val="18"/>
              </w:rPr>
            </w:pPr>
            <w:r>
              <w:rPr>
                <w:rFonts w:ascii="Arial"/>
                <w:sz w:val="18"/>
              </w:rPr>
              <w:t>1.85</w:t>
            </w:r>
          </w:p>
        </w:tc>
        <w:tc>
          <w:tcPr>
            <w:tcW w:w="1324" w:type="dxa"/>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16"/>
              </w:rPr>
            </w:pPr>
          </w:p>
          <w:p>
            <w:pPr>
              <w:pStyle w:val="TableParagraph"/>
              <w:spacing w:before="1"/>
              <w:ind w:left="465" w:right="455"/>
              <w:rPr>
                <w:rFonts w:ascii="Arial"/>
                <w:sz w:val="18"/>
              </w:rPr>
            </w:pPr>
            <w:r>
              <w:rPr>
                <w:rFonts w:ascii="Arial"/>
                <w:sz w:val="18"/>
              </w:rPr>
              <w:t>10</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1701" w:type="dxa"/>
            <w:vMerge w:val="restart"/>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6"/>
              <w:ind w:left="107" w:right="101"/>
              <w:rPr>
                <w:sz w:val="18"/>
              </w:rPr>
            </w:pPr>
            <w:r>
              <w:rPr>
                <w:sz w:val="18"/>
              </w:rPr>
              <w:t>中国人民人寿保险</w:t>
            </w:r>
          </w:p>
          <w:p>
            <w:pPr>
              <w:pStyle w:val="TableParagraph"/>
              <w:spacing w:before="81"/>
              <w:ind w:left="107" w:right="101"/>
              <w:rPr>
                <w:sz w:val="18"/>
              </w:rPr>
            </w:pPr>
            <w:r>
              <w:rPr>
                <w:sz w:val="18"/>
              </w:rPr>
              <w:t>股份有限公司</w:t>
            </w:r>
          </w:p>
        </w:tc>
        <w:tc>
          <w:tcPr>
            <w:tcW w:w="496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89" w:right="82"/>
              <w:rPr>
                <w:sz w:val="18"/>
              </w:rPr>
            </w:pPr>
            <w:r>
              <w:rPr>
                <w:sz w:val="18"/>
              </w:rPr>
              <w:t>人保资产</w:t>
            </w:r>
            <w:r>
              <w:rPr>
                <w:rFonts w:ascii="Arial" w:eastAsia="Arial"/>
                <w:sz w:val="18"/>
              </w:rPr>
              <w:t>-</w:t>
            </w:r>
            <w:r>
              <w:rPr>
                <w:sz w:val="18"/>
              </w:rPr>
              <w:t>河南水投绿色基础设施债权投资计划</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207"/>
              <w:jc w:val="left"/>
              <w:rPr>
                <w:sz w:val="18"/>
              </w:rPr>
            </w:pPr>
            <w:r>
              <w:rPr>
                <w:sz w:val="18"/>
              </w:rPr>
              <w:t>人保资产</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2"/>
              <w:ind w:left="114" w:right="104"/>
              <w:rPr>
                <w:rFonts w:ascii="Arial"/>
                <w:sz w:val="18"/>
              </w:rPr>
            </w:pPr>
            <w:r>
              <w:rPr>
                <w:rFonts w:ascii="Arial"/>
                <w:sz w:val="18"/>
              </w:rPr>
              <w:t>2023.08.24</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2"/>
              <w:ind w:left="94" w:right="86"/>
              <w:rPr>
                <w:rFonts w:ascii="Arial"/>
                <w:sz w:val="18"/>
              </w:rPr>
            </w:pPr>
            <w:r>
              <w:rPr>
                <w:rFonts w:ascii="Arial"/>
                <w:sz w:val="18"/>
              </w:rPr>
              <w:t>2.8</w:t>
            </w:r>
          </w:p>
        </w:tc>
        <w:tc>
          <w:tcPr>
            <w:tcW w:w="132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2"/>
              <w:ind w:left="405"/>
              <w:jc w:val="left"/>
              <w:rPr>
                <w:rFonts w:ascii="Arial"/>
                <w:sz w:val="18"/>
              </w:rPr>
            </w:pPr>
            <w:r>
              <w:rPr>
                <w:rFonts w:ascii="Arial"/>
                <w:sz w:val="18"/>
              </w:rPr>
              <w:t>3+3+4</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96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89" w:right="82"/>
              <w:rPr>
                <w:sz w:val="18"/>
              </w:rPr>
            </w:pPr>
            <w:r>
              <w:rPr>
                <w:sz w:val="18"/>
              </w:rPr>
              <w:t>人保资产</w:t>
            </w:r>
            <w:r>
              <w:rPr>
                <w:rFonts w:ascii="Arial" w:eastAsia="Arial"/>
                <w:sz w:val="18"/>
              </w:rPr>
              <w:t>-</w:t>
            </w:r>
            <w:r>
              <w:rPr>
                <w:sz w:val="18"/>
              </w:rPr>
              <w:t>丰台科技园基础设施绿色债权投资计划（第一期）</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207"/>
              <w:jc w:val="left"/>
              <w:rPr>
                <w:sz w:val="18"/>
              </w:rPr>
            </w:pPr>
            <w:r>
              <w:rPr>
                <w:sz w:val="18"/>
              </w:rPr>
              <w:t>人保资产</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2"/>
              <w:ind w:left="114" w:right="104"/>
              <w:rPr>
                <w:rFonts w:ascii="Arial"/>
                <w:sz w:val="18"/>
              </w:rPr>
            </w:pPr>
            <w:r>
              <w:rPr>
                <w:rFonts w:ascii="Arial"/>
                <w:sz w:val="18"/>
              </w:rPr>
              <w:t>2023.10.10</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2"/>
              <w:ind w:left="10"/>
              <w:rPr>
                <w:rFonts w:ascii="Arial"/>
                <w:sz w:val="18"/>
              </w:rPr>
            </w:pPr>
            <w:r>
              <w:rPr>
                <w:rFonts w:ascii="Arial"/>
                <w:sz w:val="18"/>
              </w:rPr>
              <w:t>3</w:t>
            </w:r>
          </w:p>
        </w:tc>
        <w:tc>
          <w:tcPr>
            <w:tcW w:w="132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2"/>
              <w:ind w:left="201"/>
              <w:jc w:val="left"/>
              <w:rPr>
                <w:rFonts w:ascii="Arial"/>
                <w:sz w:val="18"/>
              </w:rPr>
            </w:pPr>
            <w:r>
              <w:rPr>
                <w:rFonts w:ascii="Arial"/>
                <w:sz w:val="18"/>
              </w:rPr>
              <w:t>3+3+3+3+3</w:t>
            </w:r>
          </w:p>
        </w:tc>
      </w:tr>
      <w:tr>
        <w:tblPrEx>
          <w:tblW w:w="0" w:type="auto"/>
          <w:jc w:val="left"/>
          <w:tblInd w:w="193" w:type="dxa"/>
          <w:tblLayout w:type="fixed"/>
          <w:tblCellMar>
            <w:top w:w="0" w:type="dxa"/>
            <w:left w:w="0" w:type="dxa"/>
            <w:bottom w:w="0" w:type="dxa"/>
            <w:right w:w="0" w:type="dxa"/>
          </w:tblCellMar>
          <w:tblLook w:val="01E0"/>
        </w:tblPrEx>
        <w:trPr>
          <w:trHeight w:val="623"/>
          <w:jc w:val="left"/>
        </w:trPr>
        <w:tc>
          <w:tcPr>
            <w:tcW w:w="1701" w:type="dxa"/>
            <w:tcBorders>
              <w:top w:val="dotted" w:sz="4" w:space="0" w:color="000000"/>
              <w:left w:val="dotted" w:sz="4" w:space="0" w:color="000000"/>
              <w:bottom w:val="dotted" w:sz="4" w:space="0" w:color="000000"/>
              <w:right w:val="dotted" w:sz="4" w:space="0" w:color="000000"/>
            </w:tcBorders>
          </w:tcPr>
          <w:p>
            <w:pPr>
              <w:pStyle w:val="TableParagraph"/>
              <w:spacing w:before="40"/>
              <w:ind w:left="107" w:right="101"/>
              <w:rPr>
                <w:sz w:val="18"/>
              </w:rPr>
            </w:pPr>
            <w:r>
              <w:rPr>
                <w:sz w:val="18"/>
              </w:rPr>
              <w:t>中国人寿保险股份</w:t>
            </w:r>
          </w:p>
          <w:p>
            <w:pPr>
              <w:pStyle w:val="TableParagraph"/>
              <w:spacing w:before="82"/>
              <w:ind w:left="107" w:right="101"/>
              <w:rPr>
                <w:sz w:val="18"/>
              </w:rPr>
            </w:pPr>
            <w:r>
              <w:rPr>
                <w:sz w:val="18"/>
              </w:rPr>
              <w:t>有限公司</w:t>
            </w:r>
          </w:p>
        </w:tc>
        <w:tc>
          <w:tcPr>
            <w:tcW w:w="4962" w:type="dxa"/>
            <w:tcBorders>
              <w:top w:val="dotted" w:sz="4" w:space="0" w:color="000000"/>
              <w:left w:val="dotted" w:sz="4" w:space="0" w:color="000000"/>
              <w:bottom w:val="dotted" w:sz="4" w:space="0" w:color="000000"/>
              <w:right w:val="dotted" w:sz="4" w:space="0" w:color="000000"/>
            </w:tcBorders>
          </w:tcPr>
          <w:p>
            <w:pPr>
              <w:pStyle w:val="TableParagraph"/>
              <w:spacing w:before="4"/>
              <w:jc w:val="left"/>
              <w:rPr>
                <w:sz w:val="15"/>
              </w:rPr>
            </w:pPr>
          </w:p>
          <w:p>
            <w:pPr>
              <w:pStyle w:val="TableParagraph"/>
              <w:spacing w:before="0"/>
              <w:ind w:left="89" w:right="82"/>
              <w:rPr>
                <w:sz w:val="18"/>
              </w:rPr>
            </w:pPr>
            <w:r>
              <w:rPr>
                <w:sz w:val="18"/>
              </w:rPr>
              <w:t>国寿投资</w:t>
            </w:r>
            <w:r>
              <w:rPr>
                <w:rFonts w:ascii="Arial" w:eastAsia="Arial"/>
                <w:sz w:val="18"/>
              </w:rPr>
              <w:t>-</w:t>
            </w:r>
            <w:r>
              <w:rPr>
                <w:sz w:val="18"/>
              </w:rPr>
              <w:t>南崇铁路绿色债权投资计划</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4"/>
              <w:jc w:val="left"/>
              <w:rPr>
                <w:sz w:val="15"/>
              </w:rPr>
            </w:pPr>
          </w:p>
          <w:p>
            <w:pPr>
              <w:pStyle w:val="TableParagraph"/>
              <w:spacing w:before="0"/>
              <w:ind w:left="207"/>
              <w:jc w:val="left"/>
              <w:rPr>
                <w:sz w:val="18"/>
              </w:rPr>
            </w:pPr>
            <w:r>
              <w:rPr>
                <w:sz w:val="18"/>
              </w:rPr>
              <w:t>国寿投资</w:t>
            </w:r>
          </w:p>
        </w:tc>
        <w:tc>
          <w:tcPr>
            <w:tcW w:w="1275" w:type="dxa"/>
            <w:tcBorders>
              <w:top w:val="dotted" w:sz="4" w:space="0" w:color="000000"/>
              <w:left w:val="dotted" w:sz="4" w:space="0" w:color="000000"/>
              <w:bottom w:val="dotted" w:sz="4" w:space="0" w:color="000000"/>
              <w:right w:val="dotted" w:sz="4" w:space="0" w:color="000000"/>
            </w:tcBorders>
          </w:tcPr>
          <w:p>
            <w:pPr>
              <w:pStyle w:val="TableParagraph"/>
              <w:spacing w:before="5"/>
              <w:jc w:val="left"/>
              <w:rPr>
                <w:sz w:val="16"/>
              </w:rPr>
            </w:pPr>
          </w:p>
          <w:p>
            <w:pPr>
              <w:pStyle w:val="TableParagraph"/>
              <w:spacing w:before="0"/>
              <w:ind w:left="114" w:right="104"/>
              <w:rPr>
                <w:rFonts w:ascii="Arial"/>
                <w:sz w:val="18"/>
              </w:rPr>
            </w:pPr>
            <w:r>
              <w:rPr>
                <w:rFonts w:ascii="Arial"/>
                <w:sz w:val="18"/>
              </w:rPr>
              <w:t>2023.05.29</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
              <w:jc w:val="left"/>
              <w:rPr>
                <w:sz w:val="16"/>
              </w:rPr>
            </w:pPr>
          </w:p>
          <w:p>
            <w:pPr>
              <w:pStyle w:val="TableParagraph"/>
              <w:spacing w:before="0"/>
              <w:ind w:left="96" w:right="86"/>
              <w:rPr>
                <w:rFonts w:ascii="Arial"/>
                <w:sz w:val="18"/>
              </w:rPr>
            </w:pPr>
            <w:r>
              <w:rPr>
                <w:rFonts w:ascii="Arial"/>
                <w:sz w:val="18"/>
              </w:rPr>
              <w:t>20</w:t>
            </w:r>
          </w:p>
        </w:tc>
        <w:tc>
          <w:tcPr>
            <w:tcW w:w="1324" w:type="dxa"/>
            <w:tcBorders>
              <w:top w:val="dotted" w:sz="4" w:space="0" w:color="000000"/>
              <w:left w:val="dotted" w:sz="4" w:space="0" w:color="000000"/>
              <w:bottom w:val="dotted" w:sz="4" w:space="0" w:color="000000"/>
              <w:right w:val="dotted" w:sz="4" w:space="0" w:color="000000"/>
            </w:tcBorders>
          </w:tcPr>
          <w:p>
            <w:pPr>
              <w:pStyle w:val="TableParagraph"/>
              <w:spacing w:before="4"/>
              <w:jc w:val="left"/>
              <w:rPr>
                <w:sz w:val="15"/>
              </w:rPr>
            </w:pPr>
          </w:p>
          <w:p>
            <w:pPr>
              <w:pStyle w:val="TableParagraph"/>
              <w:spacing w:before="0"/>
              <w:ind w:left="228"/>
              <w:jc w:val="left"/>
              <w:rPr>
                <w:sz w:val="18"/>
              </w:rPr>
            </w:pPr>
            <w:r>
              <w:rPr>
                <w:rFonts w:ascii="Arial" w:eastAsia="Arial"/>
                <w:sz w:val="18"/>
              </w:rPr>
              <w:t>12</w:t>
            </w:r>
            <w:r>
              <w:rPr>
                <w:sz w:val="18"/>
              </w:rPr>
              <w:t>（</w:t>
            </w:r>
            <w:r>
              <w:rPr>
                <w:rFonts w:ascii="Arial" w:eastAsia="Arial"/>
                <w:sz w:val="18"/>
              </w:rPr>
              <w:t>7+5</w:t>
            </w:r>
            <w:r>
              <w:rPr>
                <w:sz w:val="18"/>
              </w:rPr>
              <w:t>）</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1701" w:type="dxa"/>
            <w:vMerge w:val="restart"/>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3"/>
              <w:jc w:val="left"/>
              <w:rPr>
                <w:sz w:val="16"/>
              </w:rPr>
            </w:pPr>
          </w:p>
          <w:p>
            <w:pPr>
              <w:pStyle w:val="TableParagraph"/>
              <w:spacing w:before="0" w:line="324" w:lineRule="auto"/>
              <w:ind w:left="488" w:right="120" w:hanging="360"/>
              <w:jc w:val="left"/>
              <w:rPr>
                <w:sz w:val="18"/>
              </w:rPr>
            </w:pPr>
            <w:r>
              <w:rPr>
                <w:sz w:val="18"/>
              </w:rPr>
              <w:t>平安人寿保险股份有限公司</w:t>
            </w:r>
          </w:p>
        </w:tc>
        <w:tc>
          <w:tcPr>
            <w:tcW w:w="496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89" w:right="82"/>
              <w:rPr>
                <w:sz w:val="18"/>
              </w:rPr>
            </w:pPr>
            <w:r>
              <w:rPr>
                <w:sz w:val="18"/>
              </w:rPr>
              <w:t>平安</w:t>
            </w:r>
            <w:r>
              <w:rPr>
                <w:rFonts w:ascii="Arial" w:eastAsia="Arial"/>
                <w:sz w:val="18"/>
              </w:rPr>
              <w:t>-</w:t>
            </w:r>
            <w:r>
              <w:rPr>
                <w:sz w:val="18"/>
              </w:rPr>
              <w:t>中国绿发不动产绿色债权投资计划第二笔</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207"/>
              <w:jc w:val="left"/>
              <w:rPr>
                <w:sz w:val="18"/>
              </w:rPr>
            </w:pPr>
            <w:r>
              <w:rPr>
                <w:sz w:val="18"/>
              </w:rPr>
              <w:t>平安资产</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114" w:right="104"/>
              <w:rPr>
                <w:rFonts w:ascii="Arial"/>
                <w:sz w:val="18"/>
              </w:rPr>
            </w:pPr>
            <w:r>
              <w:rPr>
                <w:rFonts w:ascii="Arial"/>
                <w:sz w:val="18"/>
              </w:rPr>
              <w:t>2023.03.28</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10"/>
              <w:rPr>
                <w:rFonts w:ascii="Arial"/>
                <w:sz w:val="18"/>
              </w:rPr>
            </w:pPr>
            <w:r>
              <w:rPr>
                <w:rFonts w:ascii="Arial"/>
                <w:sz w:val="18"/>
              </w:rPr>
              <w:t>1</w:t>
            </w:r>
          </w:p>
        </w:tc>
        <w:tc>
          <w:tcPr>
            <w:tcW w:w="132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10"/>
              <w:rPr>
                <w:rFonts w:ascii="Arial"/>
                <w:sz w:val="18"/>
              </w:rPr>
            </w:pPr>
            <w:r>
              <w:rPr>
                <w:rFonts w:ascii="Arial"/>
                <w:sz w:val="18"/>
              </w:rPr>
              <w:t>3</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96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89" w:right="81"/>
              <w:rPr>
                <w:sz w:val="18"/>
              </w:rPr>
            </w:pPr>
            <w:r>
              <w:rPr>
                <w:sz w:val="18"/>
              </w:rPr>
              <w:t>平安</w:t>
            </w:r>
            <w:r>
              <w:rPr>
                <w:rFonts w:ascii="Arial" w:eastAsia="Arial"/>
                <w:sz w:val="18"/>
              </w:rPr>
              <w:t>-</w:t>
            </w:r>
            <w:r>
              <w:rPr>
                <w:sz w:val="18"/>
              </w:rPr>
              <w:t>江西交投基础设施绿色债权投资计划第三笔</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207"/>
              <w:jc w:val="left"/>
              <w:rPr>
                <w:sz w:val="18"/>
              </w:rPr>
            </w:pPr>
            <w:r>
              <w:rPr>
                <w:sz w:val="18"/>
              </w:rPr>
              <w:t>平安资产</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114" w:right="104"/>
              <w:rPr>
                <w:rFonts w:ascii="Arial"/>
                <w:sz w:val="18"/>
              </w:rPr>
            </w:pPr>
            <w:r>
              <w:rPr>
                <w:rFonts w:ascii="Arial"/>
                <w:sz w:val="18"/>
              </w:rPr>
              <w:t>2023.03.30</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10"/>
              <w:rPr>
                <w:rFonts w:ascii="Arial"/>
                <w:sz w:val="18"/>
              </w:rPr>
            </w:pPr>
            <w:r>
              <w:rPr>
                <w:rFonts w:ascii="Arial"/>
                <w:sz w:val="18"/>
              </w:rPr>
              <w:t>5</w:t>
            </w:r>
          </w:p>
        </w:tc>
        <w:tc>
          <w:tcPr>
            <w:tcW w:w="132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467" w:right="455"/>
              <w:rPr>
                <w:rFonts w:ascii="Arial"/>
                <w:sz w:val="18"/>
              </w:rPr>
            </w:pPr>
            <w:r>
              <w:rPr>
                <w:rFonts w:ascii="Arial"/>
                <w:sz w:val="18"/>
              </w:rPr>
              <w:t>10.5</w:t>
            </w:r>
          </w:p>
        </w:tc>
      </w:tr>
      <w:tr>
        <w:tblPrEx>
          <w:tblW w:w="0" w:type="auto"/>
          <w:jc w:val="left"/>
          <w:tblInd w:w="193" w:type="dxa"/>
          <w:tblLayout w:type="fixed"/>
          <w:tblCellMar>
            <w:top w:w="0" w:type="dxa"/>
            <w:left w:w="0" w:type="dxa"/>
            <w:bottom w:w="0" w:type="dxa"/>
            <w:right w:w="0" w:type="dxa"/>
          </w:tblCellMar>
          <w:tblLook w:val="01E0"/>
        </w:tblPrEx>
        <w:trPr>
          <w:trHeight w:val="311"/>
          <w:jc w:val="left"/>
        </w:trPr>
        <w:tc>
          <w:tcPr>
            <w:tcW w:w="1701"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96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89" w:right="82"/>
              <w:rPr>
                <w:sz w:val="18"/>
              </w:rPr>
            </w:pPr>
            <w:r>
              <w:rPr>
                <w:sz w:val="18"/>
              </w:rPr>
              <w:t>平安</w:t>
            </w:r>
            <w:r>
              <w:rPr>
                <w:rFonts w:ascii="Arial" w:eastAsia="Arial"/>
                <w:sz w:val="18"/>
              </w:rPr>
              <w:t>-</w:t>
            </w:r>
            <w:r>
              <w:rPr>
                <w:sz w:val="18"/>
              </w:rPr>
              <w:t>新能源电池基础设施绿色债权投资计划（第一笔）</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207"/>
              <w:jc w:val="left"/>
              <w:rPr>
                <w:sz w:val="18"/>
              </w:rPr>
            </w:pPr>
            <w:r>
              <w:rPr>
                <w:sz w:val="18"/>
              </w:rPr>
              <w:t>平安资产</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113" w:right="106"/>
              <w:rPr>
                <w:rFonts w:ascii="Arial"/>
                <w:sz w:val="18"/>
              </w:rPr>
            </w:pPr>
            <w:r>
              <w:rPr>
                <w:rFonts w:ascii="Arial"/>
                <w:sz w:val="18"/>
              </w:rPr>
              <w:t>2023.08.06</w:t>
            </w:r>
          </w:p>
        </w:tc>
        <w:tc>
          <w:tcPr>
            <w:tcW w:w="113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94" w:right="86"/>
              <w:rPr>
                <w:rFonts w:ascii="Arial"/>
                <w:sz w:val="18"/>
              </w:rPr>
            </w:pPr>
            <w:r>
              <w:rPr>
                <w:rFonts w:ascii="Arial"/>
                <w:sz w:val="18"/>
              </w:rPr>
              <w:t>4.5</w:t>
            </w:r>
          </w:p>
        </w:tc>
        <w:tc>
          <w:tcPr>
            <w:tcW w:w="1324"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53"/>
              <w:ind w:left="465" w:right="455"/>
              <w:rPr>
                <w:rFonts w:ascii="Arial"/>
                <w:sz w:val="18"/>
              </w:rPr>
            </w:pPr>
            <w:r>
              <w:rPr>
                <w:rFonts w:ascii="Arial"/>
                <w:sz w:val="18"/>
              </w:rPr>
              <w:t>3+2</w:t>
            </w:r>
          </w:p>
        </w:tc>
      </w:tr>
      <w:tr>
        <w:tblPrEx>
          <w:tblW w:w="0" w:type="auto"/>
          <w:jc w:val="left"/>
          <w:tblInd w:w="193" w:type="dxa"/>
          <w:tblLayout w:type="fixed"/>
          <w:tblCellMar>
            <w:top w:w="0" w:type="dxa"/>
            <w:left w:w="0" w:type="dxa"/>
            <w:bottom w:w="0" w:type="dxa"/>
            <w:right w:w="0" w:type="dxa"/>
          </w:tblCellMar>
          <w:tblLook w:val="01E0"/>
        </w:tblPrEx>
        <w:trPr>
          <w:trHeight w:val="624"/>
          <w:jc w:val="left"/>
        </w:trPr>
        <w:tc>
          <w:tcPr>
            <w:tcW w:w="1701" w:type="dxa"/>
            <w:tcBorders>
              <w:top w:val="dotted" w:sz="4" w:space="0" w:color="000000"/>
              <w:left w:val="dotted" w:sz="4" w:space="0" w:color="000000"/>
              <w:bottom w:val="dotted" w:sz="4" w:space="0" w:color="000000"/>
              <w:right w:val="dotted" w:sz="4" w:space="0" w:color="000000"/>
            </w:tcBorders>
          </w:tcPr>
          <w:p>
            <w:pPr>
              <w:pStyle w:val="TableParagraph"/>
              <w:ind w:left="107" w:right="101"/>
              <w:rPr>
                <w:sz w:val="18"/>
              </w:rPr>
            </w:pPr>
            <w:r>
              <w:rPr>
                <w:sz w:val="18"/>
              </w:rPr>
              <w:t>平安健康保险股份</w:t>
            </w:r>
          </w:p>
          <w:p>
            <w:pPr>
              <w:pStyle w:val="TableParagraph"/>
              <w:spacing w:before="81"/>
              <w:ind w:left="107" w:right="101"/>
              <w:rPr>
                <w:sz w:val="18"/>
              </w:rPr>
            </w:pPr>
            <w:r>
              <w:rPr>
                <w:sz w:val="18"/>
              </w:rPr>
              <w:t>有限公司</w:t>
            </w:r>
          </w:p>
        </w:tc>
        <w:tc>
          <w:tcPr>
            <w:tcW w:w="4962" w:type="dxa"/>
            <w:tcBorders>
              <w:top w:val="dotted" w:sz="4" w:space="0" w:color="000000"/>
              <w:left w:val="dotted" w:sz="4" w:space="0" w:color="000000"/>
              <w:bottom w:val="dotted" w:sz="4" w:space="0" w:color="000000"/>
              <w:right w:val="dotted" w:sz="4" w:space="0" w:color="000000"/>
            </w:tcBorders>
          </w:tcPr>
          <w:p>
            <w:pPr>
              <w:pStyle w:val="TableParagraph"/>
              <w:spacing w:before="5"/>
              <w:jc w:val="left"/>
              <w:rPr>
                <w:sz w:val="15"/>
              </w:rPr>
            </w:pPr>
          </w:p>
          <w:p>
            <w:pPr>
              <w:pStyle w:val="TableParagraph"/>
              <w:spacing w:before="0"/>
              <w:ind w:left="89" w:right="81"/>
              <w:rPr>
                <w:sz w:val="18"/>
              </w:rPr>
            </w:pPr>
            <w:r>
              <w:rPr>
                <w:sz w:val="18"/>
              </w:rPr>
              <w:t>平安</w:t>
            </w:r>
            <w:r>
              <w:rPr>
                <w:rFonts w:ascii="Arial" w:eastAsia="Arial"/>
                <w:sz w:val="18"/>
              </w:rPr>
              <w:t>-</w:t>
            </w:r>
            <w:r>
              <w:rPr>
                <w:sz w:val="18"/>
              </w:rPr>
              <w:t>新能源电池基础设施绿色债权投资计划</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
              <w:jc w:val="left"/>
              <w:rPr>
                <w:sz w:val="15"/>
              </w:rPr>
            </w:pPr>
          </w:p>
          <w:p>
            <w:pPr>
              <w:pStyle w:val="TableParagraph"/>
              <w:spacing w:before="0"/>
              <w:ind w:left="207"/>
              <w:jc w:val="left"/>
              <w:rPr>
                <w:sz w:val="18"/>
              </w:rPr>
            </w:pPr>
            <w:r>
              <w:rPr>
                <w:sz w:val="18"/>
              </w:rPr>
              <w:t>平安资产</w:t>
            </w:r>
          </w:p>
        </w:tc>
        <w:tc>
          <w:tcPr>
            <w:tcW w:w="1275" w:type="dxa"/>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16"/>
              </w:rPr>
            </w:pPr>
          </w:p>
          <w:p>
            <w:pPr>
              <w:pStyle w:val="TableParagraph"/>
              <w:spacing w:before="0"/>
              <w:ind w:left="113" w:right="106"/>
              <w:rPr>
                <w:rFonts w:ascii="Arial"/>
                <w:sz w:val="18"/>
              </w:rPr>
            </w:pPr>
            <w:r>
              <w:rPr>
                <w:rFonts w:ascii="Arial"/>
                <w:sz w:val="18"/>
              </w:rPr>
              <w:t>2023.08.07</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16"/>
              </w:rPr>
            </w:pPr>
          </w:p>
          <w:p>
            <w:pPr>
              <w:pStyle w:val="TableParagraph"/>
              <w:spacing w:before="0"/>
              <w:ind w:left="94" w:right="86"/>
              <w:rPr>
                <w:rFonts w:ascii="Arial"/>
                <w:sz w:val="18"/>
              </w:rPr>
            </w:pPr>
            <w:r>
              <w:rPr>
                <w:rFonts w:ascii="Arial"/>
                <w:sz w:val="18"/>
              </w:rPr>
              <w:t>0.5</w:t>
            </w:r>
          </w:p>
        </w:tc>
        <w:tc>
          <w:tcPr>
            <w:tcW w:w="1324" w:type="dxa"/>
            <w:tcBorders>
              <w:top w:val="dotted" w:sz="4" w:space="0" w:color="000000"/>
              <w:left w:val="dotted" w:sz="4" w:space="0" w:color="000000"/>
              <w:bottom w:val="dotted" w:sz="4" w:space="0" w:color="000000"/>
              <w:right w:val="dotted" w:sz="4" w:space="0" w:color="000000"/>
            </w:tcBorders>
          </w:tcPr>
          <w:p>
            <w:pPr>
              <w:pStyle w:val="TableParagraph"/>
              <w:spacing w:before="3"/>
              <w:jc w:val="left"/>
              <w:rPr>
                <w:sz w:val="16"/>
              </w:rPr>
            </w:pPr>
          </w:p>
          <w:p>
            <w:pPr>
              <w:pStyle w:val="TableParagraph"/>
              <w:spacing w:before="0"/>
              <w:ind w:left="465" w:right="455"/>
              <w:rPr>
                <w:rFonts w:ascii="Arial"/>
                <w:sz w:val="18"/>
              </w:rPr>
            </w:pPr>
            <w:r>
              <w:rPr>
                <w:rFonts w:ascii="Arial"/>
                <w:sz w:val="18"/>
              </w:rPr>
              <w:t>3+2</w:t>
            </w:r>
          </w:p>
        </w:tc>
      </w:tr>
      <w:tr>
        <w:tblPrEx>
          <w:tblW w:w="0" w:type="auto"/>
          <w:jc w:val="left"/>
          <w:tblInd w:w="193" w:type="dxa"/>
          <w:tblLayout w:type="fixed"/>
          <w:tblCellMar>
            <w:top w:w="0" w:type="dxa"/>
            <w:left w:w="0" w:type="dxa"/>
            <w:bottom w:w="0" w:type="dxa"/>
            <w:right w:w="0" w:type="dxa"/>
          </w:tblCellMar>
          <w:tblLook w:val="01E0"/>
        </w:tblPrEx>
        <w:trPr>
          <w:trHeight w:val="623"/>
          <w:jc w:val="left"/>
        </w:trPr>
        <w:tc>
          <w:tcPr>
            <w:tcW w:w="1701" w:type="dxa"/>
            <w:tcBorders>
              <w:top w:val="dotted" w:sz="4" w:space="0" w:color="000000"/>
              <w:left w:val="dotted" w:sz="4" w:space="0" w:color="000000"/>
              <w:right w:val="dotted" w:sz="4" w:space="0" w:color="000000"/>
            </w:tcBorders>
            <w:shd w:val="clear" w:color="auto" w:fill="F0F0F0"/>
          </w:tcPr>
          <w:p>
            <w:pPr>
              <w:pStyle w:val="TableParagraph"/>
              <w:ind w:left="107" w:right="101"/>
              <w:rPr>
                <w:sz w:val="18"/>
              </w:rPr>
            </w:pPr>
            <w:r>
              <w:rPr>
                <w:sz w:val="18"/>
              </w:rPr>
              <w:t>平安财产保险股份</w:t>
            </w:r>
          </w:p>
          <w:p>
            <w:pPr>
              <w:pStyle w:val="TableParagraph"/>
              <w:spacing w:before="81"/>
              <w:ind w:left="107" w:right="101"/>
              <w:rPr>
                <w:sz w:val="18"/>
              </w:rPr>
            </w:pPr>
            <w:r>
              <w:rPr>
                <w:sz w:val="18"/>
              </w:rPr>
              <w:t>有限公司</w:t>
            </w:r>
          </w:p>
        </w:tc>
        <w:tc>
          <w:tcPr>
            <w:tcW w:w="4962" w:type="dxa"/>
            <w:tcBorders>
              <w:top w:val="dotted" w:sz="4" w:space="0" w:color="000000"/>
              <w:left w:val="dotted" w:sz="4" w:space="0" w:color="000000"/>
              <w:right w:val="dotted" w:sz="4" w:space="0" w:color="000000"/>
            </w:tcBorders>
            <w:shd w:val="clear" w:color="auto" w:fill="F0F0F0"/>
          </w:tcPr>
          <w:p>
            <w:pPr>
              <w:pStyle w:val="TableParagraph"/>
              <w:spacing w:before="4"/>
              <w:jc w:val="left"/>
              <w:rPr>
                <w:sz w:val="15"/>
              </w:rPr>
            </w:pPr>
          </w:p>
          <w:p>
            <w:pPr>
              <w:pStyle w:val="TableParagraph"/>
              <w:spacing w:before="1"/>
              <w:ind w:left="89" w:right="82"/>
              <w:rPr>
                <w:sz w:val="18"/>
              </w:rPr>
            </w:pPr>
            <w:r>
              <w:rPr>
                <w:sz w:val="18"/>
              </w:rPr>
              <w:t>平安</w:t>
            </w:r>
            <w:r>
              <w:rPr>
                <w:rFonts w:ascii="Arial" w:eastAsia="Arial"/>
                <w:sz w:val="18"/>
              </w:rPr>
              <w:t>-</w:t>
            </w:r>
            <w:r>
              <w:rPr>
                <w:sz w:val="18"/>
              </w:rPr>
              <w:t>新能源电池基础设施绿色债权投资计划（第一笔）</w:t>
            </w:r>
          </w:p>
        </w:tc>
        <w:tc>
          <w:tcPr>
            <w:tcW w:w="1134" w:type="dxa"/>
            <w:tcBorders>
              <w:top w:val="dotted" w:sz="4" w:space="0" w:color="000000"/>
              <w:left w:val="dotted" w:sz="4" w:space="0" w:color="000000"/>
              <w:right w:val="dotted" w:sz="4" w:space="0" w:color="000000"/>
            </w:tcBorders>
            <w:shd w:val="clear" w:color="auto" w:fill="F0F0F0"/>
          </w:tcPr>
          <w:p>
            <w:pPr>
              <w:pStyle w:val="TableParagraph"/>
              <w:spacing w:before="4"/>
              <w:jc w:val="left"/>
              <w:rPr>
                <w:sz w:val="15"/>
              </w:rPr>
            </w:pPr>
          </w:p>
          <w:p>
            <w:pPr>
              <w:pStyle w:val="TableParagraph"/>
              <w:spacing w:before="1"/>
              <w:ind w:left="207"/>
              <w:jc w:val="left"/>
              <w:rPr>
                <w:sz w:val="18"/>
              </w:rPr>
            </w:pPr>
            <w:r>
              <w:rPr>
                <w:sz w:val="18"/>
              </w:rPr>
              <w:t>平安资产</w:t>
            </w:r>
          </w:p>
        </w:tc>
        <w:tc>
          <w:tcPr>
            <w:tcW w:w="1275" w:type="dxa"/>
            <w:tcBorders>
              <w:top w:val="dotted" w:sz="4" w:space="0" w:color="000000"/>
              <w:left w:val="dotted" w:sz="4" w:space="0" w:color="000000"/>
              <w:right w:val="dotted" w:sz="4" w:space="0" w:color="000000"/>
            </w:tcBorders>
            <w:shd w:val="clear" w:color="auto" w:fill="F0F0F0"/>
          </w:tcPr>
          <w:p>
            <w:pPr>
              <w:pStyle w:val="TableParagraph"/>
              <w:spacing w:before="3"/>
              <w:jc w:val="left"/>
              <w:rPr>
                <w:sz w:val="16"/>
              </w:rPr>
            </w:pPr>
          </w:p>
          <w:p>
            <w:pPr>
              <w:pStyle w:val="TableParagraph"/>
              <w:spacing w:before="0"/>
              <w:ind w:left="113" w:right="106"/>
              <w:rPr>
                <w:rFonts w:ascii="Arial"/>
                <w:sz w:val="18"/>
              </w:rPr>
            </w:pPr>
            <w:r>
              <w:rPr>
                <w:rFonts w:ascii="Arial"/>
                <w:sz w:val="18"/>
              </w:rPr>
              <w:t>2023.08.03</w:t>
            </w:r>
          </w:p>
        </w:tc>
        <w:tc>
          <w:tcPr>
            <w:tcW w:w="1134" w:type="dxa"/>
            <w:tcBorders>
              <w:top w:val="dotted" w:sz="4" w:space="0" w:color="000000"/>
              <w:left w:val="dotted" w:sz="4" w:space="0" w:color="000000"/>
              <w:right w:val="dotted" w:sz="4" w:space="0" w:color="000000"/>
            </w:tcBorders>
            <w:shd w:val="clear" w:color="auto" w:fill="F0F0F0"/>
          </w:tcPr>
          <w:p>
            <w:pPr>
              <w:pStyle w:val="TableParagraph"/>
              <w:spacing w:before="3"/>
              <w:jc w:val="left"/>
              <w:rPr>
                <w:sz w:val="16"/>
              </w:rPr>
            </w:pPr>
          </w:p>
          <w:p>
            <w:pPr>
              <w:pStyle w:val="TableParagraph"/>
              <w:spacing w:before="0"/>
              <w:ind w:left="10"/>
              <w:rPr>
                <w:rFonts w:ascii="Arial"/>
                <w:sz w:val="18"/>
              </w:rPr>
            </w:pPr>
            <w:r>
              <w:rPr>
                <w:rFonts w:ascii="Arial"/>
                <w:sz w:val="18"/>
              </w:rPr>
              <w:t>1</w:t>
            </w:r>
          </w:p>
        </w:tc>
        <w:tc>
          <w:tcPr>
            <w:tcW w:w="1324" w:type="dxa"/>
            <w:tcBorders>
              <w:top w:val="dotted" w:sz="4" w:space="0" w:color="000000"/>
              <w:left w:val="dotted" w:sz="4" w:space="0" w:color="000000"/>
              <w:right w:val="dotted" w:sz="4" w:space="0" w:color="000000"/>
            </w:tcBorders>
            <w:shd w:val="clear" w:color="auto" w:fill="F0F0F0"/>
          </w:tcPr>
          <w:p>
            <w:pPr>
              <w:pStyle w:val="TableParagraph"/>
              <w:spacing w:before="3"/>
              <w:jc w:val="left"/>
              <w:rPr>
                <w:sz w:val="16"/>
              </w:rPr>
            </w:pPr>
          </w:p>
          <w:p>
            <w:pPr>
              <w:pStyle w:val="TableParagraph"/>
              <w:spacing w:before="0"/>
              <w:ind w:left="465" w:right="455"/>
              <w:rPr>
                <w:rFonts w:ascii="Arial"/>
                <w:sz w:val="18"/>
              </w:rPr>
            </w:pPr>
            <w:r>
              <w:rPr>
                <w:rFonts w:ascii="Arial"/>
                <w:sz w:val="18"/>
              </w:rPr>
              <w:t>3+2</w:t>
            </w:r>
          </w:p>
        </w:tc>
      </w:tr>
    </w:tbl>
    <w:p>
      <w:pPr>
        <w:spacing w:before="43"/>
        <w:ind w:left="295" w:right="0" w:firstLine="0"/>
        <w:jc w:val="left"/>
        <w:rPr>
          <w:sz w:val="18"/>
        </w:rPr>
      </w:pPr>
      <w:r>
        <w:t xml:space="preserve">资料来源：各保险公司官网， </w:t>
      </w:r>
    </w:p>
    <w:p>
      <w:pPr>
        <w:pStyle w:val="BodyText"/>
        <w:rPr>
          <w:sz w:val="20"/>
        </w:rPr>
      </w:pPr>
    </w:p>
    <w:p>
      <w:pPr>
        <w:pStyle w:val="BodyText"/>
        <w:spacing w:before="11"/>
        <w:rPr>
          <w:sz w:val="19"/>
        </w:rPr>
      </w:pPr>
    </w:p>
    <w:p>
      <w:pPr>
        <w:pStyle w:val="Heading3"/>
        <w:numPr>
          <w:ilvl w:val="2"/>
          <w:numId w:val="9"/>
        </w:numPr>
        <w:tabs>
          <w:tab w:val="left" w:pos="1736"/>
        </w:tabs>
        <w:spacing w:before="77" w:after="0" w:line="240" w:lineRule="auto"/>
        <w:ind w:left="1735" w:right="0" w:hanging="604"/>
        <w:jc w:val="left"/>
      </w:pPr>
      <w:r>
        <w:t>股权投资计划</w:t>
      </w:r>
    </w:p>
    <w:p>
      <w:pPr>
        <w:pStyle w:val="BodyText"/>
        <w:spacing w:before="9"/>
        <w:rPr>
          <w:b/>
          <w:sz w:val="19"/>
        </w:rPr>
      </w:pPr>
    </w:p>
    <w:p>
      <w:pPr>
        <w:pStyle w:val="BodyText"/>
        <w:spacing w:line="266" w:lineRule="auto"/>
        <w:ind w:left="1132" w:right="1093" w:firstLine="441"/>
      </w:pPr>
      <w:r>
        <w:t>股权投资计划是指保险资产管理机构作为管理人发起设立、向合格机构投资者募集资金、通过直接或间接方式主要投资于未上市企业股权的保险资产管理产品。</w:t>
      </w:r>
    </w:p>
    <w:p>
      <w:pPr>
        <w:pStyle w:val="Heading4"/>
        <w:spacing w:before="154"/>
      </w:pPr>
      <w:r>
        <w:t>（</w:t>
      </w:r>
      <w:r>
        <w:rPr>
          <w:rFonts w:ascii="Arial" w:eastAsia="Arial"/>
        </w:rPr>
        <w:t>1</w:t>
      </w:r>
      <w:r>
        <w:t>）</w:t>
      </w:r>
      <w:r>
        <w:rPr>
          <w:rFonts w:ascii="Arial" w:eastAsia="Arial"/>
        </w:rPr>
        <w:t xml:space="preserve">2023 </w:t>
      </w:r>
      <w:r>
        <w:t>年股权投资计划登记情况</w:t>
      </w:r>
    </w:p>
    <w:p>
      <w:pPr>
        <w:spacing w:after="0"/>
        <w:sectPr>
          <w:headerReference w:type="default" r:id="rId46"/>
          <w:footerReference w:type="default" r:id="rId47"/>
          <w:pgSz w:w="11910" w:h="16840"/>
          <w:pgMar w:top="1280" w:right="0" w:bottom="1000" w:left="0" w:header="708" w:footer="708"/>
          <w:pgNumType w:start="16"/>
          <w:cols w:space="708"/>
        </w:sectPr>
      </w:pPr>
    </w:p>
    <w:p>
      <w:pPr>
        <w:pStyle w:val="BodyText"/>
        <w:spacing w:before="72" w:line="266" w:lineRule="auto"/>
        <w:ind w:left="1132" w:right="1125" w:firstLine="441"/>
        <w:jc w:val="both"/>
      </w:pPr>
      <w:r>
        <w:rPr>
          <w:spacing w:val="-4"/>
        </w:rPr>
        <w:t>根据中国保险资管协会披露的数据，</w:t>
      </w:r>
      <w:r>
        <w:rPr>
          <w:rFonts w:ascii="Arial" w:eastAsia="Arial"/>
          <w:spacing w:val="-7"/>
        </w:rPr>
        <w:t xml:space="preserve">2023 </w:t>
      </w:r>
      <w:r>
        <w:rPr>
          <w:spacing w:val="-6"/>
        </w:rPr>
        <w:t xml:space="preserve">年保险资产管理机构登记股权投资计划 </w:t>
      </w:r>
      <w:r>
        <w:rPr>
          <w:rFonts w:ascii="Arial" w:eastAsia="Arial"/>
        </w:rPr>
        <w:t xml:space="preserve">21 </w:t>
      </w:r>
      <w:r>
        <w:rPr>
          <w:spacing w:val="-8"/>
        </w:rPr>
        <w:t>项，登记规</w:t>
      </w:r>
      <w:r>
        <w:rPr>
          <w:spacing w:val="-31"/>
        </w:rPr>
        <w:t xml:space="preserve">模 </w:t>
      </w:r>
      <w:r>
        <w:rPr>
          <w:rFonts w:ascii="Arial" w:eastAsia="Arial"/>
        </w:rPr>
        <w:t xml:space="preserve">661.85 </w:t>
      </w:r>
      <w:r>
        <w:rPr>
          <w:spacing w:val="-11"/>
        </w:rPr>
        <w:t xml:space="preserve">亿元，数量与 </w:t>
      </w:r>
      <w:r>
        <w:rPr>
          <w:rFonts w:ascii="Arial" w:eastAsia="Arial"/>
        </w:rPr>
        <w:t xml:space="preserve">2022 </w:t>
      </w:r>
      <w:r>
        <w:rPr>
          <w:spacing w:val="-8"/>
        </w:rPr>
        <w:t xml:space="preserve">年基本持平，登记总金额出现了 </w:t>
      </w:r>
      <w:r>
        <w:rPr>
          <w:rFonts w:ascii="Arial" w:eastAsia="Arial"/>
        </w:rPr>
        <w:t>14.68%</w:t>
      </w:r>
      <w:r>
        <w:rPr>
          <w:spacing w:val="-4"/>
        </w:rPr>
        <w:t>的涨幅。尽管登记金额并不等</w:t>
      </w:r>
      <w:r>
        <w:rPr>
          <w:spacing w:val="-7"/>
        </w:rPr>
        <w:t>于实际金额，但这在一定程度上显示出险资持续加码股权投资的高涨情绪，一方面是出于积极响应政</w:t>
      </w:r>
      <w:r>
        <w:rPr>
          <w:spacing w:val="-6"/>
        </w:rPr>
        <w:t>策要求支持实体经济的考量，官方也在通过不断的政策加码引导险资进行股权投资</w:t>
      </w:r>
      <w:r>
        <w:t>（</w:t>
      </w:r>
      <w:r>
        <w:rPr>
          <w:rFonts w:ascii="Arial" w:eastAsia="Arial"/>
        </w:rPr>
        <w:t xml:space="preserve">2023 </w:t>
      </w:r>
      <w:r>
        <w:rPr>
          <w:spacing w:val="-27"/>
        </w:rPr>
        <w:t xml:space="preserve">年 </w:t>
      </w:r>
      <w:r>
        <w:rPr>
          <w:rFonts w:ascii="Arial" w:eastAsia="Arial"/>
        </w:rPr>
        <w:t xml:space="preserve">10 </w:t>
      </w:r>
      <w:r>
        <w:t>月出台的《关于引导保险资金长期稳健投资 加强国有商业保险公司长周期考核的通知》拉长了保险公司</w:t>
      </w:r>
      <w:r>
        <w:rPr>
          <w:spacing w:val="-5"/>
        </w:rPr>
        <w:t>的绩效考核周期，一定程度体现出有将险资导向股权投资的倾向</w:t>
      </w:r>
      <w:r>
        <w:rPr>
          <w:spacing w:val="-15"/>
        </w:rPr>
        <w:t>），</w:t>
      </w:r>
      <w:r>
        <w:rPr>
          <w:spacing w:val="-3"/>
        </w:rPr>
        <w:t>另一方面与股权投资的特性密不</w:t>
      </w:r>
      <w:r>
        <w:rPr>
          <w:spacing w:val="-7"/>
        </w:rPr>
        <w:t>可分，股权投资的跨周期性可以为险资应对短期经济周期波动提供助力，长期性又与险资相对较长的</w:t>
      </w:r>
      <w:r>
        <w:rPr>
          <w:spacing w:val="-8"/>
        </w:rPr>
        <w:t>负债期限完美匹配。此外，从全球视野来看，近年来，越来越多的海外保险机构都加大了对股权投资</w:t>
      </w:r>
      <w:r>
        <w:rPr>
          <w:spacing w:val="-3"/>
        </w:rPr>
        <w:t>的配置力度，国内险资增配股权也顺应了全球险资产配置的新趋势。</w:t>
      </w:r>
    </w:p>
    <w:p>
      <w:pPr>
        <w:pStyle w:val="BodyText"/>
        <w:spacing w:before="148" w:line="266" w:lineRule="auto"/>
        <w:ind w:left="1132" w:right="1127" w:firstLine="441"/>
        <w:jc w:val="both"/>
      </w:pPr>
      <w:r>
        <w:rPr>
          <w:spacing w:val="-8"/>
        </w:rPr>
        <w:t>从登记的股权投资计划的投向来看，主要涉及商业综合体、产业园、地铁、清洁能源等领域。值得注意的是，太平洋资产管理有限责任公司发行的太平洋</w:t>
      </w:r>
      <w:r>
        <w:rPr>
          <w:rFonts w:ascii="Arial" w:eastAsia="Arial" w:hAnsi="Arial"/>
        </w:rPr>
        <w:t>-</w:t>
      </w:r>
      <w:r>
        <w:t>广州地铁芳白城际股权投资计划是唯一一</w:t>
      </w:r>
      <w:r>
        <w:rPr>
          <w:spacing w:val="-3"/>
        </w:rPr>
        <w:t>项被加以“绿色”后缀的股权投资计划。</w:t>
      </w:r>
    </w:p>
    <w:p>
      <w:pPr>
        <w:spacing w:before="177" w:after="41"/>
        <w:ind w:left="1416" w:right="0" w:firstLine="0"/>
        <w:jc w:val="left"/>
        <w:rPr>
          <w:sz w:val="18"/>
        </w:rPr>
      </w:pPr>
      <w:r>
        <w:rPr>
          <w:sz w:val="18"/>
        </w:rPr>
        <w:t xml:space="preserve">表 </w:t>
      </w:r>
      <w:r>
        <w:rPr>
          <w:rFonts w:ascii="Arial" w:eastAsia="Arial"/>
          <w:sz w:val="18"/>
        </w:rPr>
        <w:t xml:space="preserve">10 2023 </w:t>
      </w:r>
      <w:r>
        <w:rPr>
          <w:sz w:val="18"/>
        </w:rPr>
        <w:t>年保险资管登记的股权投资计划</w:t>
      </w:r>
    </w:p>
    <w:tbl>
      <w:tblPr>
        <w:tblStyle w:val="TableNormal8"/>
        <w:tblW w:w="0" w:type="auto"/>
        <w:jc w:val="left"/>
        <w:tblInd w:w="1314"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3123"/>
        <w:gridCol w:w="6165"/>
      </w:tblGrid>
      <w:tr>
        <w:tblPrEx>
          <w:tblW w:w="0" w:type="auto"/>
          <w:jc w:val="left"/>
          <w:tblInd w:w="1314"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571"/>
          <w:jc w:val="left"/>
        </w:trPr>
        <w:tc>
          <w:tcPr>
            <w:tcW w:w="3123" w:type="dxa"/>
            <w:tcBorders>
              <w:left w:val="dotted" w:sz="4" w:space="0" w:color="000000"/>
              <w:bottom w:val="single" w:sz="6" w:space="0" w:color="BD0000"/>
              <w:right w:val="dotted" w:sz="4" w:space="0" w:color="000000"/>
            </w:tcBorders>
          </w:tcPr>
          <w:p>
            <w:pPr>
              <w:pStyle w:val="TableParagraph"/>
              <w:spacing w:before="158"/>
              <w:ind w:left="138" w:right="129"/>
              <w:rPr>
                <w:b/>
                <w:sz w:val="20"/>
              </w:rPr>
            </w:pPr>
            <w:r>
              <w:rPr>
                <w:b/>
                <w:sz w:val="20"/>
              </w:rPr>
              <w:t>发行主体</w:t>
            </w:r>
          </w:p>
        </w:tc>
        <w:tc>
          <w:tcPr>
            <w:tcW w:w="6165" w:type="dxa"/>
            <w:tcBorders>
              <w:left w:val="dotted" w:sz="4" w:space="0" w:color="000000"/>
              <w:bottom w:val="single" w:sz="6" w:space="0" w:color="BD0000"/>
              <w:right w:val="dotted" w:sz="4" w:space="0" w:color="000000"/>
            </w:tcBorders>
          </w:tcPr>
          <w:p>
            <w:pPr>
              <w:pStyle w:val="TableParagraph"/>
              <w:spacing w:before="158"/>
              <w:ind w:left="1028" w:right="1019"/>
              <w:rPr>
                <w:b/>
                <w:sz w:val="20"/>
              </w:rPr>
            </w:pPr>
            <w:r>
              <w:rPr>
                <w:b/>
                <w:sz w:val="20"/>
              </w:rPr>
              <w:t>项目名称</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vMerge w:val="restart"/>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3"/>
              <w:jc w:val="left"/>
              <w:rPr>
                <w:sz w:val="16"/>
              </w:rPr>
            </w:pPr>
          </w:p>
          <w:p>
            <w:pPr>
              <w:pStyle w:val="TableParagraph"/>
              <w:spacing w:before="0"/>
              <w:ind w:left="361"/>
              <w:jc w:val="left"/>
              <w:rPr>
                <w:sz w:val="20"/>
              </w:rPr>
            </w:pPr>
            <w:r>
              <w:rPr>
                <w:sz w:val="20"/>
              </w:rPr>
              <w:t>中国人寿资产管理有限公司</w:t>
            </w:r>
          </w:p>
        </w:tc>
        <w:tc>
          <w:tcPr>
            <w:tcW w:w="6165"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28"/>
              <w:ind w:left="1028" w:right="1019"/>
              <w:rPr>
                <w:sz w:val="20"/>
              </w:rPr>
            </w:pPr>
            <w:r>
              <w:rPr>
                <w:sz w:val="20"/>
              </w:rPr>
              <w:t>中国人寿</w:t>
            </w:r>
            <w:r>
              <w:rPr>
                <w:rFonts w:ascii="Arial" w:eastAsia="Arial"/>
                <w:sz w:val="20"/>
              </w:rPr>
              <w:t>-</w:t>
            </w:r>
            <w:r>
              <w:rPr>
                <w:sz w:val="20"/>
              </w:rPr>
              <w:t>科创沪芯股权投资计划</w:t>
            </w:r>
          </w:p>
        </w:tc>
      </w:tr>
      <w:tr>
        <w:tblPrEx>
          <w:tblW w:w="0" w:type="auto"/>
          <w:jc w:val="left"/>
          <w:tblInd w:w="1314" w:type="dxa"/>
          <w:tblLayout w:type="fixed"/>
          <w:tblCellMar>
            <w:top w:w="0" w:type="dxa"/>
            <w:left w:w="0" w:type="dxa"/>
            <w:bottom w:w="0" w:type="dxa"/>
            <w:right w:w="0" w:type="dxa"/>
          </w:tblCellMar>
          <w:tblLook w:val="01E0"/>
        </w:tblPrEx>
        <w:trPr>
          <w:trHeight w:val="348"/>
          <w:jc w:val="left"/>
        </w:trPr>
        <w:tc>
          <w:tcPr>
            <w:tcW w:w="3123"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7"/>
              <w:ind w:left="1028" w:right="1019"/>
              <w:rPr>
                <w:sz w:val="20"/>
              </w:rPr>
            </w:pPr>
            <w:r>
              <w:rPr>
                <w:sz w:val="20"/>
              </w:rPr>
              <w:t>中国人寿</w:t>
            </w:r>
            <w:r>
              <w:rPr>
                <w:rFonts w:ascii="Arial" w:eastAsia="Arial"/>
                <w:sz w:val="20"/>
              </w:rPr>
              <w:t>-</w:t>
            </w:r>
            <w:r>
              <w:rPr>
                <w:sz w:val="20"/>
              </w:rPr>
              <w:t xml:space="preserve">沪发 </w:t>
            </w:r>
            <w:r>
              <w:rPr>
                <w:rFonts w:ascii="Arial" w:eastAsia="Arial"/>
                <w:sz w:val="20"/>
              </w:rPr>
              <w:t xml:space="preserve">1 </w:t>
            </w:r>
            <w:r>
              <w:rPr>
                <w:sz w:val="20"/>
              </w:rPr>
              <w:t>号股权投资计划</w:t>
            </w:r>
          </w:p>
        </w:tc>
      </w:tr>
      <w:tr>
        <w:tblPrEx>
          <w:tblW w:w="0" w:type="auto"/>
          <w:jc w:val="left"/>
          <w:tblInd w:w="1314" w:type="dxa"/>
          <w:tblLayout w:type="fixed"/>
          <w:tblCellMar>
            <w:top w:w="0" w:type="dxa"/>
            <w:left w:w="0" w:type="dxa"/>
            <w:bottom w:w="0" w:type="dxa"/>
            <w:right w:w="0" w:type="dxa"/>
          </w:tblCellMar>
          <w:tblLook w:val="01E0"/>
        </w:tblPrEx>
        <w:trPr>
          <w:trHeight w:val="311"/>
          <w:jc w:val="left"/>
        </w:trPr>
        <w:tc>
          <w:tcPr>
            <w:tcW w:w="3123"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0"/>
              <w:jc w:val="left"/>
              <w:rPr>
                <w:sz w:val="20"/>
              </w:rPr>
            </w:pPr>
          </w:p>
          <w:p>
            <w:pPr>
              <w:pStyle w:val="TableParagraph"/>
              <w:spacing w:before="1"/>
              <w:jc w:val="left"/>
              <w:rPr>
                <w:sz w:val="21"/>
              </w:rPr>
            </w:pPr>
          </w:p>
          <w:p>
            <w:pPr>
              <w:pStyle w:val="TableParagraph"/>
              <w:spacing w:before="0"/>
              <w:ind w:left="560"/>
              <w:jc w:val="left"/>
              <w:rPr>
                <w:sz w:val="20"/>
              </w:rPr>
            </w:pPr>
            <w:r>
              <w:rPr>
                <w:sz w:val="20"/>
              </w:rPr>
              <w:t>中保投资有限责任公司</w:t>
            </w: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7"/>
              <w:ind w:left="1028" w:right="1019"/>
              <w:rPr>
                <w:sz w:val="20"/>
              </w:rPr>
            </w:pPr>
            <w:r>
              <w:rPr>
                <w:sz w:val="20"/>
              </w:rPr>
              <w:t>中保投资</w:t>
            </w:r>
            <w:r>
              <w:rPr>
                <w:rFonts w:ascii="Arial" w:eastAsia="Arial"/>
                <w:sz w:val="20"/>
              </w:rPr>
              <w:t>-</w:t>
            </w:r>
            <w:r>
              <w:rPr>
                <w:sz w:val="20"/>
              </w:rPr>
              <w:t>远东宏信股权投资计划</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vMerge/>
            <w:tcBorders>
              <w:top w:val="nil"/>
              <w:left w:val="dotted" w:sz="4" w:space="0" w:color="000000"/>
              <w:bottom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7"/>
              <w:ind w:left="1025" w:right="1019"/>
              <w:rPr>
                <w:sz w:val="20"/>
              </w:rPr>
            </w:pPr>
            <w:r>
              <w:rPr>
                <w:sz w:val="20"/>
              </w:rPr>
              <w:t>中保投资</w:t>
            </w:r>
            <w:r>
              <w:rPr>
                <w:rFonts w:ascii="Arial" w:eastAsia="Arial"/>
                <w:sz w:val="20"/>
              </w:rPr>
              <w:t>-</w:t>
            </w:r>
            <w:r>
              <w:rPr>
                <w:sz w:val="20"/>
              </w:rPr>
              <w:t>中联前源壹号股权投资计划</w:t>
            </w:r>
          </w:p>
        </w:tc>
      </w:tr>
      <w:tr>
        <w:tblPrEx>
          <w:tblW w:w="0" w:type="auto"/>
          <w:jc w:val="left"/>
          <w:tblInd w:w="1314" w:type="dxa"/>
          <w:tblLayout w:type="fixed"/>
          <w:tblCellMar>
            <w:top w:w="0" w:type="dxa"/>
            <w:left w:w="0" w:type="dxa"/>
            <w:bottom w:w="0" w:type="dxa"/>
            <w:right w:w="0" w:type="dxa"/>
          </w:tblCellMar>
          <w:tblLook w:val="01E0"/>
        </w:tblPrEx>
        <w:trPr>
          <w:trHeight w:val="343"/>
          <w:jc w:val="left"/>
        </w:trPr>
        <w:tc>
          <w:tcPr>
            <w:tcW w:w="3123" w:type="dxa"/>
            <w:vMerge/>
            <w:tcBorders>
              <w:top w:val="nil"/>
              <w:left w:val="dotted" w:sz="4" w:space="0" w:color="000000"/>
              <w:bottom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43"/>
              <w:ind w:left="1027" w:right="1019"/>
              <w:rPr>
                <w:rFonts w:ascii="Arial" w:eastAsia="Arial"/>
                <w:sz w:val="20"/>
              </w:rPr>
            </w:pPr>
            <w:r>
              <w:rPr>
                <w:sz w:val="20"/>
              </w:rPr>
              <w:t>中保投资</w:t>
            </w:r>
            <w:r>
              <w:rPr>
                <w:rFonts w:ascii="Arial" w:eastAsia="Arial"/>
                <w:sz w:val="20"/>
              </w:rPr>
              <w:t>-</w:t>
            </w:r>
            <w:r>
              <w:rPr>
                <w:sz w:val="20"/>
              </w:rPr>
              <w:t>智融股权投资计划</w:t>
            </w:r>
            <w:r>
              <w:rPr>
                <w:rFonts w:ascii="Arial" w:eastAsia="Arial"/>
                <w:sz w:val="20"/>
              </w:rPr>
              <w:t>(</w:t>
            </w:r>
            <w:r>
              <w:rPr>
                <w:sz w:val="20"/>
              </w:rPr>
              <w:t>二期</w:t>
            </w:r>
            <w:r>
              <w:rPr>
                <w:rFonts w:ascii="Arial" w:eastAsia="Arial"/>
                <w:sz w:val="20"/>
              </w:rPr>
              <w:t>)</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vMerge/>
            <w:tcBorders>
              <w:top w:val="nil"/>
              <w:left w:val="dotted" w:sz="4" w:space="0" w:color="000000"/>
              <w:bottom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8"/>
              <w:ind w:left="1025" w:right="1019"/>
              <w:rPr>
                <w:sz w:val="20"/>
              </w:rPr>
            </w:pPr>
            <w:r>
              <w:rPr>
                <w:sz w:val="20"/>
              </w:rPr>
              <w:t>中保投资</w:t>
            </w:r>
            <w:r>
              <w:rPr>
                <w:rFonts w:ascii="Arial" w:eastAsia="Arial"/>
                <w:sz w:val="20"/>
              </w:rPr>
              <w:t>-</w:t>
            </w:r>
            <w:r>
              <w:rPr>
                <w:sz w:val="20"/>
              </w:rPr>
              <w:t>智禾股权投资计划</w:t>
            </w:r>
          </w:p>
        </w:tc>
      </w:tr>
      <w:tr>
        <w:tblPrEx>
          <w:tblW w:w="0" w:type="auto"/>
          <w:jc w:val="left"/>
          <w:tblInd w:w="1314" w:type="dxa"/>
          <w:tblLayout w:type="fixed"/>
          <w:tblCellMar>
            <w:top w:w="0" w:type="dxa"/>
            <w:left w:w="0" w:type="dxa"/>
            <w:bottom w:w="0" w:type="dxa"/>
            <w:right w:w="0" w:type="dxa"/>
          </w:tblCellMar>
          <w:tblLook w:val="01E0"/>
        </w:tblPrEx>
        <w:trPr>
          <w:trHeight w:val="311"/>
          <w:jc w:val="left"/>
        </w:trPr>
        <w:tc>
          <w:tcPr>
            <w:tcW w:w="312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38" w:right="129"/>
              <w:rPr>
                <w:sz w:val="20"/>
              </w:rPr>
            </w:pPr>
            <w:r>
              <w:rPr>
                <w:sz w:val="20"/>
              </w:rPr>
              <w:t>阳光资产管理股份有限公司</w:t>
            </w:r>
          </w:p>
        </w:tc>
        <w:tc>
          <w:tcPr>
            <w:tcW w:w="616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028" w:right="1019"/>
              <w:rPr>
                <w:sz w:val="20"/>
              </w:rPr>
            </w:pPr>
            <w:r>
              <w:rPr>
                <w:sz w:val="20"/>
              </w:rPr>
              <w:t>阳光</w:t>
            </w:r>
            <w:r>
              <w:rPr>
                <w:rFonts w:ascii="Arial" w:eastAsia="Arial"/>
                <w:sz w:val="20"/>
              </w:rPr>
              <w:t>-</w:t>
            </w:r>
            <w:r>
              <w:rPr>
                <w:sz w:val="20"/>
              </w:rPr>
              <w:t>首程城市发展基础设施基金股权投资计划</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tcBorders>
              <w:top w:val="dotted" w:sz="4" w:space="0" w:color="000000"/>
              <w:left w:val="dotted" w:sz="4" w:space="0" w:color="000000"/>
              <w:bottom w:val="dotted" w:sz="4" w:space="0" w:color="000000"/>
              <w:right w:val="dotted" w:sz="4" w:space="0" w:color="000000"/>
            </w:tcBorders>
          </w:tcPr>
          <w:p>
            <w:pPr>
              <w:pStyle w:val="TableParagraph"/>
              <w:spacing w:before="27"/>
              <w:ind w:left="138" w:right="134"/>
              <w:rPr>
                <w:sz w:val="20"/>
              </w:rPr>
            </w:pPr>
            <w:r>
              <w:rPr>
                <w:sz w:val="20"/>
              </w:rPr>
              <w:t>太平资本保险资产管理有限公司</w:t>
            </w: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7"/>
              <w:ind w:left="1028" w:right="1019"/>
              <w:rPr>
                <w:sz w:val="20"/>
              </w:rPr>
            </w:pPr>
            <w:r>
              <w:rPr>
                <w:sz w:val="20"/>
              </w:rPr>
              <w:t>太平资本</w:t>
            </w:r>
            <w:r>
              <w:rPr>
                <w:rFonts w:ascii="Arial" w:eastAsia="Arial"/>
                <w:sz w:val="20"/>
              </w:rPr>
              <w:t>-</w:t>
            </w:r>
            <w:r>
              <w:rPr>
                <w:sz w:val="20"/>
              </w:rPr>
              <w:t>菜鸟网络高标仓股权投资计划</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vMerge w:val="restart"/>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10"/>
              <w:jc w:val="left"/>
              <w:rPr>
                <w:sz w:val="14"/>
              </w:rPr>
            </w:pPr>
          </w:p>
          <w:p>
            <w:pPr>
              <w:pStyle w:val="TableParagraph"/>
              <w:spacing w:before="0"/>
              <w:ind w:left="260"/>
              <w:jc w:val="left"/>
              <w:rPr>
                <w:sz w:val="20"/>
              </w:rPr>
            </w:pPr>
            <w:r>
              <w:rPr>
                <w:sz w:val="20"/>
              </w:rPr>
              <w:t>太平洋资产管理有限责任公司</w:t>
            </w:r>
          </w:p>
        </w:tc>
        <w:tc>
          <w:tcPr>
            <w:tcW w:w="616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ind w:left="1025" w:right="1019"/>
              <w:rPr>
                <w:sz w:val="20"/>
              </w:rPr>
            </w:pPr>
            <w:r>
              <w:rPr>
                <w:sz w:val="20"/>
              </w:rPr>
              <w:t>太平洋</w:t>
            </w:r>
            <w:r>
              <w:rPr>
                <w:rFonts w:ascii="Arial" w:eastAsia="Arial"/>
                <w:sz w:val="20"/>
              </w:rPr>
              <w:t>-</w:t>
            </w:r>
            <w:r>
              <w:rPr>
                <w:sz w:val="20"/>
              </w:rPr>
              <w:t>锦江酒店产业基金股权投资计划</w:t>
            </w:r>
          </w:p>
        </w:tc>
      </w:tr>
      <w:tr>
        <w:tblPrEx>
          <w:tblW w:w="0" w:type="auto"/>
          <w:jc w:val="left"/>
          <w:tblInd w:w="1314" w:type="dxa"/>
          <w:tblLayout w:type="fixed"/>
          <w:tblCellMar>
            <w:top w:w="0" w:type="dxa"/>
            <w:left w:w="0" w:type="dxa"/>
            <w:bottom w:w="0" w:type="dxa"/>
            <w:right w:w="0" w:type="dxa"/>
          </w:tblCellMar>
          <w:tblLook w:val="01E0"/>
        </w:tblPrEx>
        <w:trPr>
          <w:trHeight w:val="311"/>
          <w:jc w:val="left"/>
        </w:trPr>
        <w:tc>
          <w:tcPr>
            <w:tcW w:w="3123"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8"/>
              <w:ind w:left="1028" w:right="1018"/>
              <w:rPr>
                <w:rFonts w:ascii="Arial" w:eastAsia="Arial"/>
                <w:sz w:val="20"/>
              </w:rPr>
            </w:pPr>
            <w:r>
              <w:rPr>
                <w:color w:val="FF0000"/>
                <w:sz w:val="20"/>
              </w:rPr>
              <w:t>太平洋</w:t>
            </w:r>
            <w:r>
              <w:rPr>
                <w:rFonts w:ascii="Arial" w:eastAsia="Arial"/>
                <w:color w:val="FF0000"/>
                <w:sz w:val="20"/>
              </w:rPr>
              <w:t>-</w:t>
            </w:r>
            <w:r>
              <w:rPr>
                <w:color w:val="FF0000"/>
                <w:sz w:val="20"/>
              </w:rPr>
              <w:t>广州地铁芳白城际股权投资计划</w:t>
            </w:r>
            <w:r>
              <w:rPr>
                <w:rFonts w:ascii="Arial" w:eastAsia="Arial"/>
                <w:color w:val="FF0000"/>
                <w:sz w:val="20"/>
              </w:rPr>
              <w:t>(</w:t>
            </w:r>
            <w:r>
              <w:rPr>
                <w:color w:val="FF0000"/>
                <w:sz w:val="20"/>
              </w:rPr>
              <w:t>绿色</w:t>
            </w:r>
            <w:r>
              <w:rPr>
                <w:rFonts w:ascii="Arial" w:eastAsia="Arial"/>
                <w:color w:val="FF0000"/>
                <w:sz w:val="20"/>
              </w:rPr>
              <w:t>)</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9"/>
              <w:jc w:val="left"/>
              <w:rPr>
                <w:sz w:val="14"/>
              </w:rPr>
            </w:pPr>
          </w:p>
          <w:p>
            <w:pPr>
              <w:pStyle w:val="TableParagraph"/>
              <w:spacing w:before="0"/>
              <w:ind w:left="159"/>
              <w:jc w:val="left"/>
              <w:rPr>
                <w:sz w:val="20"/>
              </w:rPr>
            </w:pPr>
            <w:r>
              <w:rPr>
                <w:sz w:val="20"/>
              </w:rPr>
              <w:t>人保资本保险资产管理有限公司</w:t>
            </w: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8"/>
              <w:ind w:left="1028" w:right="1019"/>
              <w:rPr>
                <w:sz w:val="20"/>
              </w:rPr>
            </w:pPr>
            <w:r>
              <w:rPr>
                <w:sz w:val="20"/>
              </w:rPr>
              <w:t>人保资本</w:t>
            </w:r>
            <w:r>
              <w:rPr>
                <w:rFonts w:ascii="Arial" w:eastAsia="Arial"/>
                <w:sz w:val="20"/>
              </w:rPr>
              <w:t>-</w:t>
            </w:r>
            <w:r>
              <w:rPr>
                <w:sz w:val="20"/>
              </w:rPr>
              <w:t>菜鸟物流高标仓股权投资计划</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vMerge/>
            <w:tcBorders>
              <w:top w:val="nil"/>
              <w:left w:val="dotted" w:sz="4" w:space="0" w:color="000000"/>
              <w:bottom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8"/>
              <w:ind w:left="1028" w:right="1019"/>
              <w:rPr>
                <w:sz w:val="20"/>
              </w:rPr>
            </w:pPr>
            <w:r>
              <w:rPr>
                <w:sz w:val="20"/>
              </w:rPr>
              <w:t>人保资本</w:t>
            </w:r>
            <w:r>
              <w:rPr>
                <w:rFonts w:ascii="Arial" w:eastAsia="Arial"/>
                <w:sz w:val="20"/>
              </w:rPr>
              <w:t>-</w:t>
            </w:r>
            <w:r>
              <w:rPr>
                <w:sz w:val="20"/>
              </w:rPr>
              <w:t>粤东西北产业转移基金股权投资计划</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38" w:right="129"/>
              <w:rPr>
                <w:sz w:val="20"/>
              </w:rPr>
            </w:pPr>
            <w:r>
              <w:rPr>
                <w:sz w:val="20"/>
              </w:rPr>
              <w:t>民生通惠资产管理有限公司</w:t>
            </w:r>
          </w:p>
        </w:tc>
        <w:tc>
          <w:tcPr>
            <w:tcW w:w="616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028" w:right="1019"/>
              <w:rPr>
                <w:sz w:val="20"/>
              </w:rPr>
            </w:pPr>
            <w:r>
              <w:rPr>
                <w:sz w:val="20"/>
              </w:rPr>
              <w:t>民生通惠</w:t>
            </w:r>
            <w:r>
              <w:rPr>
                <w:rFonts w:ascii="Arial" w:eastAsia="Arial"/>
                <w:sz w:val="20"/>
              </w:rPr>
              <w:t>-</w:t>
            </w:r>
            <w:r>
              <w:rPr>
                <w:sz w:val="20"/>
              </w:rPr>
              <w:t xml:space="preserve">智造 </w:t>
            </w:r>
            <w:r>
              <w:rPr>
                <w:rFonts w:ascii="Arial" w:eastAsia="Arial"/>
                <w:sz w:val="20"/>
              </w:rPr>
              <w:t xml:space="preserve">2 </w:t>
            </w:r>
            <w:r>
              <w:rPr>
                <w:sz w:val="20"/>
              </w:rPr>
              <w:t>号股权投资计划</w:t>
            </w:r>
          </w:p>
        </w:tc>
      </w:tr>
      <w:tr>
        <w:tblPrEx>
          <w:tblW w:w="0" w:type="auto"/>
          <w:jc w:val="left"/>
          <w:tblInd w:w="1314" w:type="dxa"/>
          <w:tblLayout w:type="fixed"/>
          <w:tblCellMar>
            <w:top w:w="0" w:type="dxa"/>
            <w:left w:w="0" w:type="dxa"/>
            <w:bottom w:w="0" w:type="dxa"/>
            <w:right w:w="0" w:type="dxa"/>
          </w:tblCellMar>
          <w:tblLook w:val="01E0"/>
        </w:tblPrEx>
        <w:trPr>
          <w:trHeight w:val="311"/>
          <w:jc w:val="left"/>
        </w:trPr>
        <w:tc>
          <w:tcPr>
            <w:tcW w:w="3123" w:type="dxa"/>
            <w:tcBorders>
              <w:top w:val="dotted" w:sz="4" w:space="0" w:color="000000"/>
              <w:left w:val="dotted" w:sz="4" w:space="0" w:color="000000"/>
              <w:bottom w:val="dotted" w:sz="4" w:space="0" w:color="000000"/>
              <w:right w:val="dotted" w:sz="4" w:space="0" w:color="000000"/>
            </w:tcBorders>
          </w:tcPr>
          <w:p>
            <w:pPr>
              <w:pStyle w:val="TableParagraph"/>
              <w:spacing w:before="27"/>
              <w:ind w:left="138" w:right="134"/>
              <w:rPr>
                <w:sz w:val="20"/>
              </w:rPr>
            </w:pPr>
            <w:r>
              <w:rPr>
                <w:sz w:val="20"/>
              </w:rPr>
              <w:t>华夏久盈资产管理有限责任公司</w:t>
            </w: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7"/>
              <w:ind w:left="1025" w:right="1019"/>
              <w:rPr>
                <w:sz w:val="20"/>
              </w:rPr>
            </w:pPr>
            <w:r>
              <w:rPr>
                <w:sz w:val="20"/>
              </w:rPr>
              <w:t>华夏久盈</w:t>
            </w:r>
            <w:r>
              <w:rPr>
                <w:rFonts w:ascii="Arial" w:eastAsia="Arial"/>
                <w:sz w:val="20"/>
              </w:rPr>
              <w:t>-</w:t>
            </w:r>
            <w:r>
              <w:rPr>
                <w:sz w:val="20"/>
              </w:rPr>
              <w:t>中电建路桥股权投资计划</w:t>
            </w:r>
          </w:p>
        </w:tc>
      </w:tr>
      <w:tr>
        <w:tblPrEx>
          <w:tblW w:w="0" w:type="auto"/>
          <w:jc w:val="left"/>
          <w:tblInd w:w="1314" w:type="dxa"/>
          <w:tblLayout w:type="fixed"/>
          <w:tblCellMar>
            <w:top w:w="0" w:type="dxa"/>
            <w:left w:w="0" w:type="dxa"/>
            <w:bottom w:w="0" w:type="dxa"/>
            <w:right w:w="0" w:type="dxa"/>
          </w:tblCellMar>
          <w:tblLook w:val="01E0"/>
        </w:tblPrEx>
        <w:trPr>
          <w:trHeight w:val="312"/>
          <w:jc w:val="left"/>
        </w:trPr>
        <w:tc>
          <w:tcPr>
            <w:tcW w:w="312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ind w:left="138" w:right="132"/>
              <w:rPr>
                <w:sz w:val="20"/>
              </w:rPr>
            </w:pPr>
            <w:r>
              <w:rPr>
                <w:sz w:val="20"/>
              </w:rPr>
              <w:t>华泰资产管理有限公司</w:t>
            </w:r>
          </w:p>
        </w:tc>
        <w:tc>
          <w:tcPr>
            <w:tcW w:w="616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ind w:left="1025" w:right="1019"/>
              <w:rPr>
                <w:sz w:val="20"/>
              </w:rPr>
            </w:pPr>
            <w:r>
              <w:rPr>
                <w:sz w:val="20"/>
              </w:rPr>
              <w:t>华泰</w:t>
            </w:r>
            <w:r>
              <w:rPr>
                <w:rFonts w:ascii="Arial" w:eastAsia="Arial"/>
                <w:sz w:val="20"/>
              </w:rPr>
              <w:t>-</w:t>
            </w:r>
            <w:r>
              <w:rPr>
                <w:sz w:val="20"/>
              </w:rPr>
              <w:t>君联医疗产业基金股权投资计划</w:t>
            </w:r>
          </w:p>
        </w:tc>
      </w:tr>
      <w:tr>
        <w:tblPrEx>
          <w:tblW w:w="0" w:type="auto"/>
          <w:jc w:val="left"/>
          <w:tblInd w:w="1314" w:type="dxa"/>
          <w:tblLayout w:type="fixed"/>
          <w:tblCellMar>
            <w:top w:w="0" w:type="dxa"/>
            <w:left w:w="0" w:type="dxa"/>
            <w:bottom w:w="0" w:type="dxa"/>
            <w:right w:w="0" w:type="dxa"/>
          </w:tblCellMar>
          <w:tblLook w:val="01E0"/>
        </w:tblPrEx>
        <w:trPr>
          <w:trHeight w:val="302"/>
          <w:jc w:val="left"/>
        </w:trPr>
        <w:tc>
          <w:tcPr>
            <w:tcW w:w="3123" w:type="dxa"/>
            <w:vMerge w:val="restart"/>
            <w:tcBorders>
              <w:top w:val="dotted" w:sz="4" w:space="0" w:color="000000"/>
              <w:left w:val="dotted" w:sz="4" w:space="0" w:color="000000"/>
              <w:right w:val="dotted" w:sz="4" w:space="0" w:color="000000"/>
            </w:tcBorders>
          </w:tcPr>
          <w:p>
            <w:pPr>
              <w:pStyle w:val="TableParagraph"/>
              <w:spacing w:before="0"/>
              <w:jc w:val="left"/>
              <w:rPr>
                <w:sz w:val="20"/>
              </w:rPr>
            </w:pPr>
          </w:p>
          <w:p>
            <w:pPr>
              <w:pStyle w:val="TableParagraph"/>
              <w:spacing w:before="0"/>
              <w:jc w:val="left"/>
              <w:rPr>
                <w:sz w:val="20"/>
              </w:rPr>
            </w:pPr>
          </w:p>
          <w:p>
            <w:pPr>
              <w:pStyle w:val="TableParagraph"/>
              <w:spacing w:before="12"/>
              <w:jc w:val="left"/>
              <w:rPr>
                <w:sz w:val="24"/>
              </w:rPr>
            </w:pPr>
          </w:p>
          <w:p>
            <w:pPr>
              <w:pStyle w:val="TableParagraph"/>
              <w:spacing w:before="0"/>
              <w:ind w:left="159"/>
              <w:jc w:val="left"/>
              <w:rPr>
                <w:sz w:val="20"/>
              </w:rPr>
            </w:pPr>
            <w:r>
              <w:rPr>
                <w:sz w:val="20"/>
              </w:rPr>
              <w:t>国寿投资保险资产管理有限公司</w:t>
            </w: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28" w:line="253" w:lineRule="exact"/>
              <w:ind w:left="1028" w:right="1019"/>
              <w:rPr>
                <w:sz w:val="20"/>
              </w:rPr>
            </w:pPr>
            <w:r>
              <w:rPr>
                <w:sz w:val="20"/>
              </w:rPr>
              <w:t>国寿投资</w:t>
            </w:r>
            <w:r>
              <w:rPr>
                <w:rFonts w:ascii="Arial" w:eastAsia="Arial"/>
                <w:sz w:val="20"/>
              </w:rPr>
              <w:t>-</w:t>
            </w:r>
            <w:r>
              <w:rPr>
                <w:sz w:val="20"/>
              </w:rPr>
              <w:t>新赣壹号股权投资计划</w:t>
            </w:r>
          </w:p>
        </w:tc>
      </w:tr>
      <w:tr>
        <w:tblPrEx>
          <w:tblW w:w="0" w:type="auto"/>
          <w:jc w:val="left"/>
          <w:tblInd w:w="1314" w:type="dxa"/>
          <w:tblLayout w:type="fixed"/>
          <w:tblCellMar>
            <w:top w:w="0" w:type="dxa"/>
            <w:left w:w="0" w:type="dxa"/>
            <w:bottom w:w="0" w:type="dxa"/>
            <w:right w:w="0" w:type="dxa"/>
          </w:tblCellMar>
          <w:tblLook w:val="01E0"/>
        </w:tblPrEx>
        <w:trPr>
          <w:trHeight w:val="292"/>
          <w:jc w:val="left"/>
        </w:trPr>
        <w:tc>
          <w:tcPr>
            <w:tcW w:w="3123" w:type="dxa"/>
            <w:vMerge/>
            <w:tcBorders>
              <w:top w:val="nil"/>
              <w:left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18" w:line="254" w:lineRule="exact"/>
              <w:ind w:left="1025" w:right="1019"/>
              <w:rPr>
                <w:sz w:val="20"/>
              </w:rPr>
            </w:pPr>
            <w:r>
              <w:rPr>
                <w:sz w:val="20"/>
              </w:rPr>
              <w:t>国寿投资</w:t>
            </w:r>
            <w:r>
              <w:rPr>
                <w:rFonts w:ascii="Arial" w:eastAsia="Arial"/>
                <w:sz w:val="20"/>
              </w:rPr>
              <w:t>-</w:t>
            </w:r>
            <w:r>
              <w:rPr>
                <w:sz w:val="20"/>
              </w:rPr>
              <w:t>菜鸟网络吉仓股权投资计划</w:t>
            </w:r>
          </w:p>
        </w:tc>
      </w:tr>
      <w:tr>
        <w:tblPrEx>
          <w:tblW w:w="0" w:type="auto"/>
          <w:jc w:val="left"/>
          <w:tblInd w:w="1314" w:type="dxa"/>
          <w:tblLayout w:type="fixed"/>
          <w:tblCellMar>
            <w:top w:w="0" w:type="dxa"/>
            <w:left w:w="0" w:type="dxa"/>
            <w:bottom w:w="0" w:type="dxa"/>
            <w:right w:w="0" w:type="dxa"/>
          </w:tblCellMar>
          <w:tblLook w:val="01E0"/>
        </w:tblPrEx>
        <w:trPr>
          <w:trHeight w:val="292"/>
          <w:jc w:val="left"/>
        </w:trPr>
        <w:tc>
          <w:tcPr>
            <w:tcW w:w="3123" w:type="dxa"/>
            <w:vMerge/>
            <w:tcBorders>
              <w:top w:val="nil"/>
              <w:left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18" w:line="254" w:lineRule="exact"/>
              <w:ind w:left="1028" w:right="1019"/>
              <w:rPr>
                <w:sz w:val="20"/>
              </w:rPr>
            </w:pPr>
            <w:r>
              <w:rPr>
                <w:sz w:val="20"/>
              </w:rPr>
              <w:t>国寿投资</w:t>
            </w:r>
            <w:r>
              <w:rPr>
                <w:rFonts w:ascii="Arial" w:eastAsia="Arial"/>
                <w:sz w:val="20"/>
              </w:rPr>
              <w:t>-</w:t>
            </w:r>
            <w:r>
              <w:rPr>
                <w:sz w:val="20"/>
              </w:rPr>
              <w:t>京港地铁股权投资计划</w:t>
            </w:r>
          </w:p>
        </w:tc>
      </w:tr>
      <w:tr>
        <w:tblPrEx>
          <w:tblW w:w="0" w:type="auto"/>
          <w:jc w:val="left"/>
          <w:tblInd w:w="1314" w:type="dxa"/>
          <w:tblLayout w:type="fixed"/>
          <w:tblCellMar>
            <w:top w:w="0" w:type="dxa"/>
            <w:left w:w="0" w:type="dxa"/>
            <w:bottom w:w="0" w:type="dxa"/>
            <w:right w:w="0" w:type="dxa"/>
          </w:tblCellMar>
          <w:tblLook w:val="01E0"/>
        </w:tblPrEx>
        <w:trPr>
          <w:trHeight w:val="291"/>
          <w:jc w:val="left"/>
        </w:trPr>
        <w:tc>
          <w:tcPr>
            <w:tcW w:w="3123" w:type="dxa"/>
            <w:vMerge/>
            <w:tcBorders>
              <w:top w:val="nil"/>
              <w:left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17" w:line="255" w:lineRule="exact"/>
              <w:ind w:left="1025" w:right="1019"/>
              <w:rPr>
                <w:sz w:val="20"/>
              </w:rPr>
            </w:pPr>
            <w:r>
              <w:rPr>
                <w:sz w:val="20"/>
              </w:rPr>
              <w:t>国寿投资</w:t>
            </w:r>
            <w:r>
              <w:rPr>
                <w:rFonts w:ascii="Arial" w:eastAsia="Arial"/>
                <w:sz w:val="20"/>
              </w:rPr>
              <w:t>-</w:t>
            </w:r>
            <w:r>
              <w:rPr>
                <w:sz w:val="20"/>
              </w:rPr>
              <w:t>宝武绿碳基金股权投资计划</w:t>
            </w:r>
          </w:p>
        </w:tc>
      </w:tr>
      <w:tr>
        <w:tblPrEx>
          <w:tblW w:w="0" w:type="auto"/>
          <w:jc w:val="left"/>
          <w:tblInd w:w="1314" w:type="dxa"/>
          <w:tblLayout w:type="fixed"/>
          <w:tblCellMar>
            <w:top w:w="0" w:type="dxa"/>
            <w:left w:w="0" w:type="dxa"/>
            <w:bottom w:w="0" w:type="dxa"/>
            <w:right w:w="0" w:type="dxa"/>
          </w:tblCellMar>
          <w:tblLook w:val="01E0"/>
        </w:tblPrEx>
        <w:trPr>
          <w:trHeight w:val="292"/>
          <w:jc w:val="left"/>
        </w:trPr>
        <w:tc>
          <w:tcPr>
            <w:tcW w:w="3123" w:type="dxa"/>
            <w:vMerge/>
            <w:tcBorders>
              <w:top w:val="nil"/>
              <w:left w:val="dotted" w:sz="4" w:space="0" w:color="000000"/>
              <w:right w:val="dotted" w:sz="4" w:space="0" w:color="000000"/>
            </w:tcBorders>
          </w:tcPr>
          <w:p>
            <w:pPr>
              <w:rPr>
                <w:sz w:val="2"/>
                <w:szCs w:val="2"/>
              </w:rPr>
            </w:pPr>
          </w:p>
        </w:tc>
        <w:tc>
          <w:tcPr>
            <w:tcW w:w="6165" w:type="dxa"/>
            <w:tcBorders>
              <w:top w:val="dotted" w:sz="4" w:space="0" w:color="000000"/>
              <w:left w:val="dotted" w:sz="4" w:space="0" w:color="000000"/>
              <w:bottom w:val="dotted" w:sz="4" w:space="0" w:color="000000"/>
              <w:right w:val="dotted" w:sz="4" w:space="0" w:color="000000"/>
            </w:tcBorders>
          </w:tcPr>
          <w:p>
            <w:pPr>
              <w:pStyle w:val="TableParagraph"/>
              <w:spacing w:before="17" w:line="255" w:lineRule="exact"/>
              <w:ind w:left="1025" w:right="1019"/>
              <w:rPr>
                <w:sz w:val="20"/>
              </w:rPr>
            </w:pPr>
            <w:r>
              <w:rPr>
                <w:sz w:val="20"/>
              </w:rPr>
              <w:t>国寿投资</w:t>
            </w:r>
            <w:r>
              <w:rPr>
                <w:rFonts w:ascii="Arial" w:eastAsia="Arial"/>
                <w:sz w:val="20"/>
              </w:rPr>
              <w:t>-</w:t>
            </w:r>
            <w:r>
              <w:rPr>
                <w:sz w:val="20"/>
              </w:rPr>
              <w:t>新桂股权投资计划</w:t>
            </w:r>
          </w:p>
        </w:tc>
      </w:tr>
      <w:tr>
        <w:tblPrEx>
          <w:tblW w:w="0" w:type="auto"/>
          <w:jc w:val="left"/>
          <w:tblInd w:w="1314" w:type="dxa"/>
          <w:tblLayout w:type="fixed"/>
          <w:tblCellMar>
            <w:top w:w="0" w:type="dxa"/>
            <w:left w:w="0" w:type="dxa"/>
            <w:bottom w:w="0" w:type="dxa"/>
            <w:right w:w="0" w:type="dxa"/>
          </w:tblCellMar>
          <w:tblLook w:val="01E0"/>
        </w:tblPrEx>
        <w:trPr>
          <w:trHeight w:val="301"/>
          <w:jc w:val="left"/>
        </w:trPr>
        <w:tc>
          <w:tcPr>
            <w:tcW w:w="3123" w:type="dxa"/>
            <w:vMerge/>
            <w:tcBorders>
              <w:top w:val="nil"/>
              <w:left w:val="dotted" w:sz="4" w:space="0" w:color="000000"/>
              <w:right w:val="dotted" w:sz="4" w:space="0" w:color="000000"/>
            </w:tcBorders>
          </w:tcPr>
          <w:p>
            <w:pPr>
              <w:rPr>
                <w:sz w:val="2"/>
                <w:szCs w:val="2"/>
              </w:rPr>
            </w:pPr>
          </w:p>
        </w:tc>
        <w:tc>
          <w:tcPr>
            <w:tcW w:w="6165" w:type="dxa"/>
            <w:tcBorders>
              <w:top w:val="dotted" w:sz="4" w:space="0" w:color="000000"/>
              <w:left w:val="dotted" w:sz="4" w:space="0" w:color="000000"/>
              <w:right w:val="dotted" w:sz="4" w:space="0" w:color="000000"/>
            </w:tcBorders>
          </w:tcPr>
          <w:p>
            <w:pPr>
              <w:pStyle w:val="TableParagraph"/>
              <w:spacing w:before="19"/>
              <w:ind w:left="1028" w:right="1018"/>
              <w:rPr>
                <w:rFonts w:ascii="Arial" w:eastAsia="Arial"/>
                <w:sz w:val="20"/>
              </w:rPr>
            </w:pPr>
            <w:r>
              <w:rPr>
                <w:sz w:val="20"/>
              </w:rPr>
              <w:t>国寿投资</w:t>
            </w:r>
            <w:r>
              <w:rPr>
                <w:rFonts w:ascii="Arial" w:eastAsia="Arial"/>
                <w:sz w:val="20"/>
              </w:rPr>
              <w:t>-</w:t>
            </w:r>
            <w:r>
              <w:rPr>
                <w:sz w:val="20"/>
              </w:rPr>
              <w:t>漕河泾产业园股权投资计划</w:t>
            </w:r>
            <w:r>
              <w:rPr>
                <w:rFonts w:ascii="Arial" w:eastAsia="Arial"/>
                <w:sz w:val="20"/>
              </w:rPr>
              <w:t>(</w:t>
            </w:r>
            <w:r>
              <w:rPr>
                <w:sz w:val="20"/>
              </w:rPr>
              <w:t>二期</w:t>
            </w:r>
            <w:r>
              <w:rPr>
                <w:rFonts w:ascii="Arial" w:eastAsia="Arial"/>
                <w:sz w:val="20"/>
              </w:rPr>
              <w:t>)</w:t>
            </w:r>
          </w:p>
        </w:tc>
      </w:tr>
    </w:tbl>
    <w:p>
      <w:pPr>
        <w:spacing w:before="41"/>
        <w:ind w:left="1416" w:right="0" w:firstLine="0"/>
        <w:jc w:val="left"/>
        <w:rPr>
          <w:sz w:val="18"/>
        </w:rPr>
      </w:pPr>
      <w:r>
        <w:t xml:space="preserve">资料来源：中国保险资产管理业协会， </w:t>
      </w:r>
    </w:p>
    <w:p>
      <w:pPr>
        <w:pStyle w:val="BodyText"/>
        <w:rPr>
          <w:sz w:val="20"/>
        </w:rPr>
      </w:pPr>
    </w:p>
    <w:p>
      <w:pPr>
        <w:pStyle w:val="BodyText"/>
        <w:spacing w:before="8"/>
        <w:rPr>
          <w:sz w:val="14"/>
        </w:rPr>
      </w:pPr>
    </w:p>
    <w:p>
      <w:pPr>
        <w:pStyle w:val="Heading4"/>
        <w:spacing w:before="80"/>
      </w:pPr>
      <w:r>
        <w:t>（</w:t>
      </w:r>
      <w:r>
        <w:rPr>
          <w:rFonts w:ascii="Arial" w:eastAsia="Arial"/>
        </w:rPr>
        <w:t>2</w:t>
      </w:r>
      <w:r>
        <w:t>）</w:t>
      </w:r>
      <w:r>
        <w:rPr>
          <w:rFonts w:ascii="Arial" w:eastAsia="Arial"/>
        </w:rPr>
        <w:t xml:space="preserve">2023 </w:t>
      </w:r>
      <w:r>
        <w:t>年保险公司投资股权投资计划情况</w:t>
      </w:r>
    </w:p>
    <w:p>
      <w:pPr>
        <w:pStyle w:val="BodyText"/>
        <w:spacing w:before="187" w:line="266" w:lineRule="auto"/>
        <w:ind w:left="1132" w:right="1016" w:firstLine="441"/>
      </w:pPr>
      <w:r>
        <w:rPr>
          <w:spacing w:val="-5"/>
        </w:rPr>
        <w:t>保险公司对股权类项目的投资形式包括投资股权投资计划、保险私募基金等。</w:t>
      </w:r>
      <w:r>
        <w:rPr>
          <w:rFonts w:ascii="Arial" w:eastAsia="Arial"/>
        </w:rPr>
        <w:t xml:space="preserve">2023 </w:t>
      </w:r>
      <w:r>
        <w:rPr>
          <w:spacing w:val="-2"/>
        </w:rPr>
        <w:t>年中国人保、</w:t>
      </w:r>
      <w:r>
        <w:rPr>
          <w:spacing w:val="-8"/>
        </w:rPr>
        <w:t>中国太保、中国人寿、中国太平、泰康保险、中国平安、华泰保险集团公司及其下属子公司公开披露</w:t>
      </w:r>
      <w:r>
        <w:rPr>
          <w:spacing w:val="-9"/>
        </w:rPr>
        <w:t xml:space="preserve">的股权类项目共计 </w:t>
      </w:r>
      <w:r>
        <w:rPr>
          <w:rFonts w:ascii="Arial" w:eastAsia="Arial"/>
        </w:rPr>
        <w:t xml:space="preserve">25 </w:t>
      </w:r>
      <w:r>
        <w:rPr>
          <w:spacing w:val="-14"/>
        </w:rPr>
        <w:t xml:space="preserve">笔，总金额达 </w:t>
      </w:r>
      <w:r>
        <w:rPr>
          <w:rFonts w:ascii="Arial" w:eastAsia="Arial"/>
        </w:rPr>
        <w:t xml:space="preserve">469.53 </w:t>
      </w:r>
      <w:r>
        <w:rPr>
          <w:spacing w:val="-16"/>
        </w:rPr>
        <w:t xml:space="preserve">亿元，其中 </w:t>
      </w:r>
      <w:r>
        <w:rPr>
          <w:rFonts w:ascii="Arial" w:eastAsia="Arial"/>
        </w:rPr>
        <w:t xml:space="preserve">13 </w:t>
      </w:r>
      <w:r>
        <w:rPr>
          <w:spacing w:val="-6"/>
        </w:rPr>
        <w:t>笔以股权投资合伙企业</w:t>
      </w:r>
      <w:r>
        <w:t>（</w:t>
      </w:r>
      <w:r>
        <w:rPr>
          <w:spacing w:val="-2"/>
        </w:rPr>
        <w:t>有限合伙</w:t>
      </w:r>
      <w:r>
        <w:rPr>
          <w:spacing w:val="-27"/>
        </w:rPr>
        <w:t>）</w:t>
      </w:r>
      <w:r>
        <w:rPr>
          <w:spacing w:val="-2"/>
        </w:rPr>
        <w:t>进行、</w:t>
      </w:r>
    </w:p>
    <w:p>
      <w:pPr>
        <w:pStyle w:val="BodyText"/>
        <w:spacing w:line="279" w:lineRule="exact"/>
        <w:ind w:left="1132"/>
      </w:pPr>
      <w:r>
        <w:rPr>
          <w:rFonts w:ascii="Arial" w:eastAsia="Arial"/>
        </w:rPr>
        <w:t xml:space="preserve">12 </w:t>
      </w:r>
      <w:r>
        <w:t xml:space="preserve">笔以股权投资计划形式进行，较 </w:t>
      </w:r>
      <w:r>
        <w:rPr>
          <w:rFonts w:ascii="Arial" w:eastAsia="Arial"/>
        </w:rPr>
        <w:t xml:space="preserve">2022 </w:t>
      </w:r>
      <w:r>
        <w:t>年同期（</w:t>
      </w:r>
      <w:r>
        <w:rPr>
          <w:rFonts w:ascii="Arial" w:eastAsia="Arial"/>
        </w:rPr>
        <w:t xml:space="preserve">22 </w:t>
      </w:r>
      <w:r>
        <w:t xml:space="preserve">笔股权项目投资、总金额 </w:t>
      </w:r>
      <w:r>
        <w:rPr>
          <w:rFonts w:ascii="Arial" w:eastAsia="Arial"/>
        </w:rPr>
        <w:t xml:space="preserve">648.44 </w:t>
      </w:r>
      <w:r>
        <w:t>亿元），数量</w:t>
      </w:r>
    </w:p>
    <w:p>
      <w:pPr>
        <w:spacing w:after="0" w:line="279" w:lineRule="exact"/>
        <w:sectPr>
          <w:headerReference w:type="default" r:id="rId48"/>
          <w:footerReference w:type="default" r:id="rId49"/>
          <w:pgSz w:w="11910" w:h="16840"/>
          <w:pgMar w:top="1280" w:right="0" w:bottom="1000" w:left="0" w:header="708" w:footer="708"/>
          <w:pgNumType w:start="17"/>
          <w:cols w:space="708"/>
        </w:sectPr>
      </w:pPr>
    </w:p>
    <w:p>
      <w:pPr>
        <w:pStyle w:val="BodyText"/>
        <w:spacing w:before="72" w:line="266" w:lineRule="auto"/>
        <w:ind w:left="1132" w:right="1130"/>
      </w:pPr>
      <w:r>
        <w:rPr>
          <w:spacing w:val="-4"/>
        </w:rPr>
        <w:t xml:space="preserve">基本持平、总金额同比下降 </w:t>
      </w:r>
      <w:r>
        <w:rPr>
          <w:rFonts w:ascii="Arial" w:eastAsia="Arial" w:hAnsi="Arial"/>
        </w:rPr>
        <w:t>27.59%</w:t>
      </w:r>
      <w:r>
        <w:t>。具体从投资金额来看，单笔投资金额最大的中国人寿保险股份</w:t>
      </w:r>
      <w:r>
        <w:rPr>
          <w:spacing w:val="-3"/>
        </w:rPr>
        <w:t>有限公司认购的</w:t>
      </w:r>
      <w:r>
        <w:rPr>
          <w:rFonts w:ascii="Arial" w:eastAsia="Arial" w:hAnsi="Arial"/>
        </w:rPr>
        <w:t>“</w:t>
      </w:r>
      <w:r>
        <w:rPr>
          <w:spacing w:val="-2"/>
        </w:rPr>
        <w:t>中国人寿</w:t>
      </w:r>
      <w:r>
        <w:rPr>
          <w:rFonts w:ascii="Arial" w:eastAsia="Arial" w:hAnsi="Arial"/>
        </w:rPr>
        <w:t>-</w:t>
      </w:r>
      <w:r>
        <w:rPr>
          <w:spacing w:val="-19"/>
        </w:rPr>
        <w:t xml:space="preserve">沪发 </w:t>
      </w:r>
      <w:r>
        <w:rPr>
          <w:rFonts w:ascii="Arial" w:eastAsia="Arial" w:hAnsi="Arial"/>
        </w:rPr>
        <w:t xml:space="preserve">1 </w:t>
      </w:r>
      <w:r>
        <w:rPr>
          <w:spacing w:val="-3"/>
        </w:rPr>
        <w:t>号股权投资计划</w:t>
      </w:r>
      <w:r>
        <w:rPr>
          <w:rFonts w:ascii="Arial" w:eastAsia="Arial" w:hAnsi="Arial"/>
          <w:spacing w:val="-25"/>
        </w:rPr>
        <w:t>”</w:t>
      </w:r>
      <w:r>
        <w:rPr>
          <w:spacing w:val="-17"/>
        </w:rPr>
        <w:t xml:space="preserve">，金额达 </w:t>
      </w:r>
      <w:r>
        <w:rPr>
          <w:rFonts w:ascii="Arial" w:eastAsia="Arial" w:hAnsi="Arial"/>
        </w:rPr>
        <w:t xml:space="preserve">120 </w:t>
      </w:r>
      <w:r>
        <w:rPr>
          <w:spacing w:val="-8"/>
        </w:rPr>
        <w:t>亿元，该股权投资计划由国寿资产设</w:t>
      </w:r>
    </w:p>
    <w:p>
      <w:pPr>
        <w:pStyle w:val="BodyText"/>
        <w:spacing w:line="280" w:lineRule="exact"/>
        <w:ind w:left="1132"/>
      </w:pPr>
      <w:r>
        <w:t xml:space="preserve">立，投资期限为 </w:t>
      </w:r>
      <w:r>
        <w:rPr>
          <w:rFonts w:ascii="Arial" w:eastAsia="Arial"/>
        </w:rPr>
        <w:t xml:space="preserve">11 </w:t>
      </w:r>
      <w:r>
        <w:t>年。</w:t>
      </w:r>
    </w:p>
    <w:p>
      <w:pPr>
        <w:spacing w:before="209" w:after="42"/>
        <w:ind w:left="295" w:right="0" w:firstLine="0"/>
        <w:jc w:val="left"/>
        <w:rPr>
          <w:sz w:val="18"/>
        </w:rPr>
      </w:pPr>
      <w:r>
        <w:rPr>
          <w:sz w:val="18"/>
        </w:rPr>
        <w:t xml:space="preserve">表 </w:t>
      </w:r>
      <w:r>
        <w:rPr>
          <w:rFonts w:ascii="Arial" w:eastAsia="Arial"/>
          <w:sz w:val="18"/>
        </w:rPr>
        <w:t xml:space="preserve">11 2023 </w:t>
      </w:r>
      <w:r>
        <w:rPr>
          <w:sz w:val="18"/>
        </w:rPr>
        <w:t>年纳入统计的保险公司认购的股权投资计划</w:t>
      </w:r>
    </w:p>
    <w:tbl>
      <w:tblPr>
        <w:tblStyle w:val="TableNormal9"/>
        <w:tblW w:w="0" w:type="auto"/>
        <w:jc w:val="left"/>
        <w:tblInd w:w="193"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2268"/>
        <w:gridCol w:w="4536"/>
        <w:gridCol w:w="1372"/>
        <w:gridCol w:w="1275"/>
        <w:gridCol w:w="1039"/>
        <w:gridCol w:w="1040"/>
      </w:tblGrid>
      <w:tr>
        <w:tblPrEx>
          <w:tblW w:w="0" w:type="auto"/>
          <w:jc w:val="left"/>
          <w:tblInd w:w="193"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624"/>
          <w:jc w:val="left"/>
        </w:trPr>
        <w:tc>
          <w:tcPr>
            <w:tcW w:w="2268" w:type="dxa"/>
            <w:tcBorders>
              <w:left w:val="dotted" w:sz="4" w:space="0" w:color="000000"/>
              <w:bottom w:val="single" w:sz="6" w:space="0" w:color="BD0000"/>
              <w:right w:val="dotted" w:sz="4" w:space="0" w:color="000000"/>
            </w:tcBorders>
          </w:tcPr>
          <w:p>
            <w:pPr>
              <w:pStyle w:val="TableParagraph"/>
              <w:spacing w:before="5"/>
              <w:jc w:val="left"/>
              <w:rPr>
                <w:sz w:val="14"/>
              </w:rPr>
            </w:pPr>
          </w:p>
          <w:p>
            <w:pPr>
              <w:pStyle w:val="TableParagraph"/>
              <w:spacing w:before="0"/>
              <w:ind w:left="112" w:right="102"/>
              <w:rPr>
                <w:b/>
                <w:sz w:val="20"/>
              </w:rPr>
            </w:pPr>
            <w:r>
              <w:rPr>
                <w:b/>
                <w:sz w:val="20"/>
              </w:rPr>
              <w:t>认购人</w:t>
            </w:r>
          </w:p>
        </w:tc>
        <w:tc>
          <w:tcPr>
            <w:tcW w:w="4536" w:type="dxa"/>
            <w:tcBorders>
              <w:left w:val="dotted" w:sz="4" w:space="0" w:color="000000"/>
              <w:bottom w:val="single" w:sz="6" w:space="0" w:color="BD0000"/>
              <w:right w:val="dotted" w:sz="4" w:space="0" w:color="000000"/>
            </w:tcBorders>
          </w:tcPr>
          <w:p>
            <w:pPr>
              <w:pStyle w:val="TableParagraph"/>
              <w:spacing w:before="5"/>
              <w:jc w:val="left"/>
              <w:rPr>
                <w:sz w:val="14"/>
              </w:rPr>
            </w:pPr>
          </w:p>
          <w:p>
            <w:pPr>
              <w:pStyle w:val="TableParagraph"/>
              <w:spacing w:before="0"/>
              <w:ind w:left="114" w:right="102"/>
              <w:rPr>
                <w:b/>
                <w:sz w:val="20"/>
              </w:rPr>
            </w:pPr>
            <w:r>
              <w:rPr>
                <w:b/>
                <w:sz w:val="20"/>
              </w:rPr>
              <w:t>项目名称</w:t>
            </w:r>
          </w:p>
        </w:tc>
        <w:tc>
          <w:tcPr>
            <w:tcW w:w="1372" w:type="dxa"/>
            <w:tcBorders>
              <w:left w:val="dotted" w:sz="4" w:space="0" w:color="000000"/>
              <w:bottom w:val="single" w:sz="6" w:space="0" w:color="BD0000"/>
              <w:right w:val="dotted" w:sz="4" w:space="0" w:color="000000"/>
            </w:tcBorders>
          </w:tcPr>
          <w:p>
            <w:pPr>
              <w:pStyle w:val="TableParagraph"/>
              <w:spacing w:before="185"/>
              <w:ind w:left="136" w:right="126"/>
              <w:rPr>
                <w:b/>
                <w:sz w:val="20"/>
              </w:rPr>
            </w:pPr>
            <w:r>
              <w:rPr>
                <w:b/>
                <w:sz w:val="20"/>
              </w:rPr>
              <w:t>设立</w:t>
            </w:r>
            <w:r>
              <w:rPr>
                <w:rFonts w:ascii="Arial" w:eastAsia="Arial"/>
                <w:b/>
                <w:sz w:val="20"/>
              </w:rPr>
              <w:t>/</w:t>
            </w:r>
            <w:r>
              <w:rPr>
                <w:b/>
                <w:sz w:val="20"/>
              </w:rPr>
              <w:t>管理人</w:t>
            </w:r>
          </w:p>
        </w:tc>
        <w:tc>
          <w:tcPr>
            <w:tcW w:w="1275" w:type="dxa"/>
            <w:tcBorders>
              <w:left w:val="dotted" w:sz="4" w:space="0" w:color="000000"/>
              <w:bottom w:val="single" w:sz="6" w:space="0" w:color="BD0000"/>
              <w:right w:val="dotted" w:sz="4" w:space="0" w:color="000000"/>
            </w:tcBorders>
          </w:tcPr>
          <w:p>
            <w:pPr>
              <w:pStyle w:val="TableParagraph"/>
              <w:spacing w:before="5"/>
              <w:jc w:val="left"/>
              <w:rPr>
                <w:sz w:val="14"/>
              </w:rPr>
            </w:pPr>
          </w:p>
          <w:p>
            <w:pPr>
              <w:pStyle w:val="TableParagraph"/>
              <w:spacing w:before="0"/>
              <w:ind w:left="114" w:right="103"/>
              <w:rPr>
                <w:b/>
                <w:sz w:val="20"/>
              </w:rPr>
            </w:pPr>
            <w:r>
              <w:rPr>
                <w:b/>
                <w:sz w:val="20"/>
              </w:rPr>
              <w:t>认购时间</w:t>
            </w:r>
          </w:p>
        </w:tc>
        <w:tc>
          <w:tcPr>
            <w:tcW w:w="1039" w:type="dxa"/>
            <w:tcBorders>
              <w:left w:val="dotted" w:sz="4" w:space="0" w:color="000000"/>
              <w:bottom w:val="single" w:sz="6" w:space="0" w:color="BD0000"/>
              <w:right w:val="dotted" w:sz="4" w:space="0" w:color="000000"/>
            </w:tcBorders>
          </w:tcPr>
          <w:p>
            <w:pPr>
              <w:pStyle w:val="TableParagraph"/>
              <w:spacing w:before="29"/>
              <w:ind w:left="97" w:right="87"/>
              <w:rPr>
                <w:b/>
                <w:sz w:val="20"/>
              </w:rPr>
            </w:pPr>
            <w:r>
              <w:rPr>
                <w:b/>
                <w:sz w:val="20"/>
              </w:rPr>
              <w:t>认购金额</w:t>
            </w:r>
          </w:p>
          <w:p>
            <w:pPr>
              <w:pStyle w:val="TableParagraph"/>
              <w:spacing w:before="55"/>
              <w:ind w:left="97" w:right="85"/>
              <w:rPr>
                <w:rFonts w:ascii="Arial" w:eastAsia="Arial"/>
                <w:b/>
                <w:sz w:val="20"/>
              </w:rPr>
            </w:pPr>
            <w:r>
              <w:rPr>
                <w:rFonts w:ascii="Arial" w:eastAsia="Arial"/>
                <w:b/>
                <w:sz w:val="20"/>
              </w:rPr>
              <w:t>(</w:t>
            </w:r>
            <w:r>
              <w:rPr>
                <w:b/>
                <w:sz w:val="20"/>
              </w:rPr>
              <w:t>亿元</w:t>
            </w:r>
            <w:r>
              <w:rPr>
                <w:rFonts w:ascii="Arial" w:eastAsia="Arial"/>
                <w:b/>
                <w:sz w:val="20"/>
              </w:rPr>
              <w:t>)</w:t>
            </w:r>
          </w:p>
        </w:tc>
        <w:tc>
          <w:tcPr>
            <w:tcW w:w="1040" w:type="dxa"/>
            <w:tcBorders>
              <w:left w:val="dotted" w:sz="4" w:space="0" w:color="000000"/>
              <w:bottom w:val="single" w:sz="6" w:space="0" w:color="BD0000"/>
              <w:right w:val="dotted" w:sz="4" w:space="0" w:color="000000"/>
            </w:tcBorders>
          </w:tcPr>
          <w:p>
            <w:pPr>
              <w:pStyle w:val="TableParagraph"/>
              <w:spacing w:before="29"/>
              <w:ind w:left="98" w:right="88"/>
              <w:rPr>
                <w:b/>
                <w:sz w:val="20"/>
              </w:rPr>
            </w:pPr>
            <w:r>
              <w:rPr>
                <w:b/>
                <w:sz w:val="20"/>
              </w:rPr>
              <w:t>投资期限</w:t>
            </w:r>
          </w:p>
          <w:p>
            <w:pPr>
              <w:pStyle w:val="TableParagraph"/>
              <w:spacing w:before="55"/>
              <w:ind w:left="98" w:right="87"/>
              <w:rPr>
                <w:rFonts w:ascii="Arial" w:eastAsia="Arial"/>
                <w:b/>
                <w:sz w:val="20"/>
              </w:rPr>
            </w:pPr>
            <w:r>
              <w:rPr>
                <w:rFonts w:ascii="Arial" w:eastAsia="Arial"/>
                <w:b/>
                <w:sz w:val="20"/>
              </w:rPr>
              <w:t>(</w:t>
            </w:r>
            <w:r>
              <w:rPr>
                <w:b/>
                <w:sz w:val="20"/>
              </w:rPr>
              <w:t>年</w:t>
            </w:r>
            <w:r>
              <w:rPr>
                <w:rFonts w:ascii="Arial" w:eastAsia="Arial"/>
                <w:b/>
                <w:sz w:val="20"/>
              </w:rPr>
              <w:t>)</w:t>
            </w:r>
          </w:p>
        </w:tc>
      </w:tr>
      <w:tr>
        <w:tblPrEx>
          <w:tblW w:w="0" w:type="auto"/>
          <w:jc w:val="left"/>
          <w:tblInd w:w="193" w:type="dxa"/>
          <w:tblLayout w:type="fixed"/>
          <w:tblCellMar>
            <w:top w:w="0" w:type="dxa"/>
            <w:left w:w="0" w:type="dxa"/>
            <w:bottom w:w="0" w:type="dxa"/>
            <w:right w:w="0" w:type="dxa"/>
          </w:tblCellMar>
          <w:tblLook w:val="01E0"/>
        </w:tblPrEx>
        <w:trPr>
          <w:trHeight w:val="624"/>
          <w:jc w:val="left"/>
        </w:trPr>
        <w:tc>
          <w:tcPr>
            <w:tcW w:w="2268"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28"/>
              <w:ind w:left="112" w:right="105"/>
              <w:rPr>
                <w:sz w:val="20"/>
              </w:rPr>
            </w:pPr>
            <w:r>
              <w:rPr>
                <w:sz w:val="20"/>
              </w:rPr>
              <w:t>中国人民健康保险股份</w:t>
            </w:r>
          </w:p>
          <w:p>
            <w:pPr>
              <w:pStyle w:val="TableParagraph"/>
              <w:spacing w:before="56"/>
              <w:ind w:left="112" w:right="105"/>
              <w:rPr>
                <w:sz w:val="20"/>
              </w:rPr>
            </w:pPr>
            <w:r>
              <w:rPr>
                <w:sz w:val="20"/>
              </w:rPr>
              <w:t>有限公司</w:t>
            </w:r>
          </w:p>
        </w:tc>
        <w:tc>
          <w:tcPr>
            <w:tcW w:w="4536"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184"/>
              <w:ind w:left="111" w:right="104"/>
              <w:rPr>
                <w:sz w:val="20"/>
              </w:rPr>
            </w:pPr>
            <w:r>
              <w:rPr>
                <w:sz w:val="20"/>
              </w:rPr>
              <w:t>人保资本</w:t>
            </w:r>
            <w:r>
              <w:rPr>
                <w:rFonts w:ascii="Arial" w:eastAsia="Arial"/>
                <w:sz w:val="20"/>
              </w:rPr>
              <w:t>-</w:t>
            </w:r>
            <w:r>
              <w:rPr>
                <w:sz w:val="20"/>
              </w:rPr>
              <w:t>菜鸟物流高标仓股权投资计划</w:t>
            </w:r>
          </w:p>
        </w:tc>
        <w:tc>
          <w:tcPr>
            <w:tcW w:w="1372"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4"/>
              <w:jc w:val="left"/>
              <w:rPr>
                <w:sz w:val="14"/>
              </w:rPr>
            </w:pPr>
          </w:p>
          <w:p>
            <w:pPr>
              <w:pStyle w:val="TableParagraph"/>
              <w:spacing w:before="0"/>
              <w:ind w:left="132" w:right="126"/>
              <w:rPr>
                <w:sz w:val="20"/>
              </w:rPr>
            </w:pPr>
            <w:r>
              <w:rPr>
                <w:sz w:val="20"/>
              </w:rPr>
              <w:t>人保资本</w:t>
            </w:r>
          </w:p>
        </w:tc>
        <w:tc>
          <w:tcPr>
            <w:tcW w:w="1275"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196"/>
              <w:ind w:left="112" w:right="106"/>
              <w:rPr>
                <w:rFonts w:ascii="Arial"/>
                <w:sz w:val="20"/>
              </w:rPr>
            </w:pPr>
            <w:r>
              <w:rPr>
                <w:rFonts w:ascii="Arial"/>
                <w:sz w:val="20"/>
              </w:rPr>
              <w:t>2023.12.29</w:t>
            </w:r>
          </w:p>
        </w:tc>
        <w:tc>
          <w:tcPr>
            <w:tcW w:w="1039"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196"/>
              <w:ind w:left="11"/>
              <w:rPr>
                <w:rFonts w:ascii="Arial"/>
                <w:sz w:val="20"/>
              </w:rPr>
            </w:pPr>
            <w:r>
              <w:rPr>
                <w:rFonts w:ascii="Arial"/>
                <w:w w:val="99"/>
                <w:sz w:val="20"/>
              </w:rPr>
              <w:t>2</w:t>
            </w:r>
          </w:p>
        </w:tc>
        <w:tc>
          <w:tcPr>
            <w:tcW w:w="1040"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196"/>
              <w:ind w:left="98" w:right="88"/>
              <w:rPr>
                <w:rFonts w:ascii="Arial"/>
                <w:sz w:val="20"/>
              </w:rPr>
            </w:pPr>
            <w:r>
              <w:rPr>
                <w:rFonts w:ascii="Arial"/>
                <w:sz w:val="20"/>
              </w:rPr>
              <w:t>10</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2268"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32"/>
              <w:ind w:left="112" w:right="105"/>
              <w:rPr>
                <w:sz w:val="20"/>
              </w:rPr>
            </w:pPr>
            <w:r>
              <w:rPr>
                <w:sz w:val="20"/>
              </w:rPr>
              <w:t>中国人民人寿保险股份</w:t>
            </w:r>
          </w:p>
          <w:p>
            <w:pPr>
              <w:pStyle w:val="TableParagraph"/>
              <w:spacing w:before="56"/>
              <w:ind w:left="112" w:right="105"/>
              <w:rPr>
                <w:sz w:val="20"/>
              </w:rPr>
            </w:pPr>
            <w:r>
              <w:rPr>
                <w:sz w:val="20"/>
              </w:rPr>
              <w:t>有限公司</w:t>
            </w:r>
          </w:p>
        </w:tc>
        <w:tc>
          <w:tcPr>
            <w:tcW w:w="4536" w:type="dxa"/>
            <w:tcBorders>
              <w:top w:val="dotted" w:sz="4" w:space="0" w:color="000000"/>
              <w:left w:val="dotted" w:sz="4" w:space="0" w:color="000000"/>
              <w:bottom w:val="dotted" w:sz="4" w:space="0" w:color="000000"/>
              <w:right w:val="dotted" w:sz="4" w:space="0" w:color="000000"/>
            </w:tcBorders>
          </w:tcPr>
          <w:p>
            <w:pPr>
              <w:pStyle w:val="TableParagraph"/>
              <w:spacing w:before="27"/>
              <w:ind w:left="111" w:right="104"/>
              <w:rPr>
                <w:sz w:val="20"/>
              </w:rPr>
            </w:pPr>
            <w:r>
              <w:rPr>
                <w:sz w:val="20"/>
              </w:rPr>
              <w:t>人保资本</w:t>
            </w:r>
            <w:r>
              <w:rPr>
                <w:rFonts w:ascii="Arial" w:eastAsia="Arial"/>
                <w:sz w:val="20"/>
              </w:rPr>
              <w:t>-</w:t>
            </w:r>
            <w:r>
              <w:rPr>
                <w:sz w:val="20"/>
              </w:rPr>
              <w:t>菜鸟物流高标仓股权投资计划</w:t>
            </w:r>
          </w:p>
        </w:tc>
        <w:tc>
          <w:tcPr>
            <w:tcW w:w="1372" w:type="dxa"/>
            <w:tcBorders>
              <w:top w:val="dotted" w:sz="4" w:space="0" w:color="000000"/>
              <w:left w:val="dotted" w:sz="4" w:space="0" w:color="000000"/>
              <w:bottom w:val="dotted" w:sz="4" w:space="0" w:color="000000"/>
              <w:right w:val="dotted" w:sz="4" w:space="0" w:color="000000"/>
            </w:tcBorders>
          </w:tcPr>
          <w:p>
            <w:pPr>
              <w:pStyle w:val="TableParagraph"/>
              <w:spacing w:before="27"/>
              <w:ind w:left="132" w:right="126"/>
              <w:rPr>
                <w:sz w:val="20"/>
              </w:rPr>
            </w:pPr>
            <w:r>
              <w:rPr>
                <w:sz w:val="20"/>
              </w:rPr>
              <w:t>人保资本</w:t>
            </w:r>
          </w:p>
        </w:tc>
        <w:tc>
          <w:tcPr>
            <w:tcW w:w="1275" w:type="dxa"/>
            <w:tcBorders>
              <w:top w:val="dotted" w:sz="4" w:space="0" w:color="000000"/>
              <w:left w:val="dotted" w:sz="4" w:space="0" w:color="000000"/>
              <w:bottom w:val="dotted" w:sz="4" w:space="0" w:color="000000"/>
              <w:right w:val="dotted" w:sz="4" w:space="0" w:color="000000"/>
            </w:tcBorders>
          </w:tcPr>
          <w:p>
            <w:pPr>
              <w:pStyle w:val="TableParagraph"/>
              <w:spacing w:before="42"/>
              <w:ind w:left="112" w:right="106"/>
              <w:rPr>
                <w:rFonts w:ascii="Arial"/>
                <w:sz w:val="20"/>
              </w:rPr>
            </w:pPr>
            <w:r>
              <w:rPr>
                <w:rFonts w:ascii="Arial"/>
                <w:sz w:val="20"/>
              </w:rPr>
              <w:t>2023.12.29</w:t>
            </w:r>
          </w:p>
        </w:tc>
        <w:tc>
          <w:tcPr>
            <w:tcW w:w="1039" w:type="dxa"/>
            <w:tcBorders>
              <w:top w:val="dotted" w:sz="4" w:space="0" w:color="000000"/>
              <w:left w:val="dotted" w:sz="4" w:space="0" w:color="000000"/>
              <w:bottom w:val="dotted" w:sz="4" w:space="0" w:color="000000"/>
              <w:right w:val="dotted" w:sz="4" w:space="0" w:color="000000"/>
            </w:tcBorders>
          </w:tcPr>
          <w:p>
            <w:pPr>
              <w:pStyle w:val="TableParagraph"/>
              <w:spacing w:before="42"/>
              <w:ind w:left="11"/>
              <w:rPr>
                <w:rFonts w:ascii="Arial"/>
                <w:sz w:val="20"/>
              </w:rPr>
            </w:pPr>
            <w:r>
              <w:rPr>
                <w:rFonts w:ascii="Arial"/>
                <w:w w:val="99"/>
                <w:sz w:val="20"/>
              </w:rPr>
              <w:t>2</w:t>
            </w:r>
          </w:p>
        </w:tc>
        <w:tc>
          <w:tcPr>
            <w:tcW w:w="1040" w:type="dxa"/>
            <w:tcBorders>
              <w:top w:val="dotted" w:sz="4" w:space="0" w:color="000000"/>
              <w:left w:val="dotted" w:sz="4" w:space="0" w:color="000000"/>
              <w:bottom w:val="dotted" w:sz="4" w:space="0" w:color="000000"/>
              <w:right w:val="dotted" w:sz="4" w:space="0" w:color="000000"/>
            </w:tcBorders>
          </w:tcPr>
          <w:p>
            <w:pPr>
              <w:pStyle w:val="TableParagraph"/>
              <w:spacing w:before="42"/>
              <w:ind w:left="98" w:right="88"/>
              <w:rPr>
                <w:rFonts w:ascii="Arial"/>
                <w:sz w:val="20"/>
              </w:rPr>
            </w:pPr>
            <w:r>
              <w:rPr>
                <w:rFonts w:ascii="Arial"/>
                <w:sz w:val="20"/>
              </w:rPr>
              <w:t>10</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2268" w:type="dxa"/>
            <w:vMerge/>
            <w:tcBorders>
              <w:top w:val="nil"/>
              <w:left w:val="dotted" w:sz="4" w:space="0" w:color="000000"/>
              <w:bottom w:val="dotted" w:sz="4" w:space="0" w:color="000000"/>
              <w:right w:val="dotted" w:sz="4" w:space="0" w:color="000000"/>
            </w:tcBorders>
          </w:tcPr>
          <w:p>
            <w:pPr>
              <w:rPr>
                <w:sz w:val="2"/>
                <w:szCs w:val="2"/>
              </w:rPr>
            </w:pPr>
          </w:p>
        </w:tc>
        <w:tc>
          <w:tcPr>
            <w:tcW w:w="4536" w:type="dxa"/>
            <w:tcBorders>
              <w:top w:val="dotted" w:sz="4" w:space="0" w:color="000000"/>
              <w:left w:val="dotted" w:sz="4" w:space="0" w:color="000000"/>
              <w:bottom w:val="dotted" w:sz="4" w:space="0" w:color="000000"/>
              <w:right w:val="dotted" w:sz="4" w:space="0" w:color="000000"/>
            </w:tcBorders>
          </w:tcPr>
          <w:p>
            <w:pPr>
              <w:pStyle w:val="TableParagraph"/>
              <w:spacing w:before="27"/>
              <w:ind w:left="111" w:right="104"/>
              <w:rPr>
                <w:sz w:val="20"/>
              </w:rPr>
            </w:pPr>
            <w:r>
              <w:rPr>
                <w:sz w:val="20"/>
              </w:rPr>
              <w:t>人保资本</w:t>
            </w:r>
            <w:r>
              <w:rPr>
                <w:rFonts w:ascii="Arial" w:eastAsia="Arial"/>
                <w:sz w:val="20"/>
              </w:rPr>
              <w:t>-</w:t>
            </w:r>
            <w:r>
              <w:rPr>
                <w:sz w:val="20"/>
              </w:rPr>
              <w:t>菜鸟物流高标仓股权投资计划</w:t>
            </w:r>
          </w:p>
        </w:tc>
        <w:tc>
          <w:tcPr>
            <w:tcW w:w="1372" w:type="dxa"/>
            <w:tcBorders>
              <w:top w:val="dotted" w:sz="4" w:space="0" w:color="000000"/>
              <w:left w:val="dotted" w:sz="4" w:space="0" w:color="000000"/>
              <w:bottom w:val="dotted" w:sz="4" w:space="0" w:color="000000"/>
              <w:right w:val="dotted" w:sz="4" w:space="0" w:color="000000"/>
            </w:tcBorders>
          </w:tcPr>
          <w:p>
            <w:pPr>
              <w:pStyle w:val="TableParagraph"/>
              <w:spacing w:before="27"/>
              <w:ind w:left="132" w:right="126"/>
              <w:rPr>
                <w:sz w:val="20"/>
              </w:rPr>
            </w:pPr>
            <w:r>
              <w:rPr>
                <w:sz w:val="20"/>
              </w:rPr>
              <w:t>人保资本</w:t>
            </w:r>
          </w:p>
        </w:tc>
        <w:tc>
          <w:tcPr>
            <w:tcW w:w="1275" w:type="dxa"/>
            <w:tcBorders>
              <w:top w:val="dotted" w:sz="4" w:space="0" w:color="000000"/>
              <w:left w:val="dotted" w:sz="4" w:space="0" w:color="000000"/>
              <w:bottom w:val="dotted" w:sz="4" w:space="0" w:color="000000"/>
              <w:right w:val="dotted" w:sz="4" w:space="0" w:color="000000"/>
            </w:tcBorders>
          </w:tcPr>
          <w:p>
            <w:pPr>
              <w:pStyle w:val="TableParagraph"/>
              <w:spacing w:before="42"/>
              <w:ind w:left="112" w:right="106"/>
              <w:rPr>
                <w:rFonts w:ascii="Arial"/>
                <w:sz w:val="20"/>
              </w:rPr>
            </w:pPr>
            <w:r>
              <w:rPr>
                <w:rFonts w:ascii="Arial"/>
                <w:sz w:val="20"/>
              </w:rPr>
              <w:t>2023.12.29</w:t>
            </w:r>
          </w:p>
        </w:tc>
        <w:tc>
          <w:tcPr>
            <w:tcW w:w="1039" w:type="dxa"/>
            <w:tcBorders>
              <w:top w:val="dotted" w:sz="4" w:space="0" w:color="000000"/>
              <w:left w:val="dotted" w:sz="4" w:space="0" w:color="000000"/>
              <w:bottom w:val="dotted" w:sz="4" w:space="0" w:color="000000"/>
              <w:right w:val="dotted" w:sz="4" w:space="0" w:color="000000"/>
            </w:tcBorders>
          </w:tcPr>
          <w:p>
            <w:pPr>
              <w:pStyle w:val="TableParagraph"/>
              <w:spacing w:before="42"/>
              <w:ind w:left="11"/>
              <w:rPr>
                <w:rFonts w:ascii="Arial"/>
                <w:sz w:val="20"/>
              </w:rPr>
            </w:pPr>
            <w:r>
              <w:rPr>
                <w:rFonts w:ascii="Arial"/>
                <w:w w:val="99"/>
                <w:sz w:val="20"/>
              </w:rPr>
              <w:t>2</w:t>
            </w:r>
          </w:p>
        </w:tc>
        <w:tc>
          <w:tcPr>
            <w:tcW w:w="1040" w:type="dxa"/>
            <w:tcBorders>
              <w:top w:val="dotted" w:sz="4" w:space="0" w:color="000000"/>
              <w:left w:val="dotted" w:sz="4" w:space="0" w:color="000000"/>
              <w:bottom w:val="dotted" w:sz="4" w:space="0" w:color="000000"/>
              <w:right w:val="dotted" w:sz="4" w:space="0" w:color="000000"/>
            </w:tcBorders>
          </w:tcPr>
          <w:p>
            <w:pPr>
              <w:pStyle w:val="TableParagraph"/>
              <w:spacing w:before="42"/>
              <w:ind w:left="96" w:right="88"/>
              <w:rPr>
                <w:rFonts w:ascii="Arial"/>
                <w:sz w:val="20"/>
              </w:rPr>
            </w:pPr>
            <w:r>
              <w:rPr>
                <w:rFonts w:ascii="Arial"/>
                <w:sz w:val="20"/>
              </w:rPr>
              <w:t>6+1+1</w:t>
            </w:r>
          </w:p>
        </w:tc>
      </w:tr>
      <w:tr>
        <w:tblPrEx>
          <w:tblW w:w="0" w:type="auto"/>
          <w:jc w:val="left"/>
          <w:tblInd w:w="193" w:type="dxa"/>
          <w:tblLayout w:type="fixed"/>
          <w:tblCellMar>
            <w:top w:w="0" w:type="dxa"/>
            <w:left w:w="0" w:type="dxa"/>
            <w:bottom w:w="0" w:type="dxa"/>
            <w:right w:w="0" w:type="dxa"/>
          </w:tblCellMar>
          <w:tblLook w:val="01E0"/>
        </w:tblPrEx>
        <w:trPr>
          <w:trHeight w:val="311"/>
          <w:jc w:val="left"/>
        </w:trPr>
        <w:tc>
          <w:tcPr>
            <w:tcW w:w="2268" w:type="dxa"/>
            <w:vMerge w:val="restart"/>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0"/>
              <w:jc w:val="left"/>
              <w:rPr>
                <w:sz w:val="20"/>
              </w:rPr>
            </w:pPr>
          </w:p>
          <w:p>
            <w:pPr>
              <w:pStyle w:val="TableParagraph"/>
              <w:spacing w:before="0"/>
              <w:jc w:val="left"/>
              <w:rPr>
                <w:sz w:val="20"/>
              </w:rPr>
            </w:pPr>
          </w:p>
          <w:p>
            <w:pPr>
              <w:pStyle w:val="TableParagraph"/>
              <w:spacing w:before="164" w:line="292" w:lineRule="auto"/>
              <w:ind w:left="932" w:right="123" w:hanging="800"/>
              <w:jc w:val="left"/>
              <w:rPr>
                <w:sz w:val="20"/>
              </w:rPr>
            </w:pPr>
            <w:r>
              <w:rPr>
                <w:sz w:val="20"/>
              </w:rPr>
              <w:t>中国人寿保险股份有限公司</w:t>
            </w:r>
          </w:p>
        </w:tc>
        <w:tc>
          <w:tcPr>
            <w:tcW w:w="4536"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ind w:left="111" w:right="104"/>
              <w:rPr>
                <w:sz w:val="20"/>
              </w:rPr>
            </w:pPr>
            <w:r>
              <w:rPr>
                <w:sz w:val="20"/>
              </w:rPr>
              <w:t>国寿投资</w:t>
            </w:r>
            <w:r>
              <w:rPr>
                <w:rFonts w:ascii="Arial" w:eastAsia="Arial"/>
                <w:sz w:val="20"/>
              </w:rPr>
              <w:t>-</w:t>
            </w:r>
            <w:r>
              <w:rPr>
                <w:sz w:val="20"/>
              </w:rPr>
              <w:t>新赣壹号股权投资计划</w:t>
            </w:r>
          </w:p>
        </w:tc>
        <w:tc>
          <w:tcPr>
            <w:tcW w:w="137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ind w:left="132" w:right="126"/>
              <w:rPr>
                <w:sz w:val="20"/>
              </w:rPr>
            </w:pPr>
            <w:r>
              <w:rPr>
                <w:sz w:val="20"/>
              </w:rPr>
              <w:t>国寿投资</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112" w:right="106"/>
              <w:rPr>
                <w:rFonts w:ascii="Arial"/>
                <w:sz w:val="20"/>
              </w:rPr>
            </w:pPr>
            <w:r>
              <w:rPr>
                <w:rFonts w:ascii="Arial"/>
                <w:sz w:val="20"/>
              </w:rPr>
              <w:t>2023.04.27</w:t>
            </w:r>
          </w:p>
        </w:tc>
        <w:tc>
          <w:tcPr>
            <w:tcW w:w="1039"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93" w:right="87"/>
              <w:rPr>
                <w:rFonts w:ascii="Arial"/>
                <w:sz w:val="20"/>
              </w:rPr>
            </w:pPr>
            <w:r>
              <w:rPr>
                <w:rFonts w:ascii="Arial"/>
                <w:sz w:val="20"/>
              </w:rPr>
              <w:t>30</w:t>
            </w:r>
          </w:p>
        </w:tc>
        <w:tc>
          <w:tcPr>
            <w:tcW w:w="1040"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98" w:right="88"/>
              <w:rPr>
                <w:rFonts w:ascii="Arial"/>
                <w:sz w:val="20"/>
              </w:rPr>
            </w:pPr>
            <w:r>
              <w:rPr>
                <w:rFonts w:ascii="Arial"/>
                <w:sz w:val="20"/>
              </w:rPr>
              <w:t>13</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2268"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536"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8"/>
              <w:ind w:left="114" w:right="104"/>
              <w:rPr>
                <w:sz w:val="20"/>
              </w:rPr>
            </w:pPr>
            <w:r>
              <w:rPr>
                <w:sz w:val="20"/>
              </w:rPr>
              <w:t>国寿投资</w:t>
            </w:r>
            <w:r>
              <w:rPr>
                <w:rFonts w:ascii="Arial" w:eastAsia="Arial"/>
                <w:sz w:val="20"/>
              </w:rPr>
              <w:t>-</w:t>
            </w:r>
            <w:r>
              <w:rPr>
                <w:sz w:val="20"/>
              </w:rPr>
              <w:t>菜鸟网络吉仓股权投资计划</w:t>
            </w:r>
          </w:p>
        </w:tc>
        <w:tc>
          <w:tcPr>
            <w:tcW w:w="137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8"/>
              <w:ind w:left="132" w:right="126"/>
              <w:rPr>
                <w:sz w:val="20"/>
              </w:rPr>
            </w:pPr>
            <w:r>
              <w:rPr>
                <w:sz w:val="20"/>
              </w:rPr>
              <w:t>国寿投资</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112" w:right="106"/>
              <w:rPr>
                <w:rFonts w:ascii="Arial"/>
                <w:sz w:val="20"/>
              </w:rPr>
            </w:pPr>
            <w:r>
              <w:rPr>
                <w:rFonts w:ascii="Arial"/>
                <w:sz w:val="20"/>
              </w:rPr>
              <w:t>2023.05.08</w:t>
            </w:r>
          </w:p>
        </w:tc>
        <w:tc>
          <w:tcPr>
            <w:tcW w:w="1039"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95" w:right="87"/>
              <w:rPr>
                <w:rFonts w:ascii="Arial"/>
                <w:sz w:val="20"/>
              </w:rPr>
            </w:pPr>
            <w:r>
              <w:rPr>
                <w:rFonts w:ascii="Arial"/>
                <w:sz w:val="20"/>
              </w:rPr>
              <w:t>9.99</w:t>
            </w:r>
          </w:p>
        </w:tc>
        <w:tc>
          <w:tcPr>
            <w:tcW w:w="1040"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ind w:left="98" w:right="88"/>
              <w:rPr>
                <w:rFonts w:ascii="Arial"/>
                <w:sz w:val="20"/>
              </w:rPr>
            </w:pPr>
            <w:r>
              <w:rPr>
                <w:rFonts w:ascii="Arial"/>
                <w:sz w:val="20"/>
              </w:rPr>
              <w:t>15</w:t>
            </w:r>
          </w:p>
        </w:tc>
      </w:tr>
      <w:tr>
        <w:tblPrEx>
          <w:tblW w:w="0" w:type="auto"/>
          <w:jc w:val="left"/>
          <w:tblInd w:w="193" w:type="dxa"/>
          <w:tblLayout w:type="fixed"/>
          <w:tblCellMar>
            <w:top w:w="0" w:type="dxa"/>
            <w:left w:w="0" w:type="dxa"/>
            <w:bottom w:w="0" w:type="dxa"/>
            <w:right w:w="0" w:type="dxa"/>
          </w:tblCellMar>
          <w:tblLook w:val="01E0"/>
        </w:tblPrEx>
        <w:trPr>
          <w:trHeight w:val="311"/>
          <w:jc w:val="left"/>
        </w:trPr>
        <w:tc>
          <w:tcPr>
            <w:tcW w:w="2268"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536"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8"/>
              <w:ind w:left="111" w:right="104"/>
              <w:rPr>
                <w:sz w:val="20"/>
              </w:rPr>
            </w:pPr>
            <w:r>
              <w:rPr>
                <w:sz w:val="20"/>
              </w:rPr>
              <w:t>国寿投资</w:t>
            </w:r>
            <w:r>
              <w:rPr>
                <w:rFonts w:ascii="Arial" w:eastAsia="Arial"/>
                <w:sz w:val="20"/>
              </w:rPr>
              <w:t>-</w:t>
            </w:r>
            <w:r>
              <w:rPr>
                <w:sz w:val="20"/>
              </w:rPr>
              <w:t>京港地铁股权投资计划</w:t>
            </w:r>
          </w:p>
        </w:tc>
        <w:tc>
          <w:tcPr>
            <w:tcW w:w="137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8"/>
              <w:ind w:left="132" w:right="126"/>
              <w:rPr>
                <w:sz w:val="20"/>
              </w:rPr>
            </w:pPr>
            <w:r>
              <w:rPr>
                <w:sz w:val="20"/>
              </w:rPr>
              <w:t>国寿投资</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112" w:right="106"/>
              <w:rPr>
                <w:rFonts w:ascii="Arial"/>
                <w:sz w:val="20"/>
              </w:rPr>
            </w:pPr>
            <w:r>
              <w:rPr>
                <w:rFonts w:ascii="Arial"/>
                <w:sz w:val="20"/>
              </w:rPr>
              <w:t>2023.05.12</w:t>
            </w:r>
          </w:p>
        </w:tc>
        <w:tc>
          <w:tcPr>
            <w:tcW w:w="1039"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93" w:right="87"/>
              <w:rPr>
                <w:rFonts w:ascii="Arial"/>
                <w:sz w:val="20"/>
              </w:rPr>
            </w:pPr>
            <w:r>
              <w:rPr>
                <w:rFonts w:ascii="Arial"/>
                <w:sz w:val="20"/>
              </w:rPr>
              <w:t>50</w:t>
            </w:r>
          </w:p>
        </w:tc>
        <w:tc>
          <w:tcPr>
            <w:tcW w:w="1040"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5"/>
              <w:rPr>
                <w:rFonts w:ascii="Arial"/>
                <w:sz w:val="20"/>
              </w:rPr>
            </w:pPr>
            <w:r>
              <w:rPr>
                <w:rFonts w:ascii="Arial"/>
                <w:w w:val="99"/>
                <w:sz w:val="20"/>
              </w:rPr>
              <w:t>7</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2268"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536"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8"/>
              <w:ind w:left="114" w:right="104"/>
              <w:rPr>
                <w:sz w:val="20"/>
              </w:rPr>
            </w:pPr>
            <w:r>
              <w:rPr>
                <w:sz w:val="20"/>
              </w:rPr>
              <w:t>国寿投资</w:t>
            </w:r>
            <w:r>
              <w:rPr>
                <w:rFonts w:ascii="Arial" w:eastAsia="Arial"/>
                <w:sz w:val="20"/>
              </w:rPr>
              <w:t>-</w:t>
            </w:r>
            <w:r>
              <w:rPr>
                <w:sz w:val="20"/>
              </w:rPr>
              <w:t>宝武绿碳基金股权投资计划</w:t>
            </w:r>
          </w:p>
        </w:tc>
        <w:tc>
          <w:tcPr>
            <w:tcW w:w="137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8"/>
              <w:ind w:left="132" w:right="126"/>
              <w:rPr>
                <w:sz w:val="20"/>
              </w:rPr>
            </w:pPr>
            <w:r>
              <w:rPr>
                <w:sz w:val="20"/>
              </w:rPr>
              <w:t>国寿投资</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112" w:right="106"/>
              <w:rPr>
                <w:rFonts w:ascii="Arial"/>
                <w:sz w:val="20"/>
              </w:rPr>
            </w:pPr>
            <w:r>
              <w:rPr>
                <w:rFonts w:ascii="Arial"/>
                <w:sz w:val="20"/>
              </w:rPr>
              <w:t>2023.08.24</w:t>
            </w:r>
          </w:p>
        </w:tc>
        <w:tc>
          <w:tcPr>
            <w:tcW w:w="1039"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93" w:right="87"/>
              <w:rPr>
                <w:rFonts w:ascii="Arial"/>
                <w:sz w:val="20"/>
              </w:rPr>
            </w:pPr>
            <w:r>
              <w:rPr>
                <w:rFonts w:ascii="Arial"/>
                <w:sz w:val="20"/>
              </w:rPr>
              <w:t>10</w:t>
            </w:r>
          </w:p>
        </w:tc>
        <w:tc>
          <w:tcPr>
            <w:tcW w:w="1040"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0"/>
              <w:ind w:left="5"/>
              <w:rPr>
                <w:rFonts w:ascii="Arial"/>
                <w:sz w:val="20"/>
              </w:rPr>
            </w:pPr>
            <w:r>
              <w:rPr>
                <w:rFonts w:ascii="Arial"/>
                <w:w w:val="99"/>
                <w:sz w:val="20"/>
              </w:rPr>
              <w:t>7</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2268"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536"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11" w:right="104"/>
              <w:rPr>
                <w:sz w:val="20"/>
              </w:rPr>
            </w:pPr>
            <w:r>
              <w:rPr>
                <w:sz w:val="20"/>
              </w:rPr>
              <w:t>中国人寿</w:t>
            </w:r>
            <w:r>
              <w:rPr>
                <w:rFonts w:ascii="Arial" w:eastAsia="Arial"/>
                <w:sz w:val="20"/>
              </w:rPr>
              <w:t>-</w:t>
            </w:r>
            <w:r>
              <w:rPr>
                <w:sz w:val="20"/>
              </w:rPr>
              <w:t xml:space="preserve">沪发 </w:t>
            </w:r>
            <w:r>
              <w:rPr>
                <w:rFonts w:ascii="Arial" w:eastAsia="Arial"/>
                <w:sz w:val="20"/>
              </w:rPr>
              <w:t xml:space="preserve">1 </w:t>
            </w:r>
            <w:r>
              <w:rPr>
                <w:sz w:val="20"/>
              </w:rPr>
              <w:t>号股权投资计划</w:t>
            </w:r>
          </w:p>
        </w:tc>
        <w:tc>
          <w:tcPr>
            <w:tcW w:w="137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32" w:right="126"/>
              <w:rPr>
                <w:sz w:val="20"/>
              </w:rPr>
            </w:pPr>
            <w:r>
              <w:rPr>
                <w:sz w:val="20"/>
              </w:rPr>
              <w:t>国寿资产</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112" w:right="106"/>
              <w:rPr>
                <w:rFonts w:ascii="Arial"/>
                <w:sz w:val="20"/>
              </w:rPr>
            </w:pPr>
            <w:r>
              <w:rPr>
                <w:rFonts w:ascii="Arial"/>
                <w:sz w:val="20"/>
              </w:rPr>
              <w:t>2023.09.27</w:t>
            </w:r>
          </w:p>
        </w:tc>
        <w:tc>
          <w:tcPr>
            <w:tcW w:w="1039"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93" w:right="87"/>
              <w:rPr>
                <w:rFonts w:ascii="Arial"/>
                <w:sz w:val="20"/>
              </w:rPr>
            </w:pPr>
            <w:r>
              <w:rPr>
                <w:rFonts w:ascii="Arial"/>
                <w:sz w:val="20"/>
              </w:rPr>
              <w:t>120</w:t>
            </w:r>
          </w:p>
        </w:tc>
        <w:tc>
          <w:tcPr>
            <w:tcW w:w="1040"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96" w:right="88"/>
              <w:rPr>
                <w:rFonts w:ascii="Arial"/>
                <w:sz w:val="20"/>
              </w:rPr>
            </w:pPr>
            <w:r>
              <w:rPr>
                <w:rFonts w:ascii="Arial"/>
                <w:sz w:val="20"/>
              </w:rPr>
              <w:t>7+2+2</w:t>
            </w:r>
          </w:p>
        </w:tc>
      </w:tr>
      <w:tr>
        <w:tblPrEx>
          <w:tblW w:w="0" w:type="auto"/>
          <w:jc w:val="left"/>
          <w:tblInd w:w="193" w:type="dxa"/>
          <w:tblLayout w:type="fixed"/>
          <w:tblCellMar>
            <w:top w:w="0" w:type="dxa"/>
            <w:left w:w="0" w:type="dxa"/>
            <w:bottom w:w="0" w:type="dxa"/>
            <w:right w:w="0" w:type="dxa"/>
          </w:tblCellMar>
          <w:tblLook w:val="01E0"/>
        </w:tblPrEx>
        <w:trPr>
          <w:trHeight w:val="311"/>
          <w:jc w:val="left"/>
        </w:trPr>
        <w:tc>
          <w:tcPr>
            <w:tcW w:w="2268" w:type="dxa"/>
            <w:vMerge/>
            <w:tcBorders>
              <w:top w:val="nil"/>
              <w:left w:val="dotted" w:sz="4" w:space="0" w:color="000000"/>
              <w:bottom w:val="dotted" w:sz="4" w:space="0" w:color="000000"/>
              <w:right w:val="dotted" w:sz="4" w:space="0" w:color="000000"/>
            </w:tcBorders>
            <w:shd w:val="clear" w:color="auto" w:fill="F0F0F0"/>
          </w:tcPr>
          <w:p>
            <w:pPr>
              <w:rPr>
                <w:sz w:val="2"/>
                <w:szCs w:val="2"/>
              </w:rPr>
            </w:pPr>
          </w:p>
        </w:tc>
        <w:tc>
          <w:tcPr>
            <w:tcW w:w="4536"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11" w:right="104"/>
              <w:rPr>
                <w:sz w:val="20"/>
              </w:rPr>
            </w:pPr>
            <w:r>
              <w:rPr>
                <w:sz w:val="20"/>
              </w:rPr>
              <w:t>国寿投资</w:t>
            </w:r>
            <w:r>
              <w:rPr>
                <w:rFonts w:ascii="Arial" w:eastAsia="Arial"/>
                <w:sz w:val="20"/>
              </w:rPr>
              <w:t>-</w:t>
            </w:r>
            <w:r>
              <w:rPr>
                <w:sz w:val="20"/>
              </w:rPr>
              <w:t>漕河泾产业园股权投资计划（二期）</w:t>
            </w:r>
          </w:p>
        </w:tc>
        <w:tc>
          <w:tcPr>
            <w:tcW w:w="137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7"/>
              <w:ind w:left="132" w:right="126"/>
              <w:rPr>
                <w:sz w:val="20"/>
              </w:rPr>
            </w:pPr>
            <w:r>
              <w:rPr>
                <w:sz w:val="20"/>
              </w:rPr>
              <w:t>国寿投资</w:t>
            </w:r>
          </w:p>
        </w:tc>
        <w:tc>
          <w:tcPr>
            <w:tcW w:w="1275"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112" w:right="106"/>
              <w:rPr>
                <w:rFonts w:ascii="Arial"/>
                <w:sz w:val="20"/>
              </w:rPr>
            </w:pPr>
            <w:r>
              <w:rPr>
                <w:rFonts w:ascii="Arial"/>
                <w:sz w:val="20"/>
              </w:rPr>
              <w:t>2023.12.18</w:t>
            </w:r>
          </w:p>
        </w:tc>
        <w:tc>
          <w:tcPr>
            <w:tcW w:w="1039"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93" w:right="87"/>
              <w:rPr>
                <w:rFonts w:ascii="Arial"/>
                <w:sz w:val="20"/>
              </w:rPr>
            </w:pPr>
            <w:r>
              <w:rPr>
                <w:rFonts w:ascii="Arial"/>
                <w:sz w:val="20"/>
              </w:rPr>
              <w:t>20</w:t>
            </w:r>
          </w:p>
        </w:tc>
        <w:tc>
          <w:tcPr>
            <w:tcW w:w="1040"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42"/>
              <w:ind w:left="5"/>
              <w:rPr>
                <w:rFonts w:ascii="Arial"/>
                <w:sz w:val="20"/>
              </w:rPr>
            </w:pPr>
            <w:r>
              <w:rPr>
                <w:rFonts w:ascii="Arial"/>
                <w:w w:val="99"/>
                <w:sz w:val="20"/>
              </w:rPr>
              <w:t>8</w:t>
            </w:r>
          </w:p>
        </w:tc>
      </w:tr>
      <w:tr>
        <w:tblPrEx>
          <w:tblW w:w="0" w:type="auto"/>
          <w:jc w:val="left"/>
          <w:tblInd w:w="193" w:type="dxa"/>
          <w:tblLayout w:type="fixed"/>
          <w:tblCellMar>
            <w:top w:w="0" w:type="dxa"/>
            <w:left w:w="0" w:type="dxa"/>
            <w:bottom w:w="0" w:type="dxa"/>
            <w:right w:w="0" w:type="dxa"/>
          </w:tblCellMar>
          <w:tblLook w:val="01E0"/>
        </w:tblPrEx>
        <w:trPr>
          <w:trHeight w:val="312"/>
          <w:jc w:val="left"/>
        </w:trPr>
        <w:tc>
          <w:tcPr>
            <w:tcW w:w="2268"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10"/>
              <w:jc w:val="left"/>
              <w:rPr>
                <w:sz w:val="14"/>
              </w:rPr>
            </w:pPr>
          </w:p>
          <w:p>
            <w:pPr>
              <w:pStyle w:val="TableParagraph"/>
              <w:spacing w:before="0" w:line="292" w:lineRule="auto"/>
              <w:ind w:left="733" w:right="123" w:hanging="600"/>
              <w:jc w:val="left"/>
              <w:rPr>
                <w:sz w:val="20"/>
              </w:rPr>
            </w:pPr>
            <w:r>
              <w:rPr>
                <w:sz w:val="20"/>
              </w:rPr>
              <w:t>中国人寿财产保险股份有限公司</w:t>
            </w:r>
          </w:p>
        </w:tc>
        <w:tc>
          <w:tcPr>
            <w:tcW w:w="4536" w:type="dxa"/>
            <w:tcBorders>
              <w:top w:val="dotted" w:sz="4" w:space="0" w:color="000000"/>
              <w:left w:val="dotted" w:sz="4" w:space="0" w:color="000000"/>
              <w:bottom w:val="dotted" w:sz="4" w:space="0" w:color="000000"/>
              <w:right w:val="dotted" w:sz="4" w:space="0" w:color="000000"/>
            </w:tcBorders>
          </w:tcPr>
          <w:p>
            <w:pPr>
              <w:pStyle w:val="TableParagraph"/>
              <w:spacing w:before="29"/>
              <w:ind w:left="111" w:right="104"/>
              <w:rPr>
                <w:sz w:val="20"/>
              </w:rPr>
            </w:pPr>
            <w:r>
              <w:rPr>
                <w:sz w:val="20"/>
              </w:rPr>
              <w:t>国寿投资</w:t>
            </w:r>
            <w:r>
              <w:rPr>
                <w:rFonts w:ascii="Arial" w:eastAsia="Arial"/>
                <w:sz w:val="20"/>
              </w:rPr>
              <w:t>-</w:t>
            </w:r>
            <w:r>
              <w:rPr>
                <w:sz w:val="20"/>
              </w:rPr>
              <w:t>京港地铁股权投资计划</w:t>
            </w:r>
          </w:p>
        </w:tc>
        <w:tc>
          <w:tcPr>
            <w:tcW w:w="1372" w:type="dxa"/>
            <w:tcBorders>
              <w:top w:val="dotted" w:sz="4" w:space="0" w:color="000000"/>
              <w:left w:val="dotted" w:sz="4" w:space="0" w:color="000000"/>
              <w:bottom w:val="dotted" w:sz="4" w:space="0" w:color="000000"/>
              <w:right w:val="dotted" w:sz="4" w:space="0" w:color="000000"/>
            </w:tcBorders>
          </w:tcPr>
          <w:p>
            <w:pPr>
              <w:pStyle w:val="TableParagraph"/>
              <w:spacing w:before="29"/>
              <w:ind w:left="132" w:right="126"/>
              <w:rPr>
                <w:sz w:val="20"/>
              </w:rPr>
            </w:pPr>
            <w:r>
              <w:rPr>
                <w:sz w:val="20"/>
              </w:rPr>
              <w:t>国寿投资</w:t>
            </w:r>
          </w:p>
        </w:tc>
        <w:tc>
          <w:tcPr>
            <w:tcW w:w="1275" w:type="dxa"/>
            <w:tcBorders>
              <w:top w:val="dotted" w:sz="4" w:space="0" w:color="000000"/>
              <w:left w:val="dotted" w:sz="4" w:space="0" w:color="000000"/>
              <w:bottom w:val="dotted" w:sz="4" w:space="0" w:color="000000"/>
              <w:right w:val="dotted" w:sz="4" w:space="0" w:color="000000"/>
            </w:tcBorders>
          </w:tcPr>
          <w:p>
            <w:pPr>
              <w:pStyle w:val="TableParagraph"/>
              <w:ind w:left="112" w:right="106"/>
              <w:rPr>
                <w:rFonts w:ascii="Arial"/>
                <w:sz w:val="20"/>
              </w:rPr>
            </w:pPr>
            <w:r>
              <w:rPr>
                <w:rFonts w:ascii="Arial"/>
                <w:sz w:val="20"/>
              </w:rPr>
              <w:t>2023.05.12</w:t>
            </w:r>
          </w:p>
        </w:tc>
        <w:tc>
          <w:tcPr>
            <w:tcW w:w="1039" w:type="dxa"/>
            <w:tcBorders>
              <w:top w:val="dotted" w:sz="4" w:space="0" w:color="000000"/>
              <w:left w:val="dotted" w:sz="4" w:space="0" w:color="000000"/>
              <w:bottom w:val="dotted" w:sz="4" w:space="0" w:color="000000"/>
              <w:right w:val="dotted" w:sz="4" w:space="0" w:color="000000"/>
            </w:tcBorders>
          </w:tcPr>
          <w:p>
            <w:pPr>
              <w:pStyle w:val="TableParagraph"/>
              <w:ind w:left="93" w:right="87"/>
              <w:rPr>
                <w:rFonts w:ascii="Arial"/>
                <w:sz w:val="20"/>
              </w:rPr>
            </w:pPr>
            <w:r>
              <w:rPr>
                <w:rFonts w:ascii="Arial"/>
                <w:sz w:val="20"/>
              </w:rPr>
              <w:t>10</w:t>
            </w:r>
          </w:p>
        </w:tc>
        <w:tc>
          <w:tcPr>
            <w:tcW w:w="1040" w:type="dxa"/>
            <w:tcBorders>
              <w:top w:val="dotted" w:sz="4" w:space="0" w:color="000000"/>
              <w:left w:val="dotted" w:sz="4" w:space="0" w:color="000000"/>
              <w:bottom w:val="dotted" w:sz="4" w:space="0" w:color="000000"/>
              <w:right w:val="dotted" w:sz="4" w:space="0" w:color="000000"/>
            </w:tcBorders>
          </w:tcPr>
          <w:p>
            <w:pPr>
              <w:pStyle w:val="TableParagraph"/>
              <w:ind w:left="5"/>
              <w:rPr>
                <w:rFonts w:ascii="Arial"/>
                <w:sz w:val="20"/>
              </w:rPr>
            </w:pPr>
            <w:r>
              <w:rPr>
                <w:rFonts w:ascii="Arial"/>
                <w:w w:val="99"/>
                <w:sz w:val="20"/>
              </w:rPr>
              <w:t>7</w:t>
            </w:r>
          </w:p>
        </w:tc>
      </w:tr>
      <w:tr>
        <w:tblPrEx>
          <w:tblW w:w="0" w:type="auto"/>
          <w:jc w:val="left"/>
          <w:tblInd w:w="193" w:type="dxa"/>
          <w:tblLayout w:type="fixed"/>
          <w:tblCellMar>
            <w:top w:w="0" w:type="dxa"/>
            <w:left w:w="0" w:type="dxa"/>
            <w:bottom w:w="0" w:type="dxa"/>
            <w:right w:w="0" w:type="dxa"/>
          </w:tblCellMar>
          <w:tblLook w:val="01E0"/>
        </w:tblPrEx>
        <w:trPr>
          <w:trHeight w:val="623"/>
          <w:jc w:val="left"/>
        </w:trPr>
        <w:tc>
          <w:tcPr>
            <w:tcW w:w="2268" w:type="dxa"/>
            <w:vMerge/>
            <w:tcBorders>
              <w:top w:val="nil"/>
              <w:left w:val="dotted" w:sz="4" w:space="0" w:color="000000"/>
              <w:bottom w:val="dotted" w:sz="4" w:space="0" w:color="000000"/>
              <w:right w:val="dotted" w:sz="4" w:space="0" w:color="000000"/>
            </w:tcBorders>
          </w:tcPr>
          <w:p>
            <w:pPr>
              <w:rPr>
                <w:sz w:val="2"/>
                <w:szCs w:val="2"/>
              </w:rPr>
            </w:pPr>
          </w:p>
        </w:tc>
        <w:tc>
          <w:tcPr>
            <w:tcW w:w="4536" w:type="dxa"/>
            <w:tcBorders>
              <w:top w:val="dotted" w:sz="4" w:space="0" w:color="000000"/>
              <w:left w:val="dotted" w:sz="4" w:space="0" w:color="000000"/>
              <w:bottom w:val="dotted" w:sz="4" w:space="0" w:color="000000"/>
              <w:right w:val="dotted" w:sz="4" w:space="0" w:color="000000"/>
            </w:tcBorders>
          </w:tcPr>
          <w:p>
            <w:pPr>
              <w:pStyle w:val="TableParagraph"/>
              <w:spacing w:before="185"/>
              <w:ind w:left="111" w:right="104"/>
              <w:rPr>
                <w:sz w:val="20"/>
              </w:rPr>
            </w:pPr>
            <w:r>
              <w:rPr>
                <w:sz w:val="20"/>
              </w:rPr>
              <w:t>国寿投资</w:t>
            </w:r>
            <w:r>
              <w:rPr>
                <w:rFonts w:ascii="Arial" w:eastAsia="Arial"/>
                <w:sz w:val="20"/>
              </w:rPr>
              <w:t>-</w:t>
            </w:r>
            <w:r>
              <w:rPr>
                <w:sz w:val="20"/>
              </w:rPr>
              <w:t>新桂股权投资计划</w:t>
            </w:r>
          </w:p>
        </w:tc>
        <w:tc>
          <w:tcPr>
            <w:tcW w:w="1372" w:type="dxa"/>
            <w:tcBorders>
              <w:top w:val="dotted" w:sz="4" w:space="0" w:color="000000"/>
              <w:left w:val="dotted" w:sz="4" w:space="0" w:color="000000"/>
              <w:bottom w:val="dotted" w:sz="4" w:space="0" w:color="000000"/>
              <w:right w:val="dotted" w:sz="4" w:space="0" w:color="000000"/>
            </w:tcBorders>
          </w:tcPr>
          <w:p>
            <w:pPr>
              <w:pStyle w:val="TableParagraph"/>
              <w:spacing w:before="28"/>
              <w:ind w:left="284"/>
              <w:jc w:val="left"/>
              <w:rPr>
                <w:sz w:val="20"/>
              </w:rPr>
            </w:pPr>
            <w:r>
              <w:rPr>
                <w:w w:val="95"/>
                <w:sz w:val="20"/>
              </w:rPr>
              <w:t>国寿投资</w:t>
            </w:r>
          </w:p>
          <w:p>
            <w:pPr>
              <w:pStyle w:val="TableParagraph"/>
              <w:spacing w:before="56"/>
              <w:ind w:left="284"/>
              <w:jc w:val="left"/>
              <w:rPr>
                <w:sz w:val="20"/>
              </w:rPr>
            </w:pPr>
            <w:r>
              <w:rPr>
                <w:w w:val="95"/>
                <w:sz w:val="20"/>
              </w:rPr>
              <w:t>国寿金石</w:t>
            </w:r>
          </w:p>
        </w:tc>
        <w:tc>
          <w:tcPr>
            <w:tcW w:w="1275" w:type="dxa"/>
            <w:tcBorders>
              <w:top w:val="dotted" w:sz="4" w:space="0" w:color="000000"/>
              <w:left w:val="dotted" w:sz="4" w:space="0" w:color="000000"/>
              <w:bottom w:val="dotted" w:sz="4" w:space="0" w:color="000000"/>
              <w:right w:val="dotted" w:sz="4" w:space="0" w:color="000000"/>
            </w:tcBorders>
          </w:tcPr>
          <w:p>
            <w:pPr>
              <w:pStyle w:val="TableParagraph"/>
              <w:spacing w:before="197"/>
              <w:ind w:left="112" w:right="106"/>
              <w:rPr>
                <w:rFonts w:ascii="Arial"/>
                <w:sz w:val="20"/>
              </w:rPr>
            </w:pPr>
            <w:r>
              <w:rPr>
                <w:rFonts w:ascii="Arial"/>
                <w:sz w:val="20"/>
              </w:rPr>
              <w:t>2023.12.20</w:t>
            </w:r>
          </w:p>
        </w:tc>
        <w:tc>
          <w:tcPr>
            <w:tcW w:w="1039" w:type="dxa"/>
            <w:tcBorders>
              <w:top w:val="dotted" w:sz="4" w:space="0" w:color="000000"/>
              <w:left w:val="dotted" w:sz="4" w:space="0" w:color="000000"/>
              <w:bottom w:val="dotted" w:sz="4" w:space="0" w:color="000000"/>
              <w:right w:val="dotted" w:sz="4" w:space="0" w:color="000000"/>
            </w:tcBorders>
          </w:tcPr>
          <w:p>
            <w:pPr>
              <w:pStyle w:val="TableParagraph"/>
              <w:spacing w:before="197"/>
              <w:ind w:left="11"/>
              <w:rPr>
                <w:rFonts w:ascii="Arial"/>
                <w:sz w:val="20"/>
              </w:rPr>
            </w:pPr>
            <w:r>
              <w:rPr>
                <w:rFonts w:ascii="Arial"/>
                <w:w w:val="99"/>
                <w:sz w:val="20"/>
              </w:rPr>
              <w:t>5</w:t>
            </w:r>
          </w:p>
        </w:tc>
        <w:tc>
          <w:tcPr>
            <w:tcW w:w="1040" w:type="dxa"/>
            <w:tcBorders>
              <w:top w:val="dotted" w:sz="4" w:space="0" w:color="000000"/>
              <w:left w:val="dotted" w:sz="4" w:space="0" w:color="000000"/>
              <w:bottom w:val="dotted" w:sz="4" w:space="0" w:color="000000"/>
              <w:right w:val="dotted" w:sz="4" w:space="0" w:color="000000"/>
            </w:tcBorders>
          </w:tcPr>
          <w:p>
            <w:pPr>
              <w:pStyle w:val="TableParagraph"/>
              <w:spacing w:before="197"/>
              <w:ind w:left="96" w:right="88"/>
              <w:rPr>
                <w:rFonts w:ascii="Arial"/>
                <w:sz w:val="20"/>
              </w:rPr>
            </w:pPr>
            <w:r>
              <w:rPr>
                <w:rFonts w:ascii="Arial"/>
                <w:sz w:val="20"/>
              </w:rPr>
              <w:t>10+5</w:t>
            </w:r>
          </w:p>
        </w:tc>
      </w:tr>
      <w:tr>
        <w:tblPrEx>
          <w:tblW w:w="0" w:type="auto"/>
          <w:jc w:val="left"/>
          <w:tblInd w:w="193" w:type="dxa"/>
          <w:tblLayout w:type="fixed"/>
          <w:tblCellMar>
            <w:top w:w="0" w:type="dxa"/>
            <w:left w:w="0" w:type="dxa"/>
            <w:bottom w:w="0" w:type="dxa"/>
            <w:right w:w="0" w:type="dxa"/>
          </w:tblCellMar>
          <w:tblLook w:val="01E0"/>
        </w:tblPrEx>
        <w:trPr>
          <w:trHeight w:val="311"/>
          <w:jc w:val="left"/>
        </w:trPr>
        <w:tc>
          <w:tcPr>
            <w:tcW w:w="2268" w:type="dxa"/>
            <w:tcBorders>
              <w:top w:val="dotted" w:sz="4" w:space="0" w:color="000000"/>
              <w:left w:val="dotted" w:sz="4" w:space="0" w:color="000000"/>
              <w:right w:val="dotted" w:sz="4" w:space="0" w:color="000000"/>
            </w:tcBorders>
            <w:shd w:val="clear" w:color="auto" w:fill="F0F0F0"/>
          </w:tcPr>
          <w:p>
            <w:pPr>
              <w:pStyle w:val="TableParagraph"/>
              <w:spacing w:before="28"/>
              <w:ind w:left="112" w:right="105"/>
              <w:rPr>
                <w:sz w:val="20"/>
              </w:rPr>
            </w:pPr>
            <w:r>
              <w:rPr>
                <w:sz w:val="20"/>
              </w:rPr>
              <w:t>太平人寿保险有限公司</w:t>
            </w:r>
          </w:p>
        </w:tc>
        <w:tc>
          <w:tcPr>
            <w:tcW w:w="4536" w:type="dxa"/>
            <w:tcBorders>
              <w:top w:val="dotted" w:sz="4" w:space="0" w:color="000000"/>
              <w:left w:val="dotted" w:sz="4" w:space="0" w:color="000000"/>
              <w:right w:val="dotted" w:sz="4" w:space="0" w:color="000000"/>
            </w:tcBorders>
            <w:shd w:val="clear" w:color="auto" w:fill="F0F0F0"/>
          </w:tcPr>
          <w:p>
            <w:pPr>
              <w:pStyle w:val="TableParagraph"/>
              <w:spacing w:before="28"/>
              <w:ind w:left="114" w:right="104"/>
              <w:rPr>
                <w:sz w:val="20"/>
              </w:rPr>
            </w:pPr>
            <w:r>
              <w:rPr>
                <w:sz w:val="20"/>
              </w:rPr>
              <w:t>太平</w:t>
            </w:r>
            <w:r>
              <w:rPr>
                <w:rFonts w:ascii="Arial" w:eastAsia="Arial"/>
                <w:sz w:val="20"/>
              </w:rPr>
              <w:t>-</w:t>
            </w:r>
            <w:r>
              <w:rPr>
                <w:sz w:val="20"/>
              </w:rPr>
              <w:t>青海产投供给侧改革产业基金股权投资计划</w:t>
            </w:r>
          </w:p>
        </w:tc>
        <w:tc>
          <w:tcPr>
            <w:tcW w:w="1372" w:type="dxa"/>
            <w:tcBorders>
              <w:top w:val="dotted" w:sz="4" w:space="0" w:color="000000"/>
              <w:left w:val="dotted" w:sz="4" w:space="0" w:color="000000"/>
              <w:right w:val="dotted" w:sz="4" w:space="0" w:color="000000"/>
            </w:tcBorders>
            <w:shd w:val="clear" w:color="auto" w:fill="F0F0F0"/>
          </w:tcPr>
          <w:p>
            <w:pPr>
              <w:pStyle w:val="TableParagraph"/>
              <w:spacing w:before="28"/>
              <w:ind w:left="132" w:right="126"/>
              <w:rPr>
                <w:sz w:val="20"/>
              </w:rPr>
            </w:pPr>
            <w:r>
              <w:rPr>
                <w:sz w:val="20"/>
              </w:rPr>
              <w:t>太平资产</w:t>
            </w:r>
          </w:p>
        </w:tc>
        <w:tc>
          <w:tcPr>
            <w:tcW w:w="1275" w:type="dxa"/>
            <w:tcBorders>
              <w:top w:val="dotted" w:sz="4" w:space="0" w:color="000000"/>
              <w:left w:val="dotted" w:sz="4" w:space="0" w:color="000000"/>
              <w:right w:val="dotted" w:sz="4" w:space="0" w:color="000000"/>
            </w:tcBorders>
            <w:shd w:val="clear" w:color="auto" w:fill="F0F0F0"/>
          </w:tcPr>
          <w:p>
            <w:pPr>
              <w:pStyle w:val="TableParagraph"/>
              <w:spacing w:before="40"/>
              <w:ind w:left="112" w:right="106"/>
              <w:rPr>
                <w:rFonts w:ascii="Arial"/>
                <w:sz w:val="20"/>
              </w:rPr>
            </w:pPr>
            <w:r>
              <w:rPr>
                <w:rFonts w:ascii="Arial"/>
                <w:sz w:val="20"/>
              </w:rPr>
              <w:t>2023.11.30</w:t>
            </w:r>
          </w:p>
        </w:tc>
        <w:tc>
          <w:tcPr>
            <w:tcW w:w="1039" w:type="dxa"/>
            <w:tcBorders>
              <w:top w:val="dotted" w:sz="4" w:space="0" w:color="000000"/>
              <w:left w:val="dotted" w:sz="4" w:space="0" w:color="000000"/>
              <w:right w:val="dotted" w:sz="4" w:space="0" w:color="000000"/>
            </w:tcBorders>
            <w:shd w:val="clear" w:color="auto" w:fill="F0F0F0"/>
          </w:tcPr>
          <w:p>
            <w:pPr>
              <w:pStyle w:val="TableParagraph"/>
              <w:spacing w:before="40"/>
              <w:ind w:left="95" w:right="87"/>
              <w:rPr>
                <w:rFonts w:ascii="Arial"/>
                <w:sz w:val="20"/>
              </w:rPr>
            </w:pPr>
            <w:r>
              <w:rPr>
                <w:rFonts w:ascii="Arial"/>
                <w:sz w:val="20"/>
              </w:rPr>
              <w:t>0.02</w:t>
            </w:r>
          </w:p>
        </w:tc>
        <w:tc>
          <w:tcPr>
            <w:tcW w:w="1040" w:type="dxa"/>
            <w:tcBorders>
              <w:top w:val="dotted" w:sz="4" w:space="0" w:color="000000"/>
              <w:left w:val="dotted" w:sz="4" w:space="0" w:color="000000"/>
              <w:right w:val="dotted" w:sz="4" w:space="0" w:color="000000"/>
            </w:tcBorders>
            <w:shd w:val="clear" w:color="auto" w:fill="F0F0F0"/>
          </w:tcPr>
          <w:p>
            <w:pPr>
              <w:pStyle w:val="TableParagraph"/>
              <w:spacing w:before="40"/>
              <w:ind w:left="96" w:right="88"/>
              <w:rPr>
                <w:rFonts w:ascii="Arial"/>
                <w:sz w:val="20"/>
              </w:rPr>
            </w:pPr>
            <w:r>
              <w:rPr>
                <w:rFonts w:ascii="Arial"/>
                <w:sz w:val="20"/>
              </w:rPr>
              <w:t>1.58</w:t>
            </w:r>
          </w:p>
        </w:tc>
      </w:tr>
    </w:tbl>
    <w:p>
      <w:pPr>
        <w:spacing w:before="41"/>
        <w:ind w:left="295" w:right="0" w:firstLine="0"/>
        <w:jc w:val="left"/>
        <w:rPr>
          <w:sz w:val="18"/>
        </w:rPr>
      </w:pPr>
      <w:r>
        <w:t xml:space="preserve">资料来源：各保险公司官网， </w:t>
      </w:r>
    </w:p>
    <w:p>
      <w:pPr>
        <w:pStyle w:val="BodyText"/>
        <w:rPr>
          <w:sz w:val="20"/>
        </w:rPr>
      </w:pPr>
    </w:p>
    <w:p>
      <w:pPr>
        <w:pStyle w:val="BodyText"/>
        <w:rPr>
          <w:sz w:val="20"/>
        </w:rPr>
      </w:pPr>
    </w:p>
    <w:p>
      <w:pPr>
        <w:pStyle w:val="Heading3"/>
        <w:numPr>
          <w:ilvl w:val="2"/>
          <w:numId w:val="10"/>
        </w:numPr>
        <w:tabs>
          <w:tab w:val="left" w:pos="1736"/>
        </w:tabs>
        <w:spacing w:before="77" w:after="0" w:line="240" w:lineRule="auto"/>
        <w:ind w:left="1735" w:right="0" w:hanging="604"/>
        <w:jc w:val="left"/>
      </w:pPr>
      <w:r>
        <w:t>资产支持计划</w:t>
      </w:r>
    </w:p>
    <w:p>
      <w:pPr>
        <w:pStyle w:val="BodyText"/>
        <w:spacing w:before="9"/>
        <w:rPr>
          <w:b/>
          <w:sz w:val="19"/>
        </w:rPr>
      </w:pPr>
    </w:p>
    <w:p>
      <w:pPr>
        <w:pStyle w:val="BodyText"/>
        <w:spacing w:line="266" w:lineRule="auto"/>
        <w:ind w:left="1132" w:right="1089" w:firstLine="441"/>
        <w:jc w:val="both"/>
      </w:pPr>
      <w:r>
        <w:rPr>
          <w:spacing w:val="-6"/>
        </w:rPr>
        <w:t>资产支持计划是指保险资产管理公司作为管理人，向投资人发售标准化产品份额，募集资金，由</w:t>
      </w:r>
      <w:r>
        <w:rPr>
          <w:spacing w:val="-3"/>
        </w:rPr>
        <w:t>托管机构担任资产托管人，投资于缺乏流动性但具有可预测现金流的资产或资产组合（</w:t>
      </w:r>
      <w:r>
        <w:rPr>
          <w:spacing w:val="-1"/>
        </w:rPr>
        <w:t>基础资产</w:t>
      </w:r>
      <w:r>
        <w:t xml:space="preserve">）， </w:t>
      </w:r>
      <w:r>
        <w:rPr>
          <w:spacing w:val="-3"/>
        </w:rPr>
        <w:t>并以该基础资产产生的现金流作为还款支持的金融产品。</w:t>
      </w:r>
    </w:p>
    <w:p>
      <w:pPr>
        <w:pStyle w:val="Heading4"/>
        <w:spacing w:before="154"/>
        <w:jc w:val="both"/>
      </w:pPr>
      <w:r>
        <w:t>（</w:t>
      </w:r>
      <w:r>
        <w:rPr>
          <w:rFonts w:ascii="Arial" w:eastAsia="Arial"/>
        </w:rPr>
        <w:t>1</w:t>
      </w:r>
      <w:r>
        <w:t>）</w:t>
      </w:r>
      <w:r>
        <w:rPr>
          <w:rFonts w:ascii="Arial" w:eastAsia="Arial"/>
        </w:rPr>
        <w:t xml:space="preserve">2023 </w:t>
      </w:r>
      <w:r>
        <w:t>年资产支持计划登记情况</w:t>
      </w:r>
    </w:p>
    <w:p>
      <w:pPr>
        <w:pStyle w:val="BodyText"/>
        <w:spacing w:before="186"/>
        <w:ind w:right="1040"/>
        <w:jc w:val="right"/>
      </w:pPr>
      <w:r>
        <w:t>根据中保登披露的信息，</w:t>
      </w:r>
      <w:r>
        <w:rPr>
          <w:rFonts w:ascii="Arial" w:eastAsia="Arial"/>
        </w:rPr>
        <w:t xml:space="preserve">2023 </w:t>
      </w:r>
      <w:r>
        <w:t xml:space="preserve">年共登记通过 </w:t>
      </w:r>
      <w:r>
        <w:rPr>
          <w:rFonts w:ascii="Arial" w:eastAsia="Arial"/>
        </w:rPr>
        <w:t xml:space="preserve">93 </w:t>
      </w:r>
      <w:r>
        <w:t xml:space="preserve">项资产支持计划，登记规模总计 </w:t>
      </w:r>
      <w:r>
        <w:rPr>
          <w:rFonts w:ascii="Arial" w:eastAsia="Arial"/>
        </w:rPr>
        <w:t xml:space="preserve">4595.74 </w:t>
      </w:r>
      <w:r>
        <w:t>亿元，</w:t>
      </w:r>
    </w:p>
    <w:p>
      <w:pPr>
        <w:pStyle w:val="BodyText"/>
        <w:spacing w:before="30"/>
        <w:ind w:right="1123"/>
        <w:jc w:val="right"/>
      </w:pPr>
      <w:r>
        <w:rPr>
          <w:spacing w:val="-26"/>
        </w:rPr>
        <w:t xml:space="preserve">较 </w:t>
      </w:r>
      <w:r>
        <w:rPr>
          <w:rFonts w:ascii="Arial" w:eastAsia="Arial"/>
        </w:rPr>
        <w:t>2022</w:t>
      </w:r>
      <w:r>
        <w:rPr>
          <w:rFonts w:ascii="Arial" w:eastAsia="Arial"/>
          <w:spacing w:val="-4"/>
        </w:rPr>
        <w:t xml:space="preserve"> </w:t>
      </w:r>
      <w:r>
        <w:rPr>
          <w:spacing w:val="-7"/>
        </w:rPr>
        <w:t>年同期</w:t>
      </w:r>
      <w:r>
        <w:t>（</w:t>
      </w:r>
      <w:r>
        <w:rPr>
          <w:rFonts w:ascii="Arial" w:eastAsia="Arial"/>
        </w:rPr>
        <w:t>65</w:t>
      </w:r>
      <w:r>
        <w:rPr>
          <w:rFonts w:ascii="Arial" w:eastAsia="Arial"/>
          <w:spacing w:val="-5"/>
        </w:rPr>
        <w:t xml:space="preserve"> </w:t>
      </w:r>
      <w:r>
        <w:rPr>
          <w:spacing w:val="-9"/>
        </w:rPr>
        <w:t xml:space="preserve">项资产支持计划、注册规模 </w:t>
      </w:r>
      <w:r>
        <w:rPr>
          <w:rFonts w:ascii="Arial" w:eastAsia="Arial"/>
        </w:rPr>
        <w:t>3044.93</w:t>
      </w:r>
      <w:r>
        <w:rPr>
          <w:rFonts w:ascii="Arial" w:eastAsia="Arial"/>
          <w:spacing w:val="-4"/>
        </w:rPr>
        <w:t xml:space="preserve"> </w:t>
      </w:r>
      <w:r>
        <w:rPr>
          <w:spacing w:val="-2"/>
        </w:rPr>
        <w:t>亿元</w:t>
      </w:r>
      <w:r>
        <w:rPr>
          <w:spacing w:val="-19"/>
        </w:rPr>
        <w:t>）</w:t>
      </w:r>
      <w:r>
        <w:rPr>
          <w:spacing w:val="-6"/>
        </w:rPr>
        <w:t>，数量和规模均实现大幅提升，涨幅</w:t>
      </w:r>
    </w:p>
    <w:p>
      <w:pPr>
        <w:pStyle w:val="BodyText"/>
        <w:spacing w:before="30"/>
        <w:ind w:right="1125"/>
        <w:jc w:val="right"/>
      </w:pPr>
      <w:r>
        <w:rPr>
          <w:spacing w:val="-12"/>
        </w:rPr>
        <w:t xml:space="preserve">分别达 </w:t>
      </w:r>
      <w:r>
        <w:rPr>
          <w:rFonts w:ascii="Arial" w:eastAsia="Arial"/>
        </w:rPr>
        <w:t>43.08%</w:t>
      </w:r>
      <w:r>
        <w:rPr>
          <w:spacing w:val="-25"/>
        </w:rPr>
        <w:t xml:space="preserve">和 </w:t>
      </w:r>
      <w:r>
        <w:rPr>
          <w:rFonts w:ascii="Arial" w:eastAsia="Arial"/>
        </w:rPr>
        <w:t>50.93%</w:t>
      </w:r>
      <w:r>
        <w:rPr>
          <w:spacing w:val="-4"/>
        </w:rPr>
        <w:t xml:space="preserve">。其中登记规模百亿的有 </w:t>
      </w:r>
      <w:r>
        <w:rPr>
          <w:rFonts w:ascii="Arial" w:eastAsia="Arial"/>
        </w:rPr>
        <w:t>6</w:t>
      </w:r>
      <w:r>
        <w:rPr>
          <w:rFonts w:ascii="Arial" w:eastAsia="Arial"/>
          <w:spacing w:val="2"/>
        </w:rPr>
        <w:t xml:space="preserve"> </w:t>
      </w:r>
      <w:r>
        <w:t>项，为百年资管</w:t>
      </w:r>
      <w:r>
        <w:rPr>
          <w:rFonts w:ascii="Arial" w:eastAsia="Arial"/>
          <w:spacing w:val="3"/>
        </w:rPr>
        <w:t>-</w:t>
      </w:r>
      <w:r>
        <w:rPr>
          <w:spacing w:val="-16"/>
        </w:rPr>
        <w:t xml:space="preserve">臻享 </w:t>
      </w:r>
      <w:r>
        <w:rPr>
          <w:rFonts w:ascii="Arial" w:eastAsia="Arial"/>
        </w:rPr>
        <w:t xml:space="preserve">2022 </w:t>
      </w:r>
      <w:r>
        <w:rPr>
          <w:spacing w:val="-23"/>
        </w:rPr>
        <w:t xml:space="preserve">第 </w:t>
      </w:r>
      <w:r>
        <w:rPr>
          <w:rFonts w:ascii="Arial" w:eastAsia="Arial"/>
        </w:rPr>
        <w:t>1</w:t>
      </w:r>
      <w:r>
        <w:rPr>
          <w:rFonts w:ascii="Arial" w:eastAsia="Arial"/>
          <w:spacing w:val="2"/>
        </w:rPr>
        <w:t xml:space="preserve"> </w:t>
      </w:r>
      <w:r>
        <w:t>号资产支持计</w:t>
      </w:r>
    </w:p>
    <w:p>
      <w:pPr>
        <w:pStyle w:val="BodyText"/>
        <w:spacing w:before="30"/>
        <w:ind w:right="1125"/>
        <w:jc w:val="right"/>
      </w:pPr>
      <w:r>
        <w:rPr>
          <w:spacing w:val="-3"/>
        </w:rPr>
        <w:t>划、华泰</w:t>
      </w:r>
      <w:r>
        <w:rPr>
          <w:rFonts w:ascii="Arial" w:eastAsia="Arial"/>
        </w:rPr>
        <w:t>-</w:t>
      </w:r>
      <w:r>
        <w:rPr>
          <w:spacing w:val="-18"/>
        </w:rPr>
        <w:t xml:space="preserve">建隆 </w:t>
      </w:r>
      <w:r>
        <w:rPr>
          <w:rFonts w:ascii="Arial" w:eastAsia="Arial"/>
        </w:rPr>
        <w:t>1</w:t>
      </w:r>
      <w:r>
        <w:rPr>
          <w:rFonts w:ascii="Arial" w:eastAsia="Arial"/>
          <w:spacing w:val="-7"/>
        </w:rPr>
        <w:t xml:space="preserve"> </w:t>
      </w:r>
      <w:r>
        <w:rPr>
          <w:spacing w:val="-4"/>
        </w:rPr>
        <w:t>号资产支持计划、华泰</w:t>
      </w:r>
      <w:r>
        <w:rPr>
          <w:rFonts w:ascii="Arial" w:eastAsia="Arial"/>
        </w:rPr>
        <w:t>-</w:t>
      </w:r>
      <w:r>
        <w:rPr>
          <w:spacing w:val="-19"/>
        </w:rPr>
        <w:t xml:space="preserve">润泰 </w:t>
      </w:r>
      <w:r>
        <w:rPr>
          <w:rFonts w:ascii="Arial" w:eastAsia="Arial"/>
        </w:rPr>
        <w:t>2023</w:t>
      </w:r>
      <w:r>
        <w:rPr>
          <w:rFonts w:ascii="Arial" w:eastAsia="Arial"/>
          <w:spacing w:val="-5"/>
        </w:rPr>
        <w:t xml:space="preserve"> </w:t>
      </w:r>
      <w:r>
        <w:rPr>
          <w:spacing w:val="-27"/>
        </w:rPr>
        <w:t xml:space="preserve">第 </w:t>
      </w:r>
      <w:r>
        <w:rPr>
          <w:rFonts w:ascii="Arial" w:eastAsia="Arial"/>
        </w:rPr>
        <w:t>1</w:t>
      </w:r>
      <w:r>
        <w:rPr>
          <w:rFonts w:ascii="Arial" w:eastAsia="Arial"/>
          <w:spacing w:val="-5"/>
        </w:rPr>
        <w:t xml:space="preserve"> </w:t>
      </w:r>
      <w:r>
        <w:rPr>
          <w:spacing w:val="-4"/>
        </w:rPr>
        <w:t>号资产支持计划、大家</w:t>
      </w:r>
      <w:r>
        <w:rPr>
          <w:rFonts w:ascii="Arial" w:eastAsia="Arial"/>
        </w:rPr>
        <w:t>-</w:t>
      </w:r>
      <w:r>
        <w:rPr>
          <w:spacing w:val="-19"/>
        </w:rPr>
        <w:t xml:space="preserve">安心 </w:t>
      </w:r>
      <w:r>
        <w:rPr>
          <w:rFonts w:ascii="Arial" w:eastAsia="Arial"/>
        </w:rPr>
        <w:t>2</w:t>
      </w:r>
      <w:r>
        <w:rPr>
          <w:rFonts w:ascii="Arial" w:eastAsia="Arial"/>
          <w:spacing w:val="-6"/>
        </w:rPr>
        <w:t xml:space="preserve"> </w:t>
      </w:r>
      <w:r>
        <w:rPr>
          <w:spacing w:val="-2"/>
        </w:rPr>
        <w:t>号资产支持计</w:t>
      </w:r>
    </w:p>
    <w:p>
      <w:pPr>
        <w:pStyle w:val="BodyText"/>
        <w:spacing w:before="30"/>
        <w:ind w:right="1017"/>
        <w:jc w:val="right"/>
      </w:pPr>
      <w:r>
        <w:t>划、建信保险资管</w:t>
      </w:r>
      <w:r>
        <w:rPr>
          <w:rFonts w:ascii="Arial" w:eastAsia="Arial"/>
        </w:rPr>
        <w:t>-</w:t>
      </w:r>
      <w:r>
        <w:t xml:space="preserve">浦江惠商 </w:t>
      </w:r>
      <w:r>
        <w:rPr>
          <w:rFonts w:ascii="Arial" w:eastAsia="Arial"/>
        </w:rPr>
        <w:t xml:space="preserve">1 </w:t>
      </w:r>
      <w:r>
        <w:t>号资产支持计划、国寿投资</w:t>
      </w:r>
      <w:r>
        <w:rPr>
          <w:rFonts w:ascii="Arial" w:eastAsia="Arial"/>
        </w:rPr>
        <w:t>-</w:t>
      </w:r>
      <w:r>
        <w:t>拓商资产支持计划，分别由百年保险资管、</w:t>
      </w:r>
    </w:p>
    <w:p>
      <w:pPr>
        <w:pStyle w:val="BodyText"/>
        <w:spacing w:before="31"/>
        <w:ind w:left="1132"/>
      </w:pPr>
      <w:r>
        <w:t xml:space="preserve">华泰资管、大家资管、建信保险资管、国寿投资这 </w:t>
      </w:r>
      <w:r>
        <w:rPr>
          <w:rFonts w:ascii="Arial" w:eastAsia="Arial"/>
        </w:rPr>
        <w:t xml:space="preserve">5 </w:t>
      </w:r>
      <w:r>
        <w:t>家担任受托管理人。</w:t>
      </w:r>
    </w:p>
    <w:p>
      <w:pPr>
        <w:pStyle w:val="BodyText"/>
        <w:spacing w:before="186" w:line="266" w:lineRule="auto"/>
        <w:ind w:left="1132" w:right="1120" w:firstLine="441"/>
        <w:jc w:val="both"/>
      </w:pPr>
      <w:r>
        <w:rPr>
          <w:rFonts w:ascii="Arial" w:eastAsia="Arial"/>
        </w:rPr>
        <w:t xml:space="preserve">2012 </w:t>
      </w:r>
      <w:r>
        <w:t>年《关于保险资金投资有关金融产品的通知》允许险资投资保险资管公司发行的项目资产</w:t>
      </w:r>
      <w:r>
        <w:rPr>
          <w:spacing w:val="-7"/>
        </w:rPr>
        <w:t>支持计划，拉开了险资入局资产支持计划领域的帷幕。随着配套政策的逐步出台，险资的资产支持计划走上正轨，</w:t>
      </w:r>
      <w:r>
        <w:rPr>
          <w:rFonts w:ascii="Arial" w:eastAsia="Arial"/>
          <w:spacing w:val="-7"/>
        </w:rPr>
        <w:t xml:space="preserve">2019 </w:t>
      </w:r>
      <w:r>
        <w:t>年，银保监会发文宣布资产支持计划将实行注册制（《中国银保监会办公厅关于</w:t>
      </w:r>
      <w:r>
        <w:rPr>
          <w:spacing w:val="-4"/>
        </w:rPr>
        <w:t>资产支持计划注册有关事项的通知》</w:t>
      </w:r>
      <w:r>
        <w:rPr>
          <w:spacing w:val="-12"/>
        </w:rPr>
        <w:t>）</w:t>
      </w:r>
      <w:r>
        <w:rPr>
          <w:spacing w:val="-5"/>
        </w:rPr>
        <w:t>，并由中保保险资产登记交易系统有限公司具体办理，为了进一步促进其发展，</w:t>
      </w:r>
      <w:r>
        <w:rPr>
          <w:rFonts w:ascii="Arial" w:eastAsia="Arial"/>
          <w:spacing w:val="-5"/>
        </w:rPr>
        <w:t xml:space="preserve">2021 </w:t>
      </w:r>
      <w:r>
        <w:t>年，将资产支持计划由注册制改为登记制（《关于资产支持计划和保险私募</w:t>
      </w:r>
      <w:r>
        <w:rPr>
          <w:spacing w:val="-4"/>
        </w:rPr>
        <w:t>基金登记有关事项的通知》</w:t>
      </w:r>
      <w:r>
        <w:rPr>
          <w:spacing w:val="-10"/>
        </w:rPr>
        <w:t>），</w:t>
      </w:r>
      <w:r>
        <w:rPr>
          <w:spacing w:val="-5"/>
        </w:rPr>
        <w:t>大大提高了发行效率。在制度松绑的助推下，资产支持计划迎来了爆</w:t>
      </w:r>
      <w:r>
        <w:rPr>
          <w:spacing w:val="-4"/>
        </w:rPr>
        <w:t>发式增长，</w:t>
      </w:r>
      <w:r>
        <w:rPr>
          <w:rFonts w:ascii="Arial" w:eastAsia="Arial"/>
        </w:rPr>
        <w:t xml:space="preserve">2021 </w:t>
      </w:r>
      <w:r>
        <w:rPr>
          <w:spacing w:val="-2"/>
        </w:rPr>
        <w:t>年就突破了千亿元大关，</w:t>
      </w:r>
      <w:r>
        <w:rPr>
          <w:rFonts w:ascii="Arial" w:eastAsia="Arial"/>
        </w:rPr>
        <w:t xml:space="preserve">2022 </w:t>
      </w:r>
      <w:r>
        <w:rPr>
          <w:spacing w:val="-15"/>
        </w:rPr>
        <w:t xml:space="preserve">年突破 </w:t>
      </w:r>
      <w:r>
        <w:rPr>
          <w:rFonts w:ascii="Arial" w:eastAsia="Arial"/>
        </w:rPr>
        <w:t xml:space="preserve">3000 </w:t>
      </w:r>
      <w:r>
        <w:rPr>
          <w:spacing w:val="-2"/>
        </w:rPr>
        <w:t>亿元，</w:t>
      </w:r>
      <w:r>
        <w:rPr>
          <w:rFonts w:ascii="Arial" w:eastAsia="Arial"/>
        </w:rPr>
        <w:t xml:space="preserve">2023 </w:t>
      </w:r>
      <w:r>
        <w:rPr>
          <w:spacing w:val="-14"/>
        </w:rPr>
        <w:t xml:space="preserve">年突破 </w:t>
      </w:r>
      <w:r>
        <w:rPr>
          <w:rFonts w:ascii="Arial" w:eastAsia="Arial"/>
        </w:rPr>
        <w:t xml:space="preserve">4000 </w:t>
      </w:r>
      <w:r>
        <w:rPr>
          <w:spacing w:val="-3"/>
        </w:rPr>
        <w:t>亿元。究其原</w:t>
      </w:r>
      <w:r>
        <w:rPr>
          <w:spacing w:val="-7"/>
        </w:rPr>
        <w:t>因，如今正处于从高速度发展向高质量发展转变的关键时期，而盘活缺乏流动性的存量优质资产至关</w:t>
      </w:r>
    </w:p>
    <w:p>
      <w:pPr>
        <w:spacing w:after="0" w:line="266" w:lineRule="auto"/>
        <w:jc w:val="both"/>
        <w:sectPr>
          <w:headerReference w:type="default" r:id="rId50"/>
          <w:footerReference w:type="default" r:id="rId51"/>
          <w:pgSz w:w="11910" w:h="16840"/>
          <w:pgMar w:top="1280" w:right="0" w:bottom="1000" w:left="0" w:header="708" w:footer="708"/>
          <w:pgNumType w:start="18"/>
          <w:cols w:space="708"/>
        </w:sectPr>
      </w:pPr>
    </w:p>
    <w:p>
      <w:pPr>
        <w:pStyle w:val="BodyText"/>
        <w:spacing w:before="72" w:line="266" w:lineRule="auto"/>
        <w:ind w:left="1132" w:right="1130"/>
        <w:jc w:val="both"/>
      </w:pPr>
      <w:r>
        <w:rPr>
          <w:spacing w:val="-7"/>
        </w:rPr>
        <w:t>重要，因此资产证券化的需求大大增加，面对不同类型的资产证券化产品，险资的资产支持计划有其独到的优势，首先，险资的长期属性与存量资产本身的长期融资需求较为吻合，其次，保险资管在资</w:t>
      </w:r>
      <w:r>
        <w:rPr>
          <w:spacing w:val="-3"/>
        </w:rPr>
        <w:t>产配置领域深耕多年，具备相对强大的专业管理能力。</w:t>
      </w:r>
    </w:p>
    <w:p>
      <w:pPr>
        <w:pStyle w:val="BodyText"/>
        <w:spacing w:before="154" w:line="266" w:lineRule="auto"/>
        <w:ind w:left="1132" w:right="1127" w:firstLine="441"/>
      </w:pPr>
      <w:r>
        <w:rPr>
          <w:spacing w:val="-4"/>
        </w:rPr>
        <w:t>就受托管理人维度而言，</w:t>
      </w:r>
      <w:r>
        <w:rPr>
          <w:rFonts w:ascii="Arial" w:eastAsia="Arial"/>
          <w:spacing w:val="-5"/>
        </w:rPr>
        <w:t>2023</w:t>
      </w:r>
      <w:r>
        <w:rPr>
          <w:rFonts w:ascii="Arial" w:eastAsia="Arial"/>
          <w:spacing w:val="-3"/>
        </w:rPr>
        <w:t xml:space="preserve"> </w:t>
      </w:r>
      <w:r>
        <w:rPr>
          <w:spacing w:val="-9"/>
        </w:rPr>
        <w:t xml:space="preserve">年全年，在登记资产支持计划的 </w:t>
      </w:r>
      <w:r>
        <w:rPr>
          <w:rFonts w:ascii="Arial" w:eastAsia="Arial"/>
        </w:rPr>
        <w:t>15</w:t>
      </w:r>
      <w:r>
        <w:rPr>
          <w:rFonts w:ascii="Arial" w:eastAsia="Arial"/>
          <w:spacing w:val="-2"/>
        </w:rPr>
        <w:t xml:space="preserve"> </w:t>
      </w:r>
      <w:r>
        <w:rPr>
          <w:spacing w:val="-6"/>
        </w:rPr>
        <w:t>家管理人中，华泰资产管理有</w:t>
      </w:r>
      <w:r>
        <w:rPr>
          <w:spacing w:val="-8"/>
        </w:rPr>
        <w:t xml:space="preserve">限公司和光大永明资产管理股份有限公司以 </w:t>
      </w:r>
      <w:r>
        <w:rPr>
          <w:rFonts w:ascii="Arial" w:eastAsia="Arial"/>
        </w:rPr>
        <w:t>565</w:t>
      </w:r>
      <w:r>
        <w:rPr>
          <w:rFonts w:ascii="Arial" w:eastAsia="Arial"/>
          <w:spacing w:val="17"/>
        </w:rPr>
        <w:t xml:space="preserve"> </w:t>
      </w:r>
      <w:r>
        <w:rPr>
          <w:spacing w:val="-9"/>
        </w:rPr>
        <w:t xml:space="preserve">亿元和 </w:t>
      </w:r>
      <w:r>
        <w:rPr>
          <w:rFonts w:ascii="Arial" w:eastAsia="Arial"/>
        </w:rPr>
        <w:t>505</w:t>
      </w:r>
      <w:r>
        <w:rPr>
          <w:rFonts w:ascii="Arial" w:eastAsia="Arial"/>
          <w:spacing w:val="17"/>
        </w:rPr>
        <w:t xml:space="preserve"> </w:t>
      </w:r>
      <w:r>
        <w:t>亿元的总登记规模高居榜首和第二，分</w:t>
      </w:r>
    </w:p>
    <w:p>
      <w:pPr>
        <w:pStyle w:val="BodyText"/>
        <w:spacing w:line="280" w:lineRule="exact"/>
        <w:ind w:left="1132"/>
      </w:pPr>
      <w:r>
        <w:rPr>
          <w:spacing w:val="-13"/>
        </w:rPr>
        <w:t xml:space="preserve">别登记了 </w:t>
      </w:r>
      <w:r>
        <w:rPr>
          <w:rFonts w:ascii="Arial" w:eastAsia="Arial"/>
        </w:rPr>
        <w:t>11</w:t>
      </w:r>
      <w:r>
        <w:rPr>
          <w:rFonts w:ascii="Arial" w:eastAsia="Arial"/>
          <w:spacing w:val="-4"/>
        </w:rPr>
        <w:t xml:space="preserve"> </w:t>
      </w:r>
      <w:r>
        <w:rPr>
          <w:spacing w:val="-19"/>
        </w:rPr>
        <w:t xml:space="preserve">项和 </w:t>
      </w:r>
      <w:r>
        <w:rPr>
          <w:rFonts w:ascii="Arial" w:eastAsia="Arial"/>
        </w:rPr>
        <w:t>9</w:t>
      </w:r>
      <w:r>
        <w:rPr>
          <w:rFonts w:ascii="Arial" w:eastAsia="Arial"/>
          <w:spacing w:val="-5"/>
        </w:rPr>
        <w:t xml:space="preserve"> </w:t>
      </w:r>
      <w:r>
        <w:rPr>
          <w:spacing w:val="-6"/>
        </w:rPr>
        <w:t xml:space="preserve">项资产支持计划，民生通惠资产管理有限公司紧随其后，以 </w:t>
      </w:r>
      <w:r>
        <w:rPr>
          <w:rFonts w:ascii="Arial" w:eastAsia="Arial"/>
        </w:rPr>
        <w:t>491</w:t>
      </w:r>
      <w:r>
        <w:rPr>
          <w:rFonts w:ascii="Arial" w:eastAsia="Arial"/>
          <w:spacing w:val="-4"/>
        </w:rPr>
        <w:t xml:space="preserve"> </w:t>
      </w:r>
      <w:r>
        <w:rPr>
          <w:spacing w:val="-3"/>
        </w:rPr>
        <w:t>亿元的总登记规</w:t>
      </w:r>
    </w:p>
    <w:p>
      <w:pPr>
        <w:pStyle w:val="BodyText"/>
        <w:spacing w:before="30"/>
        <w:ind w:left="1132"/>
      </w:pPr>
      <w:r>
        <w:t xml:space="preserve">模位居第三，但单就登记项目数量而言，民生通惠资产管理有限公司以 </w:t>
      </w:r>
      <w:r>
        <w:rPr>
          <w:rFonts w:ascii="Arial" w:eastAsia="Arial"/>
        </w:rPr>
        <w:t xml:space="preserve">12 </w:t>
      </w:r>
      <w:r>
        <w:t>项独占鳌头。</w:t>
      </w:r>
    </w:p>
    <w:p>
      <w:pPr>
        <w:tabs>
          <w:tab w:val="left" w:pos="1387"/>
          <w:tab w:val="left" w:pos="6088"/>
          <w:tab w:val="left" w:pos="6760"/>
        </w:tabs>
        <w:spacing w:before="196" w:after="13"/>
        <w:ind w:left="715" w:right="0" w:firstLine="0"/>
        <w:jc w:val="left"/>
        <w:rPr>
          <w:sz w:val="20"/>
        </w:rPr>
      </w:pPr>
      <w:r>
        <w:rPr>
          <w:sz w:val="20"/>
        </w:rPr>
        <w:t>图</w:t>
      </w:r>
      <w:r>
        <w:rPr>
          <w:spacing w:val="-51"/>
          <w:sz w:val="20"/>
        </w:rPr>
        <w:t xml:space="preserve"> </w:t>
      </w:r>
      <w:r>
        <w:rPr>
          <w:rFonts w:ascii="Arial" w:eastAsia="Arial"/>
          <w:sz w:val="20"/>
        </w:rPr>
        <w:t>13</w:t>
        <w:tab/>
        <w:t>2019</w:t>
      </w:r>
      <w:r>
        <w:rPr>
          <w:rFonts w:ascii="Arial" w:eastAsia="Arial"/>
          <w:spacing w:val="-7"/>
          <w:sz w:val="20"/>
        </w:rPr>
        <w:t xml:space="preserve"> </w:t>
      </w:r>
      <w:r>
        <w:rPr>
          <w:sz w:val="20"/>
        </w:rPr>
        <w:t>年</w:t>
      </w:r>
      <w:r>
        <w:rPr>
          <w:rFonts w:ascii="Arial" w:eastAsia="Arial"/>
          <w:sz w:val="20"/>
        </w:rPr>
        <w:t>-2023</w:t>
      </w:r>
      <w:r>
        <w:rPr>
          <w:rFonts w:ascii="Arial" w:eastAsia="Arial"/>
          <w:spacing w:val="-7"/>
          <w:sz w:val="20"/>
        </w:rPr>
        <w:t xml:space="preserve"> </w:t>
      </w:r>
      <w:r>
        <w:rPr>
          <w:sz w:val="20"/>
        </w:rPr>
        <w:t>年资产支持计划登记情况</w:t>
        <w:tab/>
        <w:t>图</w:t>
      </w:r>
      <w:r>
        <w:rPr>
          <w:spacing w:val="-51"/>
          <w:sz w:val="20"/>
        </w:rPr>
        <w:t xml:space="preserve"> </w:t>
      </w:r>
      <w:r>
        <w:rPr>
          <w:rFonts w:ascii="Arial" w:eastAsia="Arial"/>
          <w:sz w:val="20"/>
        </w:rPr>
        <w:t>14</w:t>
        <w:tab/>
      </w:r>
      <w:r>
        <w:rPr>
          <w:sz w:val="20"/>
        </w:rPr>
        <w:t>登记资产支持计划的受托管理人情况</w:t>
      </w:r>
    </w:p>
    <w:p>
      <w:pPr>
        <w:tabs>
          <w:tab w:val="left" w:pos="6073"/>
        </w:tabs>
        <w:spacing w:line="30" w:lineRule="exact"/>
        <w:ind w:left="700" w:right="0" w:firstLine="0"/>
        <w:rPr>
          <w:sz w:val="3"/>
        </w:rPr>
      </w:pPr>
      <w:r>
        <w:rPr>
          <w:position w:val="0"/>
          <w:sz w:val="3"/>
        </w:rPr>
        <w:pict>
          <v:group id="_x0000_i1057" style="width:255.1pt;height:1.45pt;mso-position-horizontal-relative:char;mso-position-vertical-relative:line" coordorigin="0,0" coordsize="5102,29">
            <v:line id="_x0000_s1058" style="position:absolute" from="0,14" to="5102,14" stroked="t" strokecolor="#c00" strokeweight="1.44pt">
              <v:stroke dashstyle="solid"/>
            </v:line>
            <w10:wrap type="none"/>
          </v:group>
        </w:pict>
      </w:r>
      <w:r>
        <w:rPr>
          <w:position w:val="0"/>
          <w:sz w:val="3"/>
        </w:rPr>
        <w:tab/>
      </w:r>
      <w:r>
        <w:rPr>
          <w:position w:val="0"/>
          <w:sz w:val="3"/>
        </w:rPr>
        <w:pict>
          <v:group id="_x0000_i1059" style="width:255.1pt;height:1.45pt;mso-position-horizontal-relative:char;mso-position-vertical-relative:line" coordorigin="0,0" coordsize="5102,29">
            <v:line id="_x0000_s1060" style="position:absolute" from="0,14" to="5102,14" stroked="t" strokecolor="#c00" strokeweight="1.44pt">
              <v:stroke dashstyle="solid"/>
            </v:line>
            <w10:wrap type="none"/>
          </v:group>
        </w:pict>
      </w:r>
    </w:p>
    <w:p>
      <w:pPr>
        <w:pStyle w:val="BodyText"/>
        <w:spacing w:before="9"/>
        <w:rPr>
          <w:sz w:val="6"/>
        </w:rPr>
      </w:pPr>
      <w:r>
        <w:drawing>
          <wp:anchor distT="0" distB="0" distL="0" distR="0" simplePos="0" relativeHeight="251681792" behindDoc="0" locked="0" layoutInCell="1" allowOverlap="1">
            <wp:simplePos x="0" y="0"/>
            <wp:positionH relativeFrom="page">
              <wp:posOffset>598065</wp:posOffset>
            </wp:positionH>
            <wp:positionV relativeFrom="paragraph">
              <wp:posOffset>79699</wp:posOffset>
            </wp:positionV>
            <wp:extent cx="3028163" cy="2005583"/>
            <wp:effectExtent l="0" t="0" r="0" b="0"/>
            <wp:wrapTopAndBottom/>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jpeg"/>
                    <pic:cNvPicPr/>
                  </pic:nvPicPr>
                  <pic:blipFill>
                    <a:blip xmlns:r="http://schemas.openxmlformats.org/officeDocument/2006/relationships" r:embed="rId52" cstate="print"/>
                    <a:stretch>
                      <a:fillRect/>
                    </a:stretch>
                  </pic:blipFill>
                  <pic:spPr>
                    <a:xfrm>
                      <a:off x="0" y="0"/>
                      <a:ext cx="3028163" cy="2005583"/>
                    </a:xfrm>
                    <a:prstGeom prst="rect">
                      <a:avLst/>
                    </a:prstGeom>
                  </pic:spPr>
                </pic:pic>
              </a:graphicData>
            </a:graphic>
          </wp:anchor>
        </w:drawing>
      </w:r>
      <w:r>
        <w:drawing>
          <wp:anchor distT="0" distB="0" distL="0" distR="0" simplePos="0" relativeHeight="251682816" behindDoc="0" locked="0" layoutInCell="1" allowOverlap="1">
            <wp:simplePos x="0" y="0"/>
            <wp:positionH relativeFrom="page">
              <wp:posOffset>4208136</wp:posOffset>
            </wp:positionH>
            <wp:positionV relativeFrom="paragraph">
              <wp:posOffset>79699</wp:posOffset>
            </wp:positionV>
            <wp:extent cx="2733114" cy="2054352"/>
            <wp:effectExtent l="0" t="0" r="0" b="0"/>
            <wp:wrapTopAndBottom/>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jpeg"/>
                    <pic:cNvPicPr/>
                  </pic:nvPicPr>
                  <pic:blipFill>
                    <a:blip xmlns:r="http://schemas.openxmlformats.org/officeDocument/2006/relationships" r:embed="rId53" cstate="print"/>
                    <a:stretch>
                      <a:fillRect/>
                    </a:stretch>
                  </pic:blipFill>
                  <pic:spPr>
                    <a:xfrm>
                      <a:off x="0" y="0"/>
                      <a:ext cx="2733114" cy="2054352"/>
                    </a:xfrm>
                    <a:prstGeom prst="rect">
                      <a:avLst/>
                    </a:prstGeom>
                  </pic:spPr>
                </pic:pic>
              </a:graphicData>
            </a:graphic>
          </wp:anchor>
        </w:drawing>
      </w:r>
    </w:p>
    <w:p>
      <w:pPr>
        <w:pStyle w:val="BodyText"/>
        <w:spacing w:before="9"/>
        <w:rPr>
          <w:sz w:val="8"/>
        </w:rPr>
      </w:pPr>
    </w:p>
    <w:p>
      <w:pPr>
        <w:tabs>
          <w:tab w:val="left" w:pos="6073"/>
        </w:tabs>
        <w:spacing w:line="30" w:lineRule="exact"/>
        <w:ind w:left="700" w:right="0" w:firstLine="0"/>
        <w:rPr>
          <w:sz w:val="3"/>
        </w:rPr>
      </w:pPr>
      <w:r>
        <w:rPr>
          <w:position w:val="0"/>
          <w:sz w:val="3"/>
        </w:rPr>
        <w:pict>
          <v:group id="_x0000_i1061" style="width:255.1pt;height:1.45pt;mso-position-horizontal-relative:char;mso-position-vertical-relative:line" coordorigin="0,0" coordsize="5102,29">
            <v:line id="_x0000_s1062" style="position:absolute" from="0,14" to="5102,14" stroked="t" strokecolor="#c00" strokeweight="1.44pt">
              <v:stroke dashstyle="solid"/>
            </v:line>
            <w10:wrap type="none"/>
          </v:group>
        </w:pict>
      </w:r>
      <w:r>
        <w:rPr>
          <w:position w:val="0"/>
          <w:sz w:val="3"/>
        </w:rPr>
        <w:tab/>
      </w:r>
      <w:r>
        <w:rPr>
          <w:position w:val="0"/>
          <w:sz w:val="3"/>
        </w:rPr>
        <w:pict>
          <v:group id="_x0000_i1063" style="width:255.1pt;height:1.45pt;mso-position-horizontal-relative:char;mso-position-vertical-relative:line" coordorigin="0,0" coordsize="5102,29">
            <v:line id="_x0000_s1064" style="position:absolute" from="0,14" to="5102,14" stroked="t" strokecolor="#c00" strokeweight="1.44pt">
              <v:stroke dashstyle="solid"/>
            </v:line>
            <w10:wrap type="none"/>
          </v:group>
        </w:pict>
      </w:r>
    </w:p>
    <w:p>
      <w:pPr>
        <w:spacing w:after="0" w:line="30" w:lineRule="exact"/>
        <w:rPr>
          <w:sz w:val="3"/>
        </w:rPr>
        <w:sectPr>
          <w:headerReference w:type="default" r:id="rId54"/>
          <w:footerReference w:type="default" r:id="rId55"/>
          <w:pgSz w:w="11910" w:h="16840"/>
          <w:pgMar w:top="1280" w:right="0" w:bottom="1000" w:left="0" w:header="708" w:footer="708"/>
          <w:pgNumType w:start="19"/>
          <w:cols w:space="708"/>
        </w:sectPr>
      </w:pPr>
    </w:p>
    <w:p>
      <w:pPr>
        <w:spacing w:before="40" w:line="324" w:lineRule="auto"/>
        <w:ind w:left="715" w:right="0" w:firstLine="0"/>
        <w:jc w:val="left"/>
        <w:rPr>
          <w:sz w:val="18"/>
        </w:rPr>
      </w:pPr>
      <w:r>
        <w:t xml:space="preserve">资料来源：中保保险资产登记交易系统有限公司， </w:t>
      </w:r>
    </w:p>
    <w:p>
      <w:pPr>
        <w:spacing w:before="40" w:line="324" w:lineRule="auto"/>
        <w:ind w:left="231" w:right="712" w:firstLine="0"/>
        <w:jc w:val="left"/>
        <w:rPr>
          <w:sz w:val="18"/>
        </w:rPr>
      </w:pPr>
      <w:r>
        <w:br/>
        <w:t xml:space="preserve">资料来源：中保保险资产登记交易系统有限公司， </w:t>
      </w:r>
    </w:p>
    <w:p>
      <w:pPr>
        <w:spacing w:after="0" w:line="324" w:lineRule="auto"/>
        <w:jc w:val="left"/>
        <w:rPr>
          <w:sz w:val="18"/>
        </w:rPr>
        <w:sectPr>
          <w:headerReference w:type="default" r:id="rId56"/>
          <w:footerReference w:type="default" r:id="rId57"/>
          <w:type w:val="continuous"/>
          <w:pgSz w:w="11910" w:h="16840"/>
          <w:pgMar w:top="1280" w:right="0" w:bottom="1000" w:left="0" w:header="708" w:footer="708"/>
          <w:pgNumType w:start="20"/>
          <w:cols w:num="2" w:space="708" w:equalWidth="0">
            <w:col w:w="5818" w:space="40"/>
            <w:col w:w="6052" w:space="0"/>
          </w:cols>
        </w:sectPr>
      </w:pPr>
    </w:p>
    <w:p>
      <w:pPr>
        <w:pStyle w:val="BodyText"/>
        <w:rPr>
          <w:sz w:val="20"/>
        </w:rPr>
      </w:pPr>
    </w:p>
    <w:p>
      <w:pPr>
        <w:pStyle w:val="BodyText"/>
        <w:spacing w:before="5"/>
        <w:rPr>
          <w:sz w:val="27"/>
        </w:rPr>
      </w:pPr>
    </w:p>
    <w:p>
      <w:pPr>
        <w:spacing w:before="80" w:after="27"/>
        <w:ind w:left="842" w:right="0" w:firstLine="0"/>
        <w:jc w:val="left"/>
        <w:rPr>
          <w:sz w:val="20"/>
        </w:rPr>
      </w:pPr>
      <w:r>
        <w:rPr>
          <w:sz w:val="20"/>
        </w:rPr>
        <w:t xml:space="preserve">表 </w:t>
      </w:r>
      <w:r>
        <w:rPr>
          <w:rFonts w:ascii="Arial" w:eastAsia="Arial"/>
          <w:sz w:val="20"/>
        </w:rPr>
        <w:t xml:space="preserve">12 2023 </w:t>
      </w:r>
      <w:r>
        <w:rPr>
          <w:sz w:val="20"/>
        </w:rPr>
        <w:t>年中保登出具注册通知书的资产支持计划（登记规模百亿）</w:t>
      </w:r>
    </w:p>
    <w:tbl>
      <w:tblPr>
        <w:tblStyle w:val="TableNormal10"/>
        <w:tblW w:w="0" w:type="auto"/>
        <w:jc w:val="left"/>
        <w:tblInd w:w="739"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3119"/>
        <w:gridCol w:w="4111"/>
        <w:gridCol w:w="1842"/>
        <w:gridCol w:w="1367"/>
      </w:tblGrid>
      <w:tr>
        <w:tblPrEx>
          <w:tblW w:w="0" w:type="auto"/>
          <w:jc w:val="left"/>
          <w:tblInd w:w="739"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571"/>
          <w:jc w:val="left"/>
        </w:trPr>
        <w:tc>
          <w:tcPr>
            <w:tcW w:w="3119" w:type="dxa"/>
            <w:tcBorders>
              <w:left w:val="dotted" w:sz="4" w:space="0" w:color="000000"/>
              <w:bottom w:val="single" w:sz="6" w:space="0" w:color="BD0000"/>
              <w:right w:val="dotted" w:sz="4" w:space="0" w:color="000000"/>
            </w:tcBorders>
          </w:tcPr>
          <w:p>
            <w:pPr>
              <w:pStyle w:val="TableParagraph"/>
              <w:spacing w:before="157"/>
              <w:ind w:left="137" w:right="126"/>
              <w:rPr>
                <w:b/>
                <w:sz w:val="20"/>
              </w:rPr>
            </w:pPr>
            <w:r>
              <w:rPr>
                <w:b/>
                <w:sz w:val="20"/>
              </w:rPr>
              <w:t>受托管理人</w:t>
            </w:r>
          </w:p>
        </w:tc>
        <w:tc>
          <w:tcPr>
            <w:tcW w:w="4111" w:type="dxa"/>
            <w:tcBorders>
              <w:left w:val="dotted" w:sz="4" w:space="0" w:color="000000"/>
              <w:bottom w:val="single" w:sz="6" w:space="0" w:color="BD0000"/>
              <w:right w:val="dotted" w:sz="4" w:space="0" w:color="000000"/>
            </w:tcBorders>
          </w:tcPr>
          <w:p>
            <w:pPr>
              <w:pStyle w:val="TableParagraph"/>
              <w:spacing w:before="157"/>
              <w:ind w:left="167" w:right="158"/>
              <w:rPr>
                <w:b/>
                <w:sz w:val="20"/>
              </w:rPr>
            </w:pPr>
            <w:r>
              <w:rPr>
                <w:b/>
                <w:sz w:val="20"/>
              </w:rPr>
              <w:t>产品名称</w:t>
            </w:r>
          </w:p>
        </w:tc>
        <w:tc>
          <w:tcPr>
            <w:tcW w:w="1842" w:type="dxa"/>
            <w:tcBorders>
              <w:left w:val="dotted" w:sz="4" w:space="0" w:color="000000"/>
              <w:bottom w:val="single" w:sz="6" w:space="0" w:color="BD0000"/>
              <w:right w:val="dotted" w:sz="4" w:space="0" w:color="000000"/>
            </w:tcBorders>
          </w:tcPr>
          <w:p>
            <w:pPr>
              <w:pStyle w:val="TableParagraph"/>
              <w:spacing w:before="157"/>
              <w:ind w:left="99" w:right="86"/>
              <w:rPr>
                <w:b/>
                <w:sz w:val="20"/>
              </w:rPr>
            </w:pPr>
            <w:r>
              <w:rPr>
                <w:b/>
                <w:sz w:val="20"/>
              </w:rPr>
              <w:t>注册规模（亿元）</w:t>
            </w:r>
          </w:p>
        </w:tc>
        <w:tc>
          <w:tcPr>
            <w:tcW w:w="1367" w:type="dxa"/>
            <w:tcBorders>
              <w:left w:val="dotted" w:sz="4" w:space="0" w:color="000000"/>
              <w:bottom w:val="single" w:sz="6" w:space="0" w:color="BD0000"/>
              <w:right w:val="dotted" w:sz="4" w:space="0" w:color="000000"/>
            </w:tcBorders>
          </w:tcPr>
          <w:p>
            <w:pPr>
              <w:pStyle w:val="TableParagraph"/>
              <w:spacing w:before="157"/>
              <w:ind w:left="161" w:right="150"/>
              <w:rPr>
                <w:b/>
                <w:sz w:val="20"/>
              </w:rPr>
            </w:pPr>
            <w:r>
              <w:rPr>
                <w:b/>
                <w:sz w:val="20"/>
              </w:rPr>
              <w:t>注册时间</w:t>
            </w:r>
          </w:p>
        </w:tc>
      </w:tr>
      <w:tr>
        <w:tblPrEx>
          <w:tblW w:w="0" w:type="auto"/>
          <w:jc w:val="left"/>
          <w:tblInd w:w="739" w:type="dxa"/>
          <w:tblLayout w:type="fixed"/>
          <w:tblCellMar>
            <w:top w:w="0" w:type="dxa"/>
            <w:left w:w="0" w:type="dxa"/>
            <w:bottom w:w="0" w:type="dxa"/>
            <w:right w:w="0" w:type="dxa"/>
          </w:tblCellMar>
          <w:tblLook w:val="01E0"/>
        </w:tblPrEx>
        <w:trPr>
          <w:trHeight w:val="312"/>
          <w:jc w:val="left"/>
        </w:trPr>
        <w:tc>
          <w:tcPr>
            <w:tcW w:w="3119"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27"/>
              <w:ind w:left="137" w:right="131"/>
              <w:rPr>
                <w:sz w:val="20"/>
              </w:rPr>
            </w:pPr>
            <w:r>
              <w:rPr>
                <w:sz w:val="20"/>
              </w:rPr>
              <w:t>百年保险资产管理有限责任公司</w:t>
            </w:r>
          </w:p>
        </w:tc>
        <w:tc>
          <w:tcPr>
            <w:tcW w:w="4111"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27"/>
              <w:ind w:left="166" w:right="159"/>
              <w:rPr>
                <w:sz w:val="20"/>
              </w:rPr>
            </w:pPr>
            <w:r>
              <w:rPr>
                <w:sz w:val="20"/>
              </w:rPr>
              <w:t>百年资管</w:t>
            </w:r>
            <w:r>
              <w:rPr>
                <w:rFonts w:ascii="Arial" w:eastAsia="Arial"/>
                <w:sz w:val="20"/>
              </w:rPr>
              <w:t>-</w:t>
            </w:r>
            <w:r>
              <w:rPr>
                <w:sz w:val="20"/>
              </w:rPr>
              <w:t xml:space="preserve">臻享 </w:t>
            </w:r>
            <w:r>
              <w:rPr>
                <w:rFonts w:ascii="Arial" w:eastAsia="Arial"/>
                <w:sz w:val="20"/>
              </w:rPr>
              <w:t xml:space="preserve">2022 </w:t>
            </w:r>
            <w:r>
              <w:rPr>
                <w:sz w:val="20"/>
              </w:rPr>
              <w:t xml:space="preserve">第 </w:t>
            </w:r>
            <w:r>
              <w:rPr>
                <w:rFonts w:ascii="Arial" w:eastAsia="Arial"/>
                <w:sz w:val="20"/>
              </w:rPr>
              <w:t xml:space="preserve">1 </w:t>
            </w:r>
            <w:r>
              <w:rPr>
                <w:sz w:val="20"/>
              </w:rPr>
              <w:t>号资产支持计划</w:t>
            </w:r>
          </w:p>
        </w:tc>
        <w:tc>
          <w:tcPr>
            <w:tcW w:w="1842"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42"/>
              <w:ind w:left="90" w:right="86"/>
              <w:rPr>
                <w:rFonts w:ascii="Arial"/>
                <w:sz w:val="20"/>
              </w:rPr>
            </w:pPr>
            <w:r>
              <w:rPr>
                <w:rFonts w:ascii="Arial"/>
                <w:sz w:val="20"/>
              </w:rPr>
              <w:t>100</w:t>
            </w:r>
          </w:p>
        </w:tc>
        <w:tc>
          <w:tcPr>
            <w:tcW w:w="1367"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42"/>
              <w:ind w:left="161" w:right="155"/>
              <w:rPr>
                <w:rFonts w:ascii="Arial"/>
                <w:sz w:val="20"/>
              </w:rPr>
            </w:pPr>
            <w:r>
              <w:rPr>
                <w:rFonts w:ascii="Arial"/>
                <w:sz w:val="20"/>
              </w:rPr>
              <w:t>2023.01.17</w:t>
            </w:r>
          </w:p>
        </w:tc>
      </w:tr>
      <w:tr>
        <w:tblPrEx>
          <w:tblW w:w="0" w:type="auto"/>
          <w:jc w:val="left"/>
          <w:tblInd w:w="739" w:type="dxa"/>
          <w:tblLayout w:type="fixed"/>
          <w:tblCellMar>
            <w:top w:w="0" w:type="dxa"/>
            <w:left w:w="0" w:type="dxa"/>
            <w:bottom w:w="0" w:type="dxa"/>
            <w:right w:w="0" w:type="dxa"/>
          </w:tblCellMar>
          <w:tblLook w:val="01E0"/>
        </w:tblPrEx>
        <w:trPr>
          <w:trHeight w:val="312"/>
          <w:jc w:val="left"/>
        </w:trPr>
        <w:tc>
          <w:tcPr>
            <w:tcW w:w="3119"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10"/>
              <w:jc w:val="left"/>
              <w:rPr>
                <w:sz w:val="14"/>
              </w:rPr>
            </w:pPr>
          </w:p>
          <w:p>
            <w:pPr>
              <w:pStyle w:val="TableParagraph"/>
              <w:spacing w:before="1"/>
              <w:ind w:left="559"/>
              <w:jc w:val="left"/>
              <w:rPr>
                <w:sz w:val="20"/>
              </w:rPr>
            </w:pPr>
            <w:r>
              <w:rPr>
                <w:sz w:val="20"/>
              </w:rPr>
              <w:t>华泰资产管理有限公司</w:t>
            </w:r>
          </w:p>
        </w:tc>
        <w:tc>
          <w:tcPr>
            <w:tcW w:w="4111" w:type="dxa"/>
            <w:tcBorders>
              <w:top w:val="dotted" w:sz="4" w:space="0" w:color="000000"/>
              <w:left w:val="dotted" w:sz="4" w:space="0" w:color="000000"/>
              <w:bottom w:val="dotted" w:sz="4" w:space="0" w:color="000000"/>
              <w:right w:val="dotted" w:sz="4" w:space="0" w:color="000000"/>
            </w:tcBorders>
          </w:tcPr>
          <w:p>
            <w:pPr>
              <w:pStyle w:val="TableParagraph"/>
              <w:spacing w:before="27"/>
              <w:ind w:left="167" w:right="158"/>
              <w:rPr>
                <w:sz w:val="20"/>
              </w:rPr>
            </w:pPr>
            <w:r>
              <w:rPr>
                <w:sz w:val="20"/>
              </w:rPr>
              <w:t>华泰</w:t>
            </w:r>
            <w:r>
              <w:rPr>
                <w:rFonts w:ascii="Arial" w:eastAsia="Arial"/>
                <w:sz w:val="20"/>
              </w:rPr>
              <w:t>-</w:t>
            </w:r>
            <w:r>
              <w:rPr>
                <w:sz w:val="20"/>
              </w:rPr>
              <w:t xml:space="preserve">建隆 </w:t>
            </w:r>
            <w:r>
              <w:rPr>
                <w:rFonts w:ascii="Arial" w:eastAsia="Arial"/>
                <w:sz w:val="20"/>
              </w:rPr>
              <w:t xml:space="preserve">1 </w:t>
            </w:r>
            <w:r>
              <w:rPr>
                <w:sz w:val="20"/>
              </w:rPr>
              <w:t>号资产支持计划</w:t>
            </w:r>
          </w:p>
        </w:tc>
        <w:tc>
          <w:tcPr>
            <w:tcW w:w="1842" w:type="dxa"/>
            <w:tcBorders>
              <w:top w:val="dotted" w:sz="4" w:space="0" w:color="000000"/>
              <w:left w:val="dotted" w:sz="4" w:space="0" w:color="000000"/>
              <w:bottom w:val="dotted" w:sz="4" w:space="0" w:color="000000"/>
              <w:right w:val="dotted" w:sz="4" w:space="0" w:color="000000"/>
            </w:tcBorders>
          </w:tcPr>
          <w:p>
            <w:pPr>
              <w:pStyle w:val="TableParagraph"/>
              <w:ind w:left="90" w:right="86"/>
              <w:rPr>
                <w:rFonts w:ascii="Arial"/>
                <w:sz w:val="20"/>
              </w:rPr>
            </w:pPr>
            <w:r>
              <w:rPr>
                <w:rFonts w:ascii="Arial"/>
                <w:sz w:val="20"/>
              </w:rPr>
              <w:t>100</w:t>
            </w:r>
          </w:p>
        </w:tc>
        <w:tc>
          <w:tcPr>
            <w:tcW w:w="1367" w:type="dxa"/>
            <w:tcBorders>
              <w:top w:val="dotted" w:sz="4" w:space="0" w:color="000000"/>
              <w:left w:val="dotted" w:sz="4" w:space="0" w:color="000000"/>
              <w:bottom w:val="dotted" w:sz="4" w:space="0" w:color="000000"/>
              <w:right w:val="dotted" w:sz="4" w:space="0" w:color="000000"/>
            </w:tcBorders>
          </w:tcPr>
          <w:p>
            <w:pPr>
              <w:pStyle w:val="TableParagraph"/>
              <w:ind w:left="161" w:right="155"/>
              <w:rPr>
                <w:rFonts w:ascii="Arial"/>
                <w:sz w:val="20"/>
              </w:rPr>
            </w:pPr>
            <w:r>
              <w:rPr>
                <w:rFonts w:ascii="Arial"/>
                <w:sz w:val="20"/>
              </w:rPr>
              <w:t>2023.03.06</w:t>
            </w:r>
          </w:p>
        </w:tc>
      </w:tr>
      <w:tr>
        <w:tblPrEx>
          <w:tblW w:w="0" w:type="auto"/>
          <w:jc w:val="left"/>
          <w:tblInd w:w="739" w:type="dxa"/>
          <w:tblLayout w:type="fixed"/>
          <w:tblCellMar>
            <w:top w:w="0" w:type="dxa"/>
            <w:left w:w="0" w:type="dxa"/>
            <w:bottom w:w="0" w:type="dxa"/>
            <w:right w:w="0" w:type="dxa"/>
          </w:tblCellMar>
          <w:tblLook w:val="01E0"/>
        </w:tblPrEx>
        <w:trPr>
          <w:trHeight w:val="311"/>
          <w:jc w:val="left"/>
        </w:trPr>
        <w:tc>
          <w:tcPr>
            <w:tcW w:w="3119" w:type="dxa"/>
            <w:vMerge/>
            <w:tcBorders>
              <w:top w:val="nil"/>
              <w:left w:val="dotted" w:sz="4" w:space="0" w:color="000000"/>
              <w:bottom w:val="dotted" w:sz="4" w:space="0" w:color="000000"/>
              <w:right w:val="dotted" w:sz="4" w:space="0" w:color="000000"/>
            </w:tcBorders>
          </w:tcPr>
          <w:p>
            <w:pPr>
              <w:rPr>
                <w:sz w:val="2"/>
                <w:szCs w:val="2"/>
              </w:rPr>
            </w:pPr>
          </w:p>
        </w:tc>
        <w:tc>
          <w:tcPr>
            <w:tcW w:w="4111" w:type="dxa"/>
            <w:tcBorders>
              <w:top w:val="dotted" w:sz="4" w:space="0" w:color="000000"/>
              <w:left w:val="dotted" w:sz="4" w:space="0" w:color="000000"/>
              <w:bottom w:val="dotted" w:sz="4" w:space="0" w:color="000000"/>
              <w:right w:val="dotted" w:sz="4" w:space="0" w:color="000000"/>
            </w:tcBorders>
          </w:tcPr>
          <w:p>
            <w:pPr>
              <w:pStyle w:val="TableParagraph"/>
              <w:spacing w:before="29"/>
              <w:ind w:left="167" w:right="158"/>
              <w:rPr>
                <w:sz w:val="20"/>
              </w:rPr>
            </w:pPr>
            <w:r>
              <w:rPr>
                <w:sz w:val="20"/>
              </w:rPr>
              <w:t>华泰</w:t>
            </w:r>
            <w:r>
              <w:rPr>
                <w:rFonts w:ascii="Arial" w:eastAsia="Arial"/>
                <w:sz w:val="20"/>
              </w:rPr>
              <w:t>-</w:t>
            </w:r>
            <w:r>
              <w:rPr>
                <w:sz w:val="20"/>
              </w:rPr>
              <w:t xml:space="preserve">润泰 </w:t>
            </w:r>
            <w:r>
              <w:rPr>
                <w:rFonts w:ascii="Arial" w:eastAsia="Arial"/>
                <w:sz w:val="20"/>
              </w:rPr>
              <w:t xml:space="preserve">2023 </w:t>
            </w:r>
            <w:r>
              <w:rPr>
                <w:sz w:val="20"/>
              </w:rPr>
              <w:t xml:space="preserve">第 </w:t>
            </w:r>
            <w:r>
              <w:rPr>
                <w:rFonts w:ascii="Arial" w:eastAsia="Arial"/>
                <w:sz w:val="20"/>
              </w:rPr>
              <w:t xml:space="preserve">1 </w:t>
            </w:r>
            <w:r>
              <w:rPr>
                <w:sz w:val="20"/>
              </w:rPr>
              <w:t>号资产支持计划</w:t>
            </w:r>
          </w:p>
        </w:tc>
        <w:tc>
          <w:tcPr>
            <w:tcW w:w="1842" w:type="dxa"/>
            <w:tcBorders>
              <w:top w:val="dotted" w:sz="4" w:space="0" w:color="000000"/>
              <w:left w:val="dotted" w:sz="4" w:space="0" w:color="000000"/>
              <w:bottom w:val="dotted" w:sz="4" w:space="0" w:color="000000"/>
              <w:right w:val="dotted" w:sz="4" w:space="0" w:color="000000"/>
            </w:tcBorders>
          </w:tcPr>
          <w:p>
            <w:pPr>
              <w:pStyle w:val="TableParagraph"/>
              <w:ind w:left="90" w:right="86"/>
              <w:rPr>
                <w:rFonts w:ascii="Arial"/>
                <w:sz w:val="20"/>
              </w:rPr>
            </w:pPr>
            <w:r>
              <w:rPr>
                <w:rFonts w:ascii="Arial"/>
                <w:sz w:val="20"/>
              </w:rPr>
              <w:t>100</w:t>
            </w:r>
          </w:p>
        </w:tc>
        <w:tc>
          <w:tcPr>
            <w:tcW w:w="1367" w:type="dxa"/>
            <w:tcBorders>
              <w:top w:val="dotted" w:sz="4" w:space="0" w:color="000000"/>
              <w:left w:val="dotted" w:sz="4" w:space="0" w:color="000000"/>
              <w:bottom w:val="dotted" w:sz="4" w:space="0" w:color="000000"/>
              <w:right w:val="dotted" w:sz="4" w:space="0" w:color="000000"/>
            </w:tcBorders>
          </w:tcPr>
          <w:p>
            <w:pPr>
              <w:pStyle w:val="TableParagraph"/>
              <w:ind w:left="161" w:right="155"/>
              <w:rPr>
                <w:rFonts w:ascii="Arial"/>
                <w:sz w:val="20"/>
              </w:rPr>
            </w:pPr>
            <w:r>
              <w:rPr>
                <w:rFonts w:ascii="Arial"/>
                <w:sz w:val="20"/>
              </w:rPr>
              <w:t>2023.04.17</w:t>
            </w:r>
          </w:p>
        </w:tc>
      </w:tr>
      <w:tr>
        <w:tblPrEx>
          <w:tblW w:w="0" w:type="auto"/>
          <w:jc w:val="left"/>
          <w:tblInd w:w="739" w:type="dxa"/>
          <w:tblLayout w:type="fixed"/>
          <w:tblCellMar>
            <w:top w:w="0" w:type="dxa"/>
            <w:left w:w="0" w:type="dxa"/>
            <w:bottom w:w="0" w:type="dxa"/>
            <w:right w:w="0" w:type="dxa"/>
          </w:tblCellMar>
          <w:tblLook w:val="01E0"/>
        </w:tblPrEx>
        <w:trPr>
          <w:trHeight w:val="312"/>
          <w:jc w:val="left"/>
        </w:trPr>
        <w:tc>
          <w:tcPr>
            <w:tcW w:w="3119"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37" w:right="131"/>
              <w:rPr>
                <w:sz w:val="20"/>
              </w:rPr>
            </w:pPr>
            <w:r>
              <w:rPr>
                <w:sz w:val="20"/>
              </w:rPr>
              <w:t>大家资产管理有限责任公司</w:t>
            </w:r>
          </w:p>
        </w:tc>
        <w:tc>
          <w:tcPr>
            <w:tcW w:w="411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28"/>
              <w:ind w:left="167" w:right="158"/>
              <w:rPr>
                <w:sz w:val="20"/>
              </w:rPr>
            </w:pPr>
            <w:r>
              <w:rPr>
                <w:sz w:val="20"/>
              </w:rPr>
              <w:t>大家</w:t>
            </w:r>
            <w:r>
              <w:rPr>
                <w:rFonts w:ascii="Arial" w:eastAsia="Arial"/>
                <w:sz w:val="20"/>
              </w:rPr>
              <w:t>-</w:t>
            </w:r>
            <w:r>
              <w:rPr>
                <w:sz w:val="20"/>
              </w:rPr>
              <w:t xml:space="preserve">安心 </w:t>
            </w:r>
            <w:r>
              <w:rPr>
                <w:rFonts w:ascii="Arial" w:eastAsia="Arial"/>
                <w:sz w:val="20"/>
              </w:rPr>
              <w:t xml:space="preserve">2 </w:t>
            </w:r>
            <w:r>
              <w:rPr>
                <w:sz w:val="20"/>
              </w:rPr>
              <w:t>号资产支持计划</w:t>
            </w:r>
          </w:p>
        </w:tc>
        <w:tc>
          <w:tcPr>
            <w:tcW w:w="184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ind w:left="90" w:right="86"/>
              <w:rPr>
                <w:rFonts w:ascii="Arial"/>
                <w:sz w:val="20"/>
              </w:rPr>
            </w:pPr>
            <w:r>
              <w:rPr>
                <w:rFonts w:ascii="Arial"/>
                <w:sz w:val="20"/>
              </w:rPr>
              <w:t>100</w:t>
            </w:r>
          </w:p>
        </w:tc>
        <w:tc>
          <w:tcPr>
            <w:tcW w:w="1367"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ind w:left="161" w:right="155"/>
              <w:rPr>
                <w:rFonts w:ascii="Arial"/>
                <w:sz w:val="20"/>
              </w:rPr>
            </w:pPr>
            <w:r>
              <w:rPr>
                <w:rFonts w:ascii="Arial"/>
                <w:sz w:val="20"/>
              </w:rPr>
              <w:t>2023.03.15</w:t>
            </w:r>
          </w:p>
        </w:tc>
      </w:tr>
      <w:tr>
        <w:tblPrEx>
          <w:tblW w:w="0" w:type="auto"/>
          <w:jc w:val="left"/>
          <w:tblInd w:w="739" w:type="dxa"/>
          <w:tblLayout w:type="fixed"/>
          <w:tblCellMar>
            <w:top w:w="0" w:type="dxa"/>
            <w:left w:w="0" w:type="dxa"/>
            <w:bottom w:w="0" w:type="dxa"/>
            <w:right w:w="0" w:type="dxa"/>
          </w:tblCellMar>
          <w:tblLook w:val="01E0"/>
        </w:tblPrEx>
        <w:trPr>
          <w:trHeight w:val="312"/>
          <w:jc w:val="left"/>
        </w:trPr>
        <w:tc>
          <w:tcPr>
            <w:tcW w:w="3119" w:type="dxa"/>
            <w:tcBorders>
              <w:top w:val="dotted" w:sz="4" w:space="0" w:color="000000"/>
              <w:left w:val="dotted" w:sz="4" w:space="0" w:color="000000"/>
              <w:bottom w:val="dotted" w:sz="4" w:space="0" w:color="000000"/>
              <w:right w:val="dotted" w:sz="4" w:space="0" w:color="000000"/>
            </w:tcBorders>
          </w:tcPr>
          <w:p>
            <w:pPr>
              <w:pStyle w:val="TableParagraph"/>
              <w:spacing w:before="28"/>
              <w:ind w:left="137" w:right="131"/>
              <w:rPr>
                <w:sz w:val="20"/>
              </w:rPr>
            </w:pPr>
            <w:r>
              <w:rPr>
                <w:sz w:val="20"/>
              </w:rPr>
              <w:t>建信保险资产管理有限公司</w:t>
            </w:r>
          </w:p>
        </w:tc>
        <w:tc>
          <w:tcPr>
            <w:tcW w:w="4111" w:type="dxa"/>
            <w:tcBorders>
              <w:top w:val="dotted" w:sz="4" w:space="0" w:color="000000"/>
              <w:left w:val="dotted" w:sz="4" w:space="0" w:color="000000"/>
              <w:bottom w:val="dotted" w:sz="4" w:space="0" w:color="000000"/>
              <w:right w:val="dotted" w:sz="4" w:space="0" w:color="000000"/>
            </w:tcBorders>
          </w:tcPr>
          <w:p>
            <w:pPr>
              <w:pStyle w:val="TableParagraph"/>
              <w:spacing w:before="28"/>
              <w:ind w:left="167" w:right="158"/>
              <w:rPr>
                <w:sz w:val="20"/>
              </w:rPr>
            </w:pPr>
            <w:r>
              <w:rPr>
                <w:sz w:val="20"/>
              </w:rPr>
              <w:t>建信保险资管</w:t>
            </w:r>
            <w:r>
              <w:rPr>
                <w:rFonts w:ascii="Arial" w:eastAsia="Arial"/>
                <w:sz w:val="20"/>
              </w:rPr>
              <w:t>-</w:t>
            </w:r>
            <w:r>
              <w:rPr>
                <w:sz w:val="20"/>
              </w:rPr>
              <w:t xml:space="preserve">浦江惠商 </w:t>
            </w:r>
            <w:r>
              <w:rPr>
                <w:rFonts w:ascii="Arial" w:eastAsia="Arial"/>
                <w:sz w:val="20"/>
              </w:rPr>
              <w:t xml:space="preserve">1 </w:t>
            </w:r>
            <w:r>
              <w:rPr>
                <w:sz w:val="20"/>
              </w:rPr>
              <w:t>号资产支持计划</w:t>
            </w:r>
          </w:p>
        </w:tc>
        <w:tc>
          <w:tcPr>
            <w:tcW w:w="1842" w:type="dxa"/>
            <w:tcBorders>
              <w:top w:val="dotted" w:sz="4" w:space="0" w:color="000000"/>
              <w:left w:val="dotted" w:sz="4" w:space="0" w:color="000000"/>
              <w:bottom w:val="dotted" w:sz="4" w:space="0" w:color="000000"/>
              <w:right w:val="dotted" w:sz="4" w:space="0" w:color="000000"/>
            </w:tcBorders>
          </w:tcPr>
          <w:p>
            <w:pPr>
              <w:pStyle w:val="TableParagraph"/>
              <w:spacing w:before="40"/>
              <w:ind w:left="90" w:right="86"/>
              <w:rPr>
                <w:rFonts w:ascii="Arial"/>
                <w:sz w:val="20"/>
              </w:rPr>
            </w:pPr>
            <w:r>
              <w:rPr>
                <w:rFonts w:ascii="Arial"/>
                <w:sz w:val="20"/>
              </w:rPr>
              <w:t>100</w:t>
            </w:r>
          </w:p>
        </w:tc>
        <w:tc>
          <w:tcPr>
            <w:tcW w:w="1367" w:type="dxa"/>
            <w:tcBorders>
              <w:top w:val="dotted" w:sz="4" w:space="0" w:color="000000"/>
              <w:left w:val="dotted" w:sz="4" w:space="0" w:color="000000"/>
              <w:bottom w:val="dotted" w:sz="4" w:space="0" w:color="000000"/>
              <w:right w:val="dotted" w:sz="4" w:space="0" w:color="000000"/>
            </w:tcBorders>
          </w:tcPr>
          <w:p>
            <w:pPr>
              <w:pStyle w:val="TableParagraph"/>
              <w:spacing w:before="40"/>
              <w:ind w:left="161" w:right="155"/>
              <w:rPr>
                <w:rFonts w:ascii="Arial"/>
                <w:sz w:val="20"/>
              </w:rPr>
            </w:pPr>
            <w:r>
              <w:rPr>
                <w:rFonts w:ascii="Arial"/>
                <w:sz w:val="20"/>
              </w:rPr>
              <w:t>2023.05.19</w:t>
            </w:r>
          </w:p>
        </w:tc>
      </w:tr>
      <w:tr>
        <w:tblPrEx>
          <w:tblW w:w="0" w:type="auto"/>
          <w:jc w:val="left"/>
          <w:tblInd w:w="739" w:type="dxa"/>
          <w:tblLayout w:type="fixed"/>
          <w:tblCellMar>
            <w:top w:w="0" w:type="dxa"/>
            <w:left w:w="0" w:type="dxa"/>
            <w:bottom w:w="0" w:type="dxa"/>
            <w:right w:w="0" w:type="dxa"/>
          </w:tblCellMar>
          <w:tblLook w:val="01E0"/>
        </w:tblPrEx>
        <w:trPr>
          <w:trHeight w:val="311"/>
          <w:jc w:val="left"/>
        </w:trPr>
        <w:tc>
          <w:tcPr>
            <w:tcW w:w="3119" w:type="dxa"/>
            <w:tcBorders>
              <w:top w:val="dotted" w:sz="4" w:space="0" w:color="000000"/>
              <w:left w:val="dotted" w:sz="4" w:space="0" w:color="000000"/>
              <w:right w:val="dotted" w:sz="4" w:space="0" w:color="000000"/>
            </w:tcBorders>
            <w:shd w:val="clear" w:color="auto" w:fill="F1F1F1"/>
          </w:tcPr>
          <w:p>
            <w:pPr>
              <w:pStyle w:val="TableParagraph"/>
              <w:spacing w:before="27"/>
              <w:ind w:left="137" w:right="131"/>
              <w:rPr>
                <w:sz w:val="20"/>
              </w:rPr>
            </w:pPr>
            <w:r>
              <w:rPr>
                <w:sz w:val="20"/>
              </w:rPr>
              <w:t>国寿投资保险资产管理有限公司</w:t>
            </w:r>
          </w:p>
        </w:tc>
        <w:tc>
          <w:tcPr>
            <w:tcW w:w="4111" w:type="dxa"/>
            <w:tcBorders>
              <w:top w:val="dotted" w:sz="4" w:space="0" w:color="000000"/>
              <w:left w:val="dotted" w:sz="4" w:space="0" w:color="000000"/>
              <w:right w:val="dotted" w:sz="4" w:space="0" w:color="000000"/>
            </w:tcBorders>
            <w:shd w:val="clear" w:color="auto" w:fill="F1F1F1"/>
          </w:tcPr>
          <w:p>
            <w:pPr>
              <w:pStyle w:val="TableParagraph"/>
              <w:spacing w:before="27"/>
              <w:ind w:left="166" w:right="159"/>
              <w:rPr>
                <w:sz w:val="20"/>
              </w:rPr>
            </w:pPr>
            <w:r>
              <w:rPr>
                <w:sz w:val="20"/>
              </w:rPr>
              <w:t>国寿投资</w:t>
            </w:r>
            <w:r>
              <w:rPr>
                <w:rFonts w:ascii="Arial" w:eastAsia="Arial"/>
                <w:sz w:val="20"/>
              </w:rPr>
              <w:t>-</w:t>
            </w:r>
            <w:r>
              <w:rPr>
                <w:sz w:val="20"/>
              </w:rPr>
              <w:t>拓商资产支持计划</w:t>
            </w:r>
          </w:p>
        </w:tc>
        <w:tc>
          <w:tcPr>
            <w:tcW w:w="1842" w:type="dxa"/>
            <w:tcBorders>
              <w:top w:val="dotted" w:sz="4" w:space="0" w:color="000000"/>
              <w:left w:val="dotted" w:sz="4" w:space="0" w:color="000000"/>
              <w:right w:val="dotted" w:sz="4" w:space="0" w:color="000000"/>
            </w:tcBorders>
            <w:shd w:val="clear" w:color="auto" w:fill="F1F1F1"/>
          </w:tcPr>
          <w:p>
            <w:pPr>
              <w:pStyle w:val="TableParagraph"/>
              <w:spacing w:before="42"/>
              <w:ind w:left="90" w:right="86"/>
              <w:rPr>
                <w:rFonts w:ascii="Arial"/>
                <w:sz w:val="20"/>
              </w:rPr>
            </w:pPr>
            <w:r>
              <w:rPr>
                <w:rFonts w:ascii="Arial"/>
                <w:sz w:val="20"/>
              </w:rPr>
              <w:t>100</w:t>
            </w:r>
          </w:p>
        </w:tc>
        <w:tc>
          <w:tcPr>
            <w:tcW w:w="1367" w:type="dxa"/>
            <w:tcBorders>
              <w:top w:val="dotted" w:sz="4" w:space="0" w:color="000000"/>
              <w:left w:val="dotted" w:sz="4" w:space="0" w:color="000000"/>
              <w:right w:val="dotted" w:sz="4" w:space="0" w:color="000000"/>
            </w:tcBorders>
            <w:shd w:val="clear" w:color="auto" w:fill="F1F1F1"/>
          </w:tcPr>
          <w:p>
            <w:pPr>
              <w:pStyle w:val="TableParagraph"/>
              <w:spacing w:before="42"/>
              <w:ind w:left="161" w:right="155"/>
              <w:rPr>
                <w:rFonts w:ascii="Arial"/>
                <w:sz w:val="20"/>
              </w:rPr>
            </w:pPr>
            <w:r>
              <w:rPr>
                <w:rFonts w:ascii="Arial"/>
                <w:sz w:val="20"/>
              </w:rPr>
              <w:t>2023.06.09</w:t>
            </w:r>
          </w:p>
        </w:tc>
      </w:tr>
    </w:tbl>
    <w:p>
      <w:pPr>
        <w:spacing w:before="42"/>
        <w:ind w:left="842" w:right="0" w:firstLine="0"/>
        <w:jc w:val="left"/>
        <w:rPr>
          <w:sz w:val="18"/>
        </w:rPr>
      </w:pPr>
      <w:r>
        <w:t xml:space="preserve">资料来源：中保保险资产登记交易系统有限公司， </w:t>
      </w:r>
    </w:p>
    <w:p>
      <w:pPr>
        <w:pStyle w:val="BodyText"/>
        <w:rPr>
          <w:sz w:val="20"/>
        </w:rPr>
      </w:pPr>
    </w:p>
    <w:p>
      <w:pPr>
        <w:pStyle w:val="BodyText"/>
        <w:spacing w:before="8"/>
        <w:rPr>
          <w:sz w:val="14"/>
        </w:rPr>
      </w:pPr>
    </w:p>
    <w:p>
      <w:pPr>
        <w:pStyle w:val="Heading4"/>
        <w:spacing w:before="81"/>
      </w:pPr>
      <w:r>
        <w:t>（</w:t>
      </w:r>
      <w:r>
        <w:rPr>
          <w:rFonts w:ascii="Arial" w:eastAsia="Arial"/>
        </w:rPr>
        <w:t>2</w:t>
      </w:r>
      <w:r>
        <w:t>）</w:t>
      </w:r>
      <w:r>
        <w:rPr>
          <w:rFonts w:ascii="Arial" w:eastAsia="Arial"/>
        </w:rPr>
        <w:t xml:space="preserve">2023 </w:t>
      </w:r>
      <w:r>
        <w:t>年保险公司投资资产支持计划情况</w:t>
      </w:r>
    </w:p>
    <w:p>
      <w:pPr>
        <w:pStyle w:val="BodyText"/>
        <w:spacing w:before="186" w:line="266" w:lineRule="auto"/>
        <w:ind w:left="1132" w:right="1130" w:firstLine="441"/>
        <w:jc w:val="right"/>
      </w:pPr>
      <w:r>
        <w:rPr>
          <w:spacing w:val="-8"/>
        </w:rPr>
        <w:t>根据中国人保、中国太保、中国人寿、中国太平、泰康保险、中国平安、华泰保险官网披露的资</w:t>
      </w:r>
      <w:r>
        <w:rPr>
          <w:spacing w:val="6"/>
        </w:rPr>
        <w:t>金运用及关联交易信息，</w:t>
      </w:r>
      <w:r>
        <w:rPr>
          <w:rFonts w:ascii="Arial" w:eastAsia="Arial"/>
        </w:rPr>
        <w:t>2023</w:t>
      </w:r>
      <w:r>
        <w:rPr>
          <w:rFonts w:ascii="Arial" w:eastAsia="Arial"/>
          <w:spacing w:val="18"/>
        </w:rPr>
        <w:t xml:space="preserve"> </w:t>
      </w:r>
      <w:r>
        <w:rPr>
          <w:spacing w:val="4"/>
        </w:rPr>
        <w:t xml:space="preserve">年上述保险集团及其子公司共认购资产支持计划 </w:t>
      </w:r>
      <w:r>
        <w:rPr>
          <w:rFonts w:ascii="Arial" w:eastAsia="Arial"/>
        </w:rPr>
        <w:t>51</w:t>
      </w:r>
      <w:r>
        <w:rPr>
          <w:rFonts w:ascii="Arial" w:eastAsia="Arial"/>
          <w:spacing w:val="19"/>
        </w:rPr>
        <w:t xml:space="preserve"> </w:t>
      </w:r>
      <w:r>
        <w:rPr>
          <w:spacing w:val="5"/>
        </w:rPr>
        <w:t>笔、认购金额</w:t>
      </w:r>
    </w:p>
    <w:p>
      <w:pPr>
        <w:pStyle w:val="BodyText"/>
        <w:spacing w:line="280" w:lineRule="exact"/>
        <w:ind w:right="1125"/>
        <w:jc w:val="right"/>
      </w:pPr>
      <w:r>
        <w:rPr>
          <w:rFonts w:ascii="Arial" w:eastAsia="Arial"/>
        </w:rPr>
        <w:t>211.18</w:t>
      </w:r>
      <w:r>
        <w:rPr>
          <w:rFonts w:ascii="Arial" w:eastAsia="Arial"/>
          <w:spacing w:val="5"/>
        </w:rPr>
        <w:t xml:space="preserve"> </w:t>
      </w:r>
      <w:r>
        <w:rPr>
          <w:spacing w:val="-9"/>
        </w:rPr>
        <w:t xml:space="preserve">亿元，较 </w:t>
      </w:r>
      <w:r>
        <w:rPr>
          <w:rFonts w:ascii="Arial" w:eastAsia="Arial"/>
        </w:rPr>
        <w:t>2022</w:t>
      </w:r>
      <w:r>
        <w:rPr>
          <w:rFonts w:ascii="Arial" w:eastAsia="Arial"/>
          <w:spacing w:val="8"/>
        </w:rPr>
        <w:t xml:space="preserve"> </w:t>
      </w:r>
      <w:r>
        <w:rPr>
          <w:spacing w:val="1"/>
        </w:rPr>
        <w:t>年同期</w:t>
      </w:r>
      <w:r>
        <w:t>（</w:t>
      </w:r>
      <w:r>
        <w:rPr>
          <w:spacing w:val="-5"/>
        </w:rPr>
        <w:t xml:space="preserve">认购资产支持计划 </w:t>
      </w:r>
      <w:r>
        <w:rPr>
          <w:rFonts w:ascii="Arial" w:eastAsia="Arial"/>
        </w:rPr>
        <w:t>30</w:t>
      </w:r>
      <w:r>
        <w:rPr>
          <w:rFonts w:ascii="Arial" w:eastAsia="Arial"/>
          <w:spacing w:val="5"/>
        </w:rPr>
        <w:t xml:space="preserve"> </w:t>
      </w:r>
      <w:r>
        <w:rPr>
          <w:spacing w:val="-7"/>
        </w:rPr>
        <w:t xml:space="preserve">笔、认购金额 </w:t>
      </w:r>
      <w:r>
        <w:rPr>
          <w:rFonts w:ascii="Arial" w:eastAsia="Arial"/>
        </w:rPr>
        <w:t>182.28</w:t>
      </w:r>
      <w:r>
        <w:rPr>
          <w:rFonts w:ascii="Arial" w:eastAsia="Arial"/>
          <w:spacing w:val="6"/>
        </w:rPr>
        <w:t xml:space="preserve"> </w:t>
      </w:r>
      <w:r>
        <w:rPr>
          <w:spacing w:val="2"/>
        </w:rPr>
        <w:t>亿元</w:t>
      </w:r>
      <w:r>
        <w:t>），数量同比上涨</w:t>
      </w:r>
    </w:p>
    <w:p>
      <w:pPr>
        <w:pStyle w:val="BodyText"/>
        <w:spacing w:before="30"/>
        <w:ind w:left="1132"/>
      </w:pPr>
      <w:r>
        <w:rPr>
          <w:rFonts w:ascii="Arial" w:eastAsia="Arial"/>
        </w:rPr>
        <w:t>66.67%</w:t>
      </w:r>
      <w:r>
        <w:t xml:space="preserve">、总金额同比上涨 </w:t>
      </w:r>
      <w:r>
        <w:rPr>
          <w:rFonts w:ascii="Arial" w:eastAsia="Arial"/>
        </w:rPr>
        <w:t>15.85%</w:t>
      </w:r>
      <w:r>
        <w:t>。</w:t>
      </w:r>
    </w:p>
    <w:p>
      <w:pPr>
        <w:pStyle w:val="BodyText"/>
        <w:spacing w:before="186"/>
        <w:ind w:right="1132"/>
        <w:jc w:val="right"/>
        <w:rPr>
          <w:rFonts w:ascii="Arial" w:eastAsia="Arial"/>
        </w:rPr>
      </w:pPr>
      <w:r>
        <w:t xml:space="preserve">从资产支持计划的投向来看，主要涉及了融资租赁、供应链金融、商业项目等领域，其中有 </w:t>
      </w:r>
      <w:r>
        <w:rPr>
          <w:rFonts w:ascii="Arial" w:eastAsia="Arial"/>
        </w:rPr>
        <w:t>13</w:t>
      </w:r>
    </w:p>
    <w:p>
      <w:pPr>
        <w:pStyle w:val="BodyText"/>
        <w:spacing w:before="30"/>
        <w:ind w:right="1130"/>
        <w:jc w:val="right"/>
      </w:pPr>
      <w:r>
        <w:rPr>
          <w:spacing w:val="-9"/>
        </w:rPr>
        <w:t xml:space="preserve">笔单笔的认购金额超 </w:t>
      </w:r>
      <w:r>
        <w:rPr>
          <w:rFonts w:ascii="Arial" w:eastAsia="Arial"/>
        </w:rPr>
        <w:t>5</w:t>
      </w:r>
      <w:r>
        <w:rPr>
          <w:rFonts w:ascii="Arial" w:eastAsia="Arial"/>
          <w:spacing w:val="-2"/>
        </w:rPr>
        <w:t xml:space="preserve"> </w:t>
      </w:r>
      <w:r>
        <w:rPr>
          <w:spacing w:val="-19"/>
        </w:rPr>
        <w:t xml:space="preserve">亿元，有 </w:t>
      </w:r>
      <w:r>
        <w:rPr>
          <w:rFonts w:ascii="Arial" w:eastAsia="Arial"/>
        </w:rPr>
        <w:t>4</w:t>
      </w:r>
      <w:r>
        <w:rPr>
          <w:rFonts w:ascii="Arial" w:eastAsia="Arial"/>
          <w:spacing w:val="-1"/>
        </w:rPr>
        <w:t xml:space="preserve"> </w:t>
      </w:r>
      <w:r>
        <w:rPr>
          <w:spacing w:val="-19"/>
        </w:rPr>
        <w:t xml:space="preserve">笔超 </w:t>
      </w:r>
      <w:r>
        <w:rPr>
          <w:rFonts w:ascii="Arial" w:eastAsia="Arial"/>
        </w:rPr>
        <w:t>10</w:t>
      </w:r>
      <w:r>
        <w:rPr>
          <w:rFonts w:ascii="Arial" w:eastAsia="Arial"/>
          <w:spacing w:val="-4"/>
        </w:rPr>
        <w:t xml:space="preserve"> </w:t>
      </w:r>
      <w:r>
        <w:rPr>
          <w:spacing w:val="-6"/>
        </w:rPr>
        <w:t>亿元，由中国人寿保险股份有限公司认购的中国人寿</w:t>
      </w:r>
      <w:r>
        <w:rPr>
          <w:rFonts w:ascii="Arial" w:eastAsia="Arial"/>
        </w:rPr>
        <w:t>-</w:t>
      </w:r>
      <w:r>
        <w:rPr>
          <w:spacing w:val="-2"/>
        </w:rPr>
        <w:t>成善</w:t>
      </w:r>
    </w:p>
    <w:p>
      <w:pPr>
        <w:pStyle w:val="BodyText"/>
        <w:spacing w:before="30"/>
        <w:ind w:left="1132"/>
      </w:pPr>
      <w:r>
        <w:rPr>
          <w:rFonts w:ascii="Arial" w:eastAsia="Arial"/>
        </w:rPr>
        <w:t xml:space="preserve">2 </w:t>
      </w:r>
      <w:r>
        <w:t xml:space="preserve">号资产支持计划（第 </w:t>
      </w:r>
      <w:r>
        <w:rPr>
          <w:rFonts w:ascii="Arial" w:eastAsia="Arial"/>
        </w:rPr>
        <w:t xml:space="preserve">1 </w:t>
      </w:r>
      <w:r>
        <w:t xml:space="preserve">期）是单笔认购金额最大的，达 </w:t>
      </w:r>
      <w:r>
        <w:rPr>
          <w:rFonts w:ascii="Arial" w:eastAsia="Arial"/>
        </w:rPr>
        <w:t xml:space="preserve">28.22 </w:t>
      </w:r>
      <w:r>
        <w:t>亿元，其管理人为国寿资产。</w:t>
      </w:r>
    </w:p>
    <w:p>
      <w:pPr>
        <w:spacing w:after="0"/>
        <w:sectPr>
          <w:headerReference w:type="default" r:id="rId58"/>
          <w:footerReference w:type="default" r:id="rId59"/>
          <w:type w:val="continuous"/>
          <w:pgSz w:w="11910" w:h="16840"/>
          <w:pgMar w:top="1280" w:right="0" w:bottom="1000" w:left="0" w:header="708" w:footer="708"/>
          <w:pgNumType w:start="21"/>
          <w:cols w:space="708"/>
        </w:sectPr>
      </w:pPr>
    </w:p>
    <w:p>
      <w:pPr>
        <w:spacing w:before="83" w:after="28"/>
        <w:ind w:left="288" w:right="0" w:firstLine="0"/>
        <w:jc w:val="left"/>
        <w:rPr>
          <w:sz w:val="20"/>
        </w:rPr>
      </w:pPr>
      <w:r>
        <w:rPr>
          <w:sz w:val="20"/>
        </w:rPr>
        <w:t xml:space="preserve">表 </w:t>
      </w:r>
      <w:r>
        <w:rPr>
          <w:rFonts w:ascii="Arial" w:eastAsia="Arial"/>
          <w:sz w:val="20"/>
        </w:rPr>
        <w:t xml:space="preserve">13 2023 </w:t>
      </w:r>
      <w:r>
        <w:rPr>
          <w:sz w:val="20"/>
        </w:rPr>
        <w:t xml:space="preserve">年纳入统计的保险公司认购的资产支持计划（单笔认购金额超 </w:t>
      </w:r>
      <w:r>
        <w:rPr>
          <w:rFonts w:ascii="Arial" w:eastAsia="Arial"/>
          <w:sz w:val="20"/>
        </w:rPr>
        <w:t xml:space="preserve">5 </w:t>
      </w:r>
      <w:r>
        <w:rPr>
          <w:sz w:val="20"/>
        </w:rPr>
        <w:t>亿元）</w:t>
      </w:r>
    </w:p>
    <w:tbl>
      <w:tblPr>
        <w:tblStyle w:val="TableNormal11"/>
        <w:tblW w:w="0" w:type="auto"/>
        <w:jc w:val="left"/>
        <w:tblInd w:w="184"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1701"/>
        <w:gridCol w:w="4820"/>
        <w:gridCol w:w="1276"/>
        <w:gridCol w:w="1134"/>
        <w:gridCol w:w="1134"/>
        <w:gridCol w:w="1482"/>
      </w:tblGrid>
      <w:tr>
        <w:tblPrEx>
          <w:tblW w:w="0" w:type="auto"/>
          <w:jc w:val="left"/>
          <w:tblInd w:w="184"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624"/>
          <w:jc w:val="left"/>
        </w:trPr>
        <w:tc>
          <w:tcPr>
            <w:tcW w:w="1701" w:type="dxa"/>
            <w:tcBorders>
              <w:left w:val="dotted" w:sz="4" w:space="0" w:color="000000"/>
              <w:bottom w:val="single" w:sz="6" w:space="0" w:color="BD0000"/>
              <w:right w:val="dotted" w:sz="4" w:space="0" w:color="000000"/>
            </w:tcBorders>
          </w:tcPr>
          <w:p>
            <w:pPr>
              <w:pStyle w:val="TableParagraph"/>
              <w:spacing w:before="5"/>
              <w:jc w:val="left"/>
              <w:rPr>
                <w:sz w:val="15"/>
              </w:rPr>
            </w:pPr>
          </w:p>
          <w:p>
            <w:pPr>
              <w:pStyle w:val="TableParagraph"/>
              <w:spacing w:before="0"/>
              <w:ind w:left="108" w:right="99"/>
              <w:rPr>
                <w:b/>
                <w:sz w:val="18"/>
              </w:rPr>
            </w:pPr>
            <w:r>
              <w:rPr>
                <w:b/>
                <w:sz w:val="18"/>
              </w:rPr>
              <w:t>认购人</w:t>
            </w:r>
          </w:p>
        </w:tc>
        <w:tc>
          <w:tcPr>
            <w:tcW w:w="4820" w:type="dxa"/>
            <w:tcBorders>
              <w:left w:val="dotted" w:sz="4" w:space="0" w:color="000000"/>
              <w:bottom w:val="single" w:sz="6" w:space="0" w:color="BD0000"/>
              <w:right w:val="dotted" w:sz="4" w:space="0" w:color="000000"/>
            </w:tcBorders>
          </w:tcPr>
          <w:p>
            <w:pPr>
              <w:pStyle w:val="TableParagraph"/>
              <w:spacing w:before="5"/>
              <w:jc w:val="left"/>
              <w:rPr>
                <w:sz w:val="15"/>
              </w:rPr>
            </w:pPr>
          </w:p>
          <w:p>
            <w:pPr>
              <w:pStyle w:val="TableParagraph"/>
              <w:spacing w:before="0"/>
              <w:ind w:left="139" w:right="130"/>
              <w:rPr>
                <w:b/>
                <w:sz w:val="18"/>
              </w:rPr>
            </w:pPr>
            <w:r>
              <w:rPr>
                <w:b/>
                <w:sz w:val="18"/>
              </w:rPr>
              <w:t>项目名称</w:t>
            </w:r>
          </w:p>
        </w:tc>
        <w:tc>
          <w:tcPr>
            <w:tcW w:w="1276" w:type="dxa"/>
            <w:tcBorders>
              <w:left w:val="dotted" w:sz="4" w:space="0" w:color="000000"/>
              <w:bottom w:val="single" w:sz="6" w:space="0" w:color="BD0000"/>
              <w:right w:val="dotted" w:sz="4" w:space="0" w:color="000000"/>
            </w:tcBorders>
          </w:tcPr>
          <w:p>
            <w:pPr>
              <w:pStyle w:val="TableParagraph"/>
              <w:spacing w:before="5"/>
              <w:jc w:val="left"/>
              <w:rPr>
                <w:sz w:val="15"/>
              </w:rPr>
            </w:pPr>
          </w:p>
          <w:p>
            <w:pPr>
              <w:pStyle w:val="TableParagraph"/>
              <w:spacing w:before="0"/>
              <w:ind w:left="137" w:right="123"/>
              <w:rPr>
                <w:b/>
                <w:sz w:val="18"/>
              </w:rPr>
            </w:pPr>
            <w:r>
              <w:rPr>
                <w:b/>
                <w:sz w:val="18"/>
              </w:rPr>
              <w:t>设立</w:t>
            </w:r>
            <w:r>
              <w:rPr>
                <w:rFonts w:ascii="Arial" w:eastAsia="Arial"/>
                <w:b/>
                <w:sz w:val="18"/>
              </w:rPr>
              <w:t>/</w:t>
            </w:r>
            <w:r>
              <w:rPr>
                <w:b/>
                <w:sz w:val="18"/>
              </w:rPr>
              <w:t>管理人</w:t>
            </w:r>
          </w:p>
        </w:tc>
        <w:tc>
          <w:tcPr>
            <w:tcW w:w="1134" w:type="dxa"/>
            <w:tcBorders>
              <w:left w:val="dotted" w:sz="4" w:space="0" w:color="000000"/>
              <w:bottom w:val="single" w:sz="6" w:space="0" w:color="BD0000"/>
              <w:right w:val="dotted" w:sz="4" w:space="0" w:color="000000"/>
            </w:tcBorders>
          </w:tcPr>
          <w:p>
            <w:pPr>
              <w:pStyle w:val="TableParagraph"/>
              <w:spacing w:before="5"/>
              <w:jc w:val="left"/>
              <w:rPr>
                <w:sz w:val="15"/>
              </w:rPr>
            </w:pPr>
          </w:p>
          <w:p>
            <w:pPr>
              <w:pStyle w:val="TableParagraph"/>
              <w:spacing w:before="0"/>
              <w:ind w:left="96" w:right="82"/>
              <w:rPr>
                <w:b/>
                <w:sz w:val="18"/>
              </w:rPr>
            </w:pPr>
            <w:r>
              <w:rPr>
                <w:b/>
                <w:sz w:val="18"/>
              </w:rPr>
              <w:t>认购时间</w:t>
            </w:r>
          </w:p>
        </w:tc>
        <w:tc>
          <w:tcPr>
            <w:tcW w:w="1134" w:type="dxa"/>
            <w:tcBorders>
              <w:left w:val="dotted" w:sz="4" w:space="0" w:color="000000"/>
              <w:bottom w:val="single" w:sz="6" w:space="0" w:color="BD0000"/>
              <w:right w:val="dotted" w:sz="4" w:space="0" w:color="000000"/>
            </w:tcBorders>
          </w:tcPr>
          <w:p>
            <w:pPr>
              <w:pStyle w:val="TableParagraph"/>
              <w:ind w:left="96" w:right="85"/>
              <w:rPr>
                <w:b/>
                <w:sz w:val="18"/>
              </w:rPr>
            </w:pPr>
            <w:r>
              <w:rPr>
                <w:b/>
                <w:sz w:val="18"/>
              </w:rPr>
              <w:t>认购金额</w:t>
            </w:r>
          </w:p>
          <w:p>
            <w:pPr>
              <w:pStyle w:val="TableParagraph"/>
              <w:spacing w:before="82"/>
              <w:ind w:left="96" w:right="85"/>
              <w:rPr>
                <w:rFonts w:ascii="Arial" w:eastAsia="Arial"/>
                <w:b/>
                <w:sz w:val="18"/>
              </w:rPr>
            </w:pPr>
            <w:r>
              <w:rPr>
                <w:rFonts w:ascii="Arial" w:eastAsia="Arial"/>
                <w:b/>
                <w:sz w:val="18"/>
              </w:rPr>
              <w:t>(</w:t>
            </w:r>
            <w:r>
              <w:rPr>
                <w:b/>
                <w:sz w:val="18"/>
              </w:rPr>
              <w:t>亿元</w:t>
            </w:r>
            <w:r>
              <w:rPr>
                <w:rFonts w:ascii="Arial" w:eastAsia="Arial"/>
                <w:b/>
                <w:sz w:val="18"/>
              </w:rPr>
              <w:t>)</w:t>
            </w:r>
          </w:p>
        </w:tc>
        <w:tc>
          <w:tcPr>
            <w:tcW w:w="1482" w:type="dxa"/>
            <w:tcBorders>
              <w:left w:val="dotted" w:sz="4" w:space="0" w:color="000000"/>
              <w:bottom w:val="single" w:sz="6" w:space="0" w:color="BD0000"/>
              <w:right w:val="dotted" w:sz="4" w:space="0" w:color="000000"/>
            </w:tcBorders>
          </w:tcPr>
          <w:p>
            <w:pPr>
              <w:pStyle w:val="TableParagraph"/>
              <w:spacing w:before="5"/>
              <w:jc w:val="left"/>
              <w:rPr>
                <w:sz w:val="15"/>
              </w:rPr>
            </w:pPr>
          </w:p>
          <w:p>
            <w:pPr>
              <w:pStyle w:val="TableParagraph"/>
              <w:spacing w:before="0"/>
              <w:ind w:left="91" w:right="75"/>
              <w:rPr>
                <w:b/>
                <w:sz w:val="18"/>
              </w:rPr>
            </w:pPr>
            <w:r>
              <w:rPr>
                <w:b/>
                <w:sz w:val="18"/>
              </w:rPr>
              <w:t>投资年限（年）</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val="restart"/>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45"/>
              <w:ind w:left="108" w:right="99"/>
              <w:rPr>
                <w:sz w:val="18"/>
              </w:rPr>
            </w:pPr>
            <w:r>
              <w:rPr>
                <w:sz w:val="18"/>
              </w:rPr>
              <w:t>中国人民财产保险</w:t>
            </w:r>
          </w:p>
          <w:p>
            <w:pPr>
              <w:pStyle w:val="TableParagraph"/>
              <w:spacing w:before="82"/>
              <w:ind w:left="108" w:right="99"/>
              <w:rPr>
                <w:sz w:val="18"/>
              </w:rPr>
            </w:pPr>
            <w:r>
              <w:rPr>
                <w:sz w:val="18"/>
              </w:rPr>
              <w:t>股份有限公司</w:t>
            </w:r>
          </w:p>
        </w:tc>
        <w:tc>
          <w:tcPr>
            <w:tcW w:w="4820"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ind w:left="139" w:right="130"/>
              <w:rPr>
                <w:sz w:val="18"/>
              </w:rPr>
            </w:pPr>
            <w:r>
              <w:rPr>
                <w:sz w:val="18"/>
              </w:rPr>
              <w:t>人保资本</w:t>
            </w:r>
            <w:r>
              <w:rPr>
                <w:rFonts w:ascii="Arial" w:eastAsia="Arial"/>
                <w:sz w:val="18"/>
              </w:rPr>
              <w:t>-</w:t>
            </w:r>
            <w:r>
              <w:rPr>
                <w:sz w:val="18"/>
              </w:rPr>
              <w:t xml:space="preserve">越秀租赁 </w:t>
            </w:r>
            <w:r>
              <w:rPr>
                <w:rFonts w:ascii="Arial" w:eastAsia="Arial"/>
                <w:sz w:val="18"/>
              </w:rPr>
              <w:t xml:space="preserve">1 </w:t>
            </w:r>
            <w:r>
              <w:rPr>
                <w:sz w:val="18"/>
              </w:rPr>
              <w:t>号资产支持计划</w:t>
            </w:r>
          </w:p>
        </w:tc>
        <w:tc>
          <w:tcPr>
            <w:tcW w:w="1276"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ind w:left="130" w:right="123"/>
              <w:rPr>
                <w:sz w:val="18"/>
              </w:rPr>
            </w:pPr>
            <w:r>
              <w:rPr>
                <w:sz w:val="18"/>
              </w:rPr>
              <w:t>人保资本</w:t>
            </w:r>
          </w:p>
        </w:tc>
        <w:tc>
          <w:tcPr>
            <w:tcW w:w="1134"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54"/>
              <w:ind w:left="96" w:right="86"/>
              <w:rPr>
                <w:rFonts w:ascii="Arial"/>
                <w:sz w:val="18"/>
              </w:rPr>
            </w:pPr>
            <w:r>
              <w:rPr>
                <w:rFonts w:ascii="Arial"/>
                <w:sz w:val="18"/>
              </w:rPr>
              <w:t>2023.06.25</w:t>
            </w:r>
          </w:p>
        </w:tc>
        <w:tc>
          <w:tcPr>
            <w:tcW w:w="1134"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54"/>
              <w:ind w:left="391"/>
              <w:jc w:val="left"/>
              <w:rPr>
                <w:rFonts w:ascii="Arial"/>
                <w:sz w:val="18"/>
              </w:rPr>
            </w:pPr>
            <w:r>
              <w:rPr>
                <w:rFonts w:ascii="Arial"/>
                <w:sz w:val="18"/>
              </w:rPr>
              <w:t>6.00</w:t>
            </w:r>
          </w:p>
        </w:tc>
        <w:tc>
          <w:tcPr>
            <w:tcW w:w="1482" w:type="dxa"/>
            <w:tcBorders>
              <w:top w:val="single" w:sz="6" w:space="0" w:color="BD0000"/>
              <w:left w:val="dotted" w:sz="4" w:space="0" w:color="000000"/>
              <w:bottom w:val="dotted" w:sz="4" w:space="0" w:color="000000"/>
              <w:right w:val="dotted" w:sz="4" w:space="0" w:color="000000"/>
            </w:tcBorders>
            <w:shd w:val="clear" w:color="auto" w:fill="F1F1F1"/>
          </w:tcPr>
          <w:p>
            <w:pPr>
              <w:pStyle w:val="TableParagraph"/>
              <w:spacing w:before="54"/>
              <w:ind w:left="85" w:right="75"/>
              <w:rPr>
                <w:rFonts w:ascii="Arial"/>
                <w:sz w:val="18"/>
              </w:rPr>
            </w:pPr>
            <w:r>
              <w:rPr>
                <w:rFonts w:ascii="Arial"/>
                <w:sz w:val="18"/>
              </w:rPr>
              <w:t>2+1+1+1</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shd w:val="clear" w:color="auto" w:fill="F1F1F1"/>
          </w:tcPr>
          <w:p>
            <w:pPr>
              <w:rPr>
                <w:sz w:val="2"/>
                <w:szCs w:val="2"/>
              </w:rPr>
            </w:pPr>
          </w:p>
        </w:tc>
        <w:tc>
          <w:tcPr>
            <w:tcW w:w="4820"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0"/>
              <w:ind w:left="139" w:right="130"/>
              <w:rPr>
                <w:sz w:val="18"/>
              </w:rPr>
            </w:pPr>
            <w:r>
              <w:rPr>
                <w:sz w:val="18"/>
              </w:rPr>
              <w:t>人保资本</w:t>
            </w:r>
            <w:r>
              <w:rPr>
                <w:rFonts w:ascii="Arial" w:eastAsia="Arial"/>
                <w:sz w:val="18"/>
              </w:rPr>
              <w:t>-</w:t>
            </w:r>
            <w:r>
              <w:rPr>
                <w:sz w:val="18"/>
              </w:rPr>
              <w:t xml:space="preserve">越秀租赁 </w:t>
            </w:r>
            <w:r>
              <w:rPr>
                <w:rFonts w:ascii="Arial" w:eastAsia="Arial"/>
                <w:sz w:val="18"/>
              </w:rPr>
              <w:t xml:space="preserve">1 </w:t>
            </w:r>
            <w:r>
              <w:rPr>
                <w:sz w:val="18"/>
              </w:rPr>
              <w:t>号资产支持计划</w:t>
            </w:r>
          </w:p>
        </w:tc>
        <w:tc>
          <w:tcPr>
            <w:tcW w:w="1276"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40"/>
              <w:ind w:left="130" w:right="123"/>
              <w:rPr>
                <w:sz w:val="18"/>
              </w:rPr>
            </w:pPr>
            <w:r>
              <w:rPr>
                <w:sz w:val="18"/>
              </w:rPr>
              <w:t>人保资本</w:t>
            </w:r>
          </w:p>
        </w:tc>
        <w:tc>
          <w:tcPr>
            <w:tcW w:w="1134"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4"/>
              <w:ind w:left="96" w:right="86"/>
              <w:rPr>
                <w:rFonts w:ascii="Arial"/>
                <w:sz w:val="18"/>
              </w:rPr>
            </w:pPr>
            <w:r>
              <w:rPr>
                <w:rFonts w:ascii="Arial"/>
                <w:sz w:val="18"/>
              </w:rPr>
              <w:t>2023.06.25</w:t>
            </w:r>
          </w:p>
        </w:tc>
        <w:tc>
          <w:tcPr>
            <w:tcW w:w="1134"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4"/>
              <w:ind w:left="391"/>
              <w:jc w:val="left"/>
              <w:rPr>
                <w:rFonts w:ascii="Arial"/>
                <w:sz w:val="18"/>
              </w:rPr>
            </w:pPr>
            <w:r>
              <w:rPr>
                <w:rFonts w:ascii="Arial"/>
                <w:sz w:val="18"/>
              </w:rPr>
              <w:t>6.00</w:t>
            </w:r>
          </w:p>
        </w:tc>
        <w:tc>
          <w:tcPr>
            <w:tcW w:w="148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4"/>
              <w:ind w:left="85" w:right="75"/>
              <w:rPr>
                <w:rFonts w:ascii="Arial"/>
                <w:sz w:val="18"/>
              </w:rPr>
            </w:pPr>
            <w:r>
              <w:rPr>
                <w:rFonts w:ascii="Arial"/>
                <w:sz w:val="18"/>
              </w:rPr>
              <w:t>2+1+1+1</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47"/>
              <w:ind w:left="108" w:right="99"/>
              <w:rPr>
                <w:sz w:val="18"/>
              </w:rPr>
            </w:pPr>
            <w:r>
              <w:rPr>
                <w:sz w:val="18"/>
              </w:rPr>
              <w:t>中国人寿保险股份</w:t>
            </w:r>
          </w:p>
          <w:p>
            <w:pPr>
              <w:pStyle w:val="TableParagraph"/>
              <w:spacing w:before="81"/>
              <w:ind w:left="108" w:right="99"/>
              <w:rPr>
                <w:sz w:val="18"/>
              </w:rPr>
            </w:pPr>
            <w:r>
              <w:rPr>
                <w:sz w:val="18"/>
              </w:rPr>
              <w:t>有限公司</w:t>
            </w:r>
          </w:p>
        </w:tc>
        <w:tc>
          <w:tcPr>
            <w:tcW w:w="4820" w:type="dxa"/>
            <w:tcBorders>
              <w:top w:val="dotted" w:sz="4" w:space="0" w:color="000000"/>
              <w:left w:val="dotted" w:sz="4" w:space="0" w:color="000000"/>
              <w:bottom w:val="dotted" w:sz="4" w:space="0" w:color="000000"/>
              <w:right w:val="dotted" w:sz="4" w:space="0" w:color="000000"/>
            </w:tcBorders>
          </w:tcPr>
          <w:p>
            <w:pPr>
              <w:pStyle w:val="TableParagraph"/>
              <w:spacing w:before="40"/>
              <w:ind w:left="137" w:right="130"/>
              <w:rPr>
                <w:sz w:val="18"/>
              </w:rPr>
            </w:pPr>
            <w:r>
              <w:rPr>
                <w:sz w:val="18"/>
              </w:rPr>
              <w:t>国寿投资</w:t>
            </w:r>
            <w:r>
              <w:rPr>
                <w:rFonts w:ascii="Arial" w:eastAsia="Arial"/>
                <w:sz w:val="18"/>
              </w:rPr>
              <w:t>-</w:t>
            </w:r>
            <w:r>
              <w:rPr>
                <w:sz w:val="18"/>
              </w:rPr>
              <w:t>首创钜大奥特莱斯第二期资产支持计划</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spacing w:before="40"/>
              <w:ind w:left="130" w:right="123"/>
              <w:rPr>
                <w:sz w:val="18"/>
              </w:rPr>
            </w:pPr>
            <w:r>
              <w:rPr>
                <w:sz w:val="18"/>
              </w:rPr>
              <w:t>国寿投资</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96" w:right="86"/>
              <w:rPr>
                <w:rFonts w:ascii="Arial"/>
                <w:sz w:val="18"/>
              </w:rPr>
            </w:pPr>
            <w:r>
              <w:rPr>
                <w:rFonts w:ascii="Arial"/>
                <w:sz w:val="18"/>
              </w:rPr>
              <w:t>2023.06.29</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340"/>
              <w:jc w:val="left"/>
              <w:rPr>
                <w:rFonts w:ascii="Arial"/>
                <w:sz w:val="18"/>
              </w:rPr>
            </w:pPr>
            <w:r>
              <w:rPr>
                <w:rFonts w:ascii="Arial"/>
                <w:sz w:val="18"/>
              </w:rPr>
              <w:t>18.00</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3"/>
              <w:ind w:left="83" w:right="75"/>
              <w:rPr>
                <w:rFonts w:ascii="Arial"/>
                <w:sz w:val="18"/>
              </w:rPr>
            </w:pPr>
            <w:r>
              <w:rPr>
                <w:rFonts w:ascii="Arial"/>
                <w:sz w:val="18"/>
              </w:rPr>
              <w:t>3+3+3+3+3+3</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tcPr>
          <w:p>
            <w:pPr>
              <w:rPr>
                <w:sz w:val="2"/>
                <w:szCs w:val="2"/>
              </w:rPr>
            </w:pPr>
          </w:p>
        </w:tc>
        <w:tc>
          <w:tcPr>
            <w:tcW w:w="4820" w:type="dxa"/>
            <w:tcBorders>
              <w:top w:val="dotted" w:sz="4" w:space="0" w:color="000000"/>
              <w:left w:val="dotted" w:sz="4" w:space="0" w:color="000000"/>
              <w:bottom w:val="dotted" w:sz="4" w:space="0" w:color="000000"/>
              <w:right w:val="dotted" w:sz="4" w:space="0" w:color="000000"/>
            </w:tcBorders>
          </w:tcPr>
          <w:p>
            <w:pPr>
              <w:pStyle w:val="TableParagraph"/>
              <w:spacing w:before="42"/>
              <w:ind w:left="139" w:right="130"/>
              <w:rPr>
                <w:sz w:val="18"/>
              </w:rPr>
            </w:pPr>
            <w:r>
              <w:rPr>
                <w:sz w:val="18"/>
              </w:rPr>
              <w:t>中国人寿</w:t>
            </w:r>
            <w:r>
              <w:rPr>
                <w:rFonts w:ascii="Arial" w:eastAsia="Arial"/>
                <w:sz w:val="18"/>
              </w:rPr>
              <w:t>-</w:t>
            </w:r>
            <w:r>
              <w:rPr>
                <w:sz w:val="18"/>
              </w:rPr>
              <w:t xml:space="preserve">成善 </w:t>
            </w:r>
            <w:r>
              <w:rPr>
                <w:rFonts w:ascii="Arial" w:eastAsia="Arial"/>
                <w:sz w:val="18"/>
              </w:rPr>
              <w:t xml:space="preserve">2 </w:t>
            </w:r>
            <w:r>
              <w:rPr>
                <w:sz w:val="18"/>
              </w:rPr>
              <w:t xml:space="preserve">号资产支持计划（第 </w:t>
            </w:r>
            <w:r>
              <w:rPr>
                <w:rFonts w:ascii="Arial" w:eastAsia="Arial"/>
                <w:sz w:val="18"/>
              </w:rPr>
              <w:t xml:space="preserve">1 </w:t>
            </w:r>
            <w:r>
              <w:rPr>
                <w:sz w:val="18"/>
              </w:rPr>
              <w:t>期）</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spacing w:before="42"/>
              <w:ind w:left="130" w:right="123"/>
              <w:rPr>
                <w:sz w:val="18"/>
              </w:rPr>
            </w:pPr>
            <w:r>
              <w:rPr>
                <w:sz w:val="18"/>
              </w:rPr>
              <w:t>国寿资产</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96" w:right="86"/>
              <w:rPr>
                <w:rFonts w:ascii="Arial"/>
                <w:sz w:val="18"/>
              </w:rPr>
            </w:pPr>
            <w:r>
              <w:rPr>
                <w:rFonts w:ascii="Arial"/>
                <w:sz w:val="18"/>
              </w:rPr>
              <w:t>2023.12.27</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340"/>
              <w:jc w:val="left"/>
              <w:rPr>
                <w:rFonts w:ascii="Arial"/>
                <w:sz w:val="18"/>
              </w:rPr>
            </w:pPr>
            <w:r>
              <w:rPr>
                <w:rFonts w:ascii="Arial"/>
                <w:sz w:val="18"/>
              </w:rPr>
              <w:t>28.22</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3"/>
              <w:ind w:left="8"/>
              <w:rPr>
                <w:rFonts w:ascii="Arial"/>
                <w:sz w:val="18"/>
              </w:rPr>
            </w:pPr>
            <w:r>
              <w:rPr>
                <w:rFonts w:ascii="Arial"/>
                <w:sz w:val="18"/>
              </w:rPr>
              <w:t>1</w:t>
            </w:r>
          </w:p>
        </w:tc>
      </w:tr>
      <w:tr>
        <w:tblPrEx>
          <w:tblW w:w="0" w:type="auto"/>
          <w:jc w:val="left"/>
          <w:tblInd w:w="184" w:type="dxa"/>
          <w:tblLayout w:type="fixed"/>
          <w:tblCellMar>
            <w:top w:w="0" w:type="dxa"/>
            <w:left w:w="0" w:type="dxa"/>
            <w:bottom w:w="0" w:type="dxa"/>
            <w:right w:w="0" w:type="dxa"/>
          </w:tblCellMar>
          <w:tblLook w:val="01E0"/>
        </w:tblPrEx>
        <w:trPr>
          <w:trHeight w:val="623"/>
          <w:jc w:val="left"/>
        </w:trPr>
        <w:tc>
          <w:tcPr>
            <w:tcW w:w="170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ind w:left="130"/>
              <w:jc w:val="left"/>
              <w:rPr>
                <w:sz w:val="18"/>
              </w:rPr>
            </w:pPr>
            <w:r>
              <w:rPr>
                <w:sz w:val="18"/>
              </w:rPr>
              <w:t>中国太平洋人寿保</w:t>
            </w:r>
          </w:p>
          <w:p>
            <w:pPr>
              <w:pStyle w:val="TableParagraph"/>
              <w:spacing w:before="82"/>
              <w:ind w:left="219"/>
              <w:jc w:val="left"/>
              <w:rPr>
                <w:sz w:val="18"/>
              </w:rPr>
            </w:pPr>
            <w:r>
              <w:rPr>
                <w:sz w:val="18"/>
              </w:rPr>
              <w:t>险股份有限公司</w:t>
            </w:r>
          </w:p>
        </w:tc>
        <w:tc>
          <w:tcPr>
            <w:tcW w:w="4820"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
              <w:jc w:val="left"/>
              <w:rPr>
                <w:sz w:val="15"/>
              </w:rPr>
            </w:pPr>
          </w:p>
          <w:p>
            <w:pPr>
              <w:pStyle w:val="TableParagraph"/>
              <w:spacing w:before="0"/>
              <w:ind w:left="139" w:right="130"/>
              <w:rPr>
                <w:sz w:val="18"/>
              </w:rPr>
            </w:pPr>
            <w:r>
              <w:rPr>
                <w:sz w:val="18"/>
              </w:rPr>
              <w:t>太平洋</w:t>
            </w:r>
            <w:r>
              <w:rPr>
                <w:rFonts w:ascii="Arial" w:eastAsia="Arial"/>
                <w:sz w:val="18"/>
              </w:rPr>
              <w:t>-</w:t>
            </w:r>
            <w:r>
              <w:rPr>
                <w:sz w:val="18"/>
              </w:rPr>
              <w:t xml:space="preserve">宁波轨交商业项目 </w:t>
            </w:r>
            <w:r>
              <w:rPr>
                <w:rFonts w:ascii="Arial" w:eastAsia="Arial"/>
                <w:sz w:val="18"/>
              </w:rPr>
              <w:t xml:space="preserve">2023 </w:t>
            </w:r>
            <w:r>
              <w:rPr>
                <w:sz w:val="18"/>
              </w:rPr>
              <w:t xml:space="preserve">第 </w:t>
            </w:r>
            <w:r>
              <w:rPr>
                <w:rFonts w:ascii="Arial" w:eastAsia="Arial"/>
                <w:sz w:val="18"/>
              </w:rPr>
              <w:t xml:space="preserve">1 </w:t>
            </w:r>
            <w:r>
              <w:rPr>
                <w:sz w:val="18"/>
              </w:rPr>
              <w:t>号资产支持计划</w:t>
            </w:r>
          </w:p>
        </w:tc>
        <w:tc>
          <w:tcPr>
            <w:tcW w:w="1276"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
              <w:jc w:val="left"/>
              <w:rPr>
                <w:sz w:val="15"/>
              </w:rPr>
            </w:pPr>
          </w:p>
          <w:p>
            <w:pPr>
              <w:pStyle w:val="TableParagraph"/>
              <w:spacing w:before="0"/>
              <w:ind w:left="132" w:right="123"/>
              <w:rPr>
                <w:sz w:val="18"/>
              </w:rPr>
            </w:pPr>
            <w:r>
              <w:rPr>
                <w:sz w:val="18"/>
              </w:rPr>
              <w:t>太平洋资管</w:t>
            </w:r>
          </w:p>
        </w:tc>
        <w:tc>
          <w:tcPr>
            <w:tcW w:w="1134"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3"/>
              <w:jc w:val="left"/>
              <w:rPr>
                <w:sz w:val="16"/>
              </w:rPr>
            </w:pPr>
          </w:p>
          <w:p>
            <w:pPr>
              <w:pStyle w:val="TableParagraph"/>
              <w:spacing w:before="0"/>
              <w:ind w:left="96" w:right="86"/>
              <w:rPr>
                <w:rFonts w:ascii="Arial"/>
                <w:sz w:val="18"/>
              </w:rPr>
            </w:pPr>
            <w:r>
              <w:rPr>
                <w:rFonts w:ascii="Arial"/>
                <w:sz w:val="18"/>
              </w:rPr>
              <w:t>2023.10.31</w:t>
            </w:r>
          </w:p>
        </w:tc>
        <w:tc>
          <w:tcPr>
            <w:tcW w:w="1134"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3"/>
              <w:jc w:val="left"/>
              <w:rPr>
                <w:sz w:val="16"/>
              </w:rPr>
            </w:pPr>
          </w:p>
          <w:p>
            <w:pPr>
              <w:pStyle w:val="TableParagraph"/>
              <w:spacing w:before="0"/>
              <w:ind w:left="391"/>
              <w:jc w:val="left"/>
              <w:rPr>
                <w:rFonts w:ascii="Arial"/>
                <w:sz w:val="18"/>
              </w:rPr>
            </w:pPr>
            <w:r>
              <w:rPr>
                <w:rFonts w:ascii="Arial"/>
                <w:sz w:val="18"/>
              </w:rPr>
              <w:t>8.50</w:t>
            </w:r>
          </w:p>
        </w:tc>
        <w:tc>
          <w:tcPr>
            <w:tcW w:w="148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3"/>
              <w:jc w:val="left"/>
              <w:rPr>
                <w:sz w:val="16"/>
              </w:rPr>
            </w:pPr>
          </w:p>
          <w:p>
            <w:pPr>
              <w:pStyle w:val="TableParagraph"/>
              <w:spacing w:before="0"/>
              <w:ind w:left="85" w:right="75"/>
              <w:rPr>
                <w:rFonts w:ascii="Arial"/>
                <w:sz w:val="18"/>
              </w:rPr>
            </w:pPr>
            <w:r>
              <w:rPr>
                <w:rFonts w:ascii="Arial"/>
                <w:sz w:val="18"/>
              </w:rPr>
              <w:t>10+10+12</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val="restart"/>
            <w:tcBorders>
              <w:top w:val="dotted" w:sz="4" w:space="0" w:color="000000"/>
              <w:left w:val="dotted" w:sz="4" w:space="0" w:color="000000"/>
              <w:bottom w:val="dotted" w:sz="4" w:space="0" w:color="000000"/>
              <w:right w:val="dotted" w:sz="4" w:space="0" w:color="000000"/>
            </w:tcBorders>
          </w:tcPr>
          <w:p>
            <w:pPr>
              <w:pStyle w:val="TableParagraph"/>
              <w:spacing w:before="0"/>
              <w:jc w:val="left"/>
              <w:rPr>
                <w:sz w:val="18"/>
              </w:rPr>
            </w:pPr>
          </w:p>
          <w:p>
            <w:pPr>
              <w:pStyle w:val="TableParagraph"/>
              <w:spacing w:before="0"/>
              <w:jc w:val="left"/>
              <w:rPr>
                <w:sz w:val="18"/>
              </w:rPr>
            </w:pPr>
          </w:p>
          <w:p>
            <w:pPr>
              <w:pStyle w:val="TableParagraph"/>
              <w:spacing w:before="10"/>
              <w:jc w:val="left"/>
              <w:rPr>
                <w:sz w:val="17"/>
              </w:rPr>
            </w:pPr>
          </w:p>
          <w:p>
            <w:pPr>
              <w:pStyle w:val="TableParagraph"/>
              <w:spacing w:before="0" w:line="324" w:lineRule="auto"/>
              <w:ind w:left="490" w:right="118" w:hanging="360"/>
              <w:jc w:val="left"/>
              <w:rPr>
                <w:sz w:val="18"/>
              </w:rPr>
            </w:pPr>
            <w:r>
              <w:rPr>
                <w:sz w:val="18"/>
              </w:rPr>
              <w:t>平安人寿保险股份有限公司</w:t>
            </w:r>
          </w:p>
        </w:tc>
        <w:tc>
          <w:tcPr>
            <w:tcW w:w="4820" w:type="dxa"/>
            <w:tcBorders>
              <w:top w:val="dotted" w:sz="4" w:space="0" w:color="000000"/>
              <w:left w:val="dotted" w:sz="4" w:space="0" w:color="000000"/>
              <w:bottom w:val="dotted" w:sz="4" w:space="0" w:color="000000"/>
              <w:right w:val="dotted" w:sz="4" w:space="0" w:color="000000"/>
            </w:tcBorders>
          </w:tcPr>
          <w:p>
            <w:pPr>
              <w:pStyle w:val="TableParagraph"/>
              <w:ind w:left="139" w:right="127"/>
              <w:rPr>
                <w:sz w:val="18"/>
              </w:rPr>
            </w:pPr>
            <w:r>
              <w:rPr>
                <w:sz w:val="18"/>
              </w:rPr>
              <w:t>平安</w:t>
            </w:r>
            <w:r>
              <w:rPr>
                <w:rFonts w:ascii="Arial" w:eastAsia="Arial"/>
                <w:sz w:val="18"/>
              </w:rPr>
              <w:t>-</w:t>
            </w:r>
            <w:r>
              <w:rPr>
                <w:sz w:val="18"/>
              </w:rPr>
              <w:t>嘉迪</w:t>
            </w:r>
            <w:r>
              <w:rPr>
                <w:rFonts w:ascii="Arial" w:eastAsia="Arial"/>
                <w:sz w:val="18"/>
              </w:rPr>
              <w:t>-</w:t>
            </w:r>
            <w:r>
              <w:rPr>
                <w:sz w:val="18"/>
              </w:rPr>
              <w:t xml:space="preserve">利盈 </w:t>
            </w:r>
            <w:r>
              <w:rPr>
                <w:rFonts w:ascii="Arial" w:eastAsia="Arial"/>
                <w:sz w:val="18"/>
              </w:rPr>
              <w:t xml:space="preserve">3 </w:t>
            </w:r>
            <w:r>
              <w:rPr>
                <w:sz w:val="18"/>
              </w:rPr>
              <w:t xml:space="preserve">号资产支持计划（第 </w:t>
            </w:r>
            <w:r>
              <w:rPr>
                <w:rFonts w:ascii="Arial" w:eastAsia="Arial"/>
                <w:sz w:val="18"/>
              </w:rPr>
              <w:t xml:space="preserve">2 </w:t>
            </w:r>
            <w:r>
              <w:rPr>
                <w:sz w:val="18"/>
              </w:rPr>
              <w:t>期）</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ind w:left="130" w:right="123"/>
              <w:rPr>
                <w:sz w:val="18"/>
              </w:rPr>
            </w:pPr>
            <w:r>
              <w:rPr>
                <w:sz w:val="18"/>
              </w:rPr>
              <w:t>平安资产</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2"/>
              <w:ind w:left="96" w:right="86"/>
              <w:rPr>
                <w:rFonts w:ascii="Arial"/>
                <w:sz w:val="18"/>
              </w:rPr>
            </w:pPr>
            <w:r>
              <w:rPr>
                <w:rFonts w:ascii="Arial"/>
                <w:sz w:val="18"/>
              </w:rPr>
              <w:t>2023.01.05</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2"/>
              <w:ind w:left="340"/>
              <w:jc w:val="left"/>
              <w:rPr>
                <w:rFonts w:ascii="Arial"/>
                <w:sz w:val="18"/>
              </w:rPr>
            </w:pPr>
            <w:r>
              <w:rPr>
                <w:rFonts w:ascii="Arial"/>
                <w:sz w:val="18"/>
              </w:rPr>
              <w:t>12.78</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2"/>
              <w:ind w:left="8"/>
              <w:rPr>
                <w:rFonts w:ascii="Arial"/>
                <w:sz w:val="18"/>
              </w:rPr>
            </w:pPr>
            <w:r>
              <w:rPr>
                <w:rFonts w:ascii="Arial"/>
                <w:sz w:val="18"/>
              </w:rPr>
              <w:t>1</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tcPr>
          <w:p>
            <w:pPr>
              <w:rPr>
                <w:sz w:val="2"/>
                <w:szCs w:val="2"/>
              </w:rPr>
            </w:pPr>
          </w:p>
        </w:tc>
        <w:tc>
          <w:tcPr>
            <w:tcW w:w="4820" w:type="dxa"/>
            <w:tcBorders>
              <w:top w:val="dotted" w:sz="4" w:space="0" w:color="000000"/>
              <w:left w:val="dotted" w:sz="4" w:space="0" w:color="000000"/>
              <w:bottom w:val="dotted" w:sz="4" w:space="0" w:color="000000"/>
              <w:right w:val="dotted" w:sz="4" w:space="0" w:color="000000"/>
            </w:tcBorders>
          </w:tcPr>
          <w:p>
            <w:pPr>
              <w:pStyle w:val="TableParagraph"/>
              <w:spacing w:before="40"/>
              <w:ind w:left="139" w:right="130"/>
              <w:rPr>
                <w:sz w:val="18"/>
              </w:rPr>
            </w:pPr>
            <w:r>
              <w:rPr>
                <w:sz w:val="18"/>
              </w:rPr>
              <w:t>平安</w:t>
            </w:r>
            <w:r>
              <w:rPr>
                <w:rFonts w:ascii="Arial" w:eastAsia="Arial"/>
                <w:sz w:val="18"/>
              </w:rPr>
              <w:t>-</w:t>
            </w:r>
            <w:r>
              <w:rPr>
                <w:sz w:val="18"/>
              </w:rPr>
              <w:t xml:space="preserve">信丰 </w:t>
            </w:r>
            <w:r>
              <w:rPr>
                <w:rFonts w:ascii="Arial" w:eastAsia="Arial"/>
                <w:sz w:val="18"/>
              </w:rPr>
              <w:t xml:space="preserve">1 </w:t>
            </w:r>
            <w:r>
              <w:rPr>
                <w:sz w:val="18"/>
              </w:rPr>
              <w:t xml:space="preserve">号资产支持计划（第 </w:t>
            </w:r>
            <w:r>
              <w:rPr>
                <w:rFonts w:ascii="Arial" w:eastAsia="Arial"/>
                <w:sz w:val="18"/>
              </w:rPr>
              <w:t xml:space="preserve">5 </w:t>
            </w:r>
            <w:r>
              <w:rPr>
                <w:sz w:val="18"/>
              </w:rPr>
              <w:t>期）优先级</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spacing w:before="40"/>
              <w:ind w:left="130" w:right="123"/>
              <w:rPr>
                <w:sz w:val="18"/>
              </w:rPr>
            </w:pPr>
            <w:r>
              <w:rPr>
                <w:sz w:val="18"/>
              </w:rPr>
              <w:t>平安资产</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4"/>
              <w:ind w:left="96" w:right="86"/>
              <w:rPr>
                <w:rFonts w:ascii="Arial"/>
                <w:sz w:val="18"/>
              </w:rPr>
            </w:pPr>
            <w:r>
              <w:rPr>
                <w:rFonts w:ascii="Arial"/>
                <w:sz w:val="18"/>
              </w:rPr>
              <w:t>2023.01.10</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4"/>
              <w:ind w:left="391"/>
              <w:jc w:val="left"/>
              <w:rPr>
                <w:rFonts w:ascii="Arial"/>
                <w:sz w:val="18"/>
              </w:rPr>
            </w:pPr>
            <w:r>
              <w:rPr>
                <w:rFonts w:ascii="Arial"/>
                <w:sz w:val="18"/>
              </w:rPr>
              <w:t>9.00</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4"/>
              <w:ind w:left="85" w:right="75"/>
              <w:rPr>
                <w:rFonts w:ascii="Arial"/>
                <w:sz w:val="18"/>
              </w:rPr>
            </w:pPr>
            <w:r>
              <w:rPr>
                <w:rFonts w:ascii="Arial"/>
                <w:sz w:val="18"/>
              </w:rPr>
              <w:t>2.75</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tcPr>
          <w:p>
            <w:pPr>
              <w:rPr>
                <w:sz w:val="2"/>
                <w:szCs w:val="2"/>
              </w:rPr>
            </w:pPr>
          </w:p>
        </w:tc>
        <w:tc>
          <w:tcPr>
            <w:tcW w:w="4820" w:type="dxa"/>
            <w:tcBorders>
              <w:top w:val="dotted" w:sz="4" w:space="0" w:color="000000"/>
              <w:left w:val="dotted" w:sz="4" w:space="0" w:color="000000"/>
              <w:bottom w:val="dotted" w:sz="4" w:space="0" w:color="000000"/>
              <w:right w:val="dotted" w:sz="4" w:space="0" w:color="000000"/>
            </w:tcBorders>
          </w:tcPr>
          <w:p>
            <w:pPr>
              <w:pStyle w:val="TableParagraph"/>
              <w:spacing w:before="40"/>
              <w:ind w:left="139" w:right="130"/>
              <w:rPr>
                <w:sz w:val="18"/>
              </w:rPr>
            </w:pPr>
            <w:r>
              <w:rPr>
                <w:sz w:val="18"/>
              </w:rPr>
              <w:t>平安</w:t>
            </w:r>
            <w:r>
              <w:rPr>
                <w:rFonts w:ascii="Arial" w:eastAsia="Arial"/>
                <w:sz w:val="18"/>
              </w:rPr>
              <w:t>-</w:t>
            </w:r>
            <w:r>
              <w:rPr>
                <w:sz w:val="18"/>
              </w:rPr>
              <w:t xml:space="preserve">信丰 </w:t>
            </w:r>
            <w:r>
              <w:rPr>
                <w:rFonts w:ascii="Arial" w:eastAsia="Arial"/>
                <w:sz w:val="18"/>
              </w:rPr>
              <w:t xml:space="preserve">1 </w:t>
            </w:r>
            <w:r>
              <w:rPr>
                <w:sz w:val="18"/>
              </w:rPr>
              <w:t xml:space="preserve">号资产支持计划（第 </w:t>
            </w:r>
            <w:r>
              <w:rPr>
                <w:rFonts w:ascii="Arial" w:eastAsia="Arial"/>
                <w:sz w:val="18"/>
              </w:rPr>
              <w:t xml:space="preserve">6 </w:t>
            </w:r>
            <w:r>
              <w:rPr>
                <w:sz w:val="18"/>
              </w:rPr>
              <w:t>期）优先级</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spacing w:before="40"/>
              <w:ind w:left="130" w:right="123"/>
              <w:rPr>
                <w:sz w:val="18"/>
              </w:rPr>
            </w:pPr>
            <w:r>
              <w:rPr>
                <w:sz w:val="18"/>
              </w:rPr>
              <w:t>平安资产</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4"/>
              <w:ind w:left="96" w:right="86"/>
              <w:rPr>
                <w:rFonts w:ascii="Arial"/>
                <w:sz w:val="18"/>
              </w:rPr>
            </w:pPr>
            <w:r>
              <w:rPr>
                <w:rFonts w:ascii="Arial"/>
                <w:sz w:val="18"/>
              </w:rPr>
              <w:t>2023.02.21</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4"/>
              <w:ind w:left="391"/>
              <w:jc w:val="left"/>
              <w:rPr>
                <w:rFonts w:ascii="Arial"/>
                <w:sz w:val="18"/>
              </w:rPr>
            </w:pPr>
            <w:r>
              <w:rPr>
                <w:rFonts w:ascii="Arial"/>
                <w:sz w:val="18"/>
              </w:rPr>
              <w:t>6.00</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4"/>
              <w:ind w:left="85" w:right="75"/>
              <w:rPr>
                <w:rFonts w:ascii="Arial"/>
                <w:sz w:val="18"/>
              </w:rPr>
            </w:pPr>
            <w:r>
              <w:rPr>
                <w:rFonts w:ascii="Arial"/>
                <w:sz w:val="18"/>
              </w:rPr>
              <w:t>2.75</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tcPr>
          <w:p>
            <w:pPr>
              <w:rPr>
                <w:sz w:val="2"/>
                <w:szCs w:val="2"/>
              </w:rPr>
            </w:pPr>
          </w:p>
        </w:tc>
        <w:tc>
          <w:tcPr>
            <w:tcW w:w="4820" w:type="dxa"/>
            <w:tcBorders>
              <w:top w:val="dotted" w:sz="4" w:space="0" w:color="000000"/>
              <w:left w:val="dotted" w:sz="4" w:space="0" w:color="000000"/>
              <w:bottom w:val="dotted" w:sz="4" w:space="0" w:color="000000"/>
              <w:right w:val="dotted" w:sz="4" w:space="0" w:color="000000"/>
            </w:tcBorders>
          </w:tcPr>
          <w:p>
            <w:pPr>
              <w:pStyle w:val="TableParagraph"/>
              <w:spacing w:before="40"/>
              <w:ind w:left="139" w:right="130"/>
              <w:rPr>
                <w:sz w:val="18"/>
              </w:rPr>
            </w:pPr>
            <w:r>
              <w:rPr>
                <w:sz w:val="18"/>
              </w:rPr>
              <w:t>平安</w:t>
            </w:r>
            <w:r>
              <w:rPr>
                <w:rFonts w:ascii="Arial" w:eastAsia="Arial"/>
                <w:sz w:val="18"/>
              </w:rPr>
              <w:t>-</w:t>
            </w:r>
            <w:r>
              <w:rPr>
                <w:sz w:val="18"/>
              </w:rPr>
              <w:t xml:space="preserve">欣融 </w:t>
            </w:r>
            <w:r>
              <w:rPr>
                <w:rFonts w:ascii="Arial" w:eastAsia="Arial"/>
                <w:sz w:val="18"/>
              </w:rPr>
              <w:t xml:space="preserve">2 </w:t>
            </w:r>
            <w:r>
              <w:rPr>
                <w:sz w:val="18"/>
              </w:rPr>
              <w:t xml:space="preserve">号小额消费资产支持计划（第 </w:t>
            </w:r>
            <w:r>
              <w:rPr>
                <w:rFonts w:ascii="Arial" w:eastAsia="Arial"/>
                <w:sz w:val="18"/>
              </w:rPr>
              <w:t xml:space="preserve">3 </w:t>
            </w:r>
            <w:r>
              <w:rPr>
                <w:sz w:val="18"/>
              </w:rPr>
              <w:t>期）</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spacing w:before="40"/>
              <w:ind w:left="130" w:right="123"/>
              <w:rPr>
                <w:sz w:val="18"/>
              </w:rPr>
            </w:pPr>
            <w:r>
              <w:rPr>
                <w:sz w:val="18"/>
              </w:rPr>
              <w:t>平安资产</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96" w:right="86"/>
              <w:rPr>
                <w:rFonts w:ascii="Arial"/>
                <w:sz w:val="18"/>
              </w:rPr>
            </w:pPr>
            <w:r>
              <w:rPr>
                <w:rFonts w:ascii="Arial"/>
                <w:sz w:val="18"/>
              </w:rPr>
              <w:t>2023.09.26</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391"/>
              <w:jc w:val="left"/>
              <w:rPr>
                <w:rFonts w:ascii="Arial"/>
                <w:sz w:val="18"/>
              </w:rPr>
            </w:pPr>
            <w:r>
              <w:rPr>
                <w:rFonts w:ascii="Arial"/>
                <w:sz w:val="18"/>
              </w:rPr>
              <w:t>8.90</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3"/>
              <w:ind w:left="85" w:right="75"/>
              <w:rPr>
                <w:rFonts w:ascii="Arial"/>
                <w:sz w:val="18"/>
              </w:rPr>
            </w:pPr>
            <w:r>
              <w:rPr>
                <w:rFonts w:ascii="Arial"/>
                <w:sz w:val="18"/>
              </w:rPr>
              <w:t>1.75</w:t>
            </w:r>
          </w:p>
        </w:tc>
      </w:tr>
      <w:tr>
        <w:tblPrEx>
          <w:tblW w:w="0" w:type="auto"/>
          <w:jc w:val="left"/>
          <w:tblInd w:w="184" w:type="dxa"/>
          <w:tblLayout w:type="fixed"/>
          <w:tblCellMar>
            <w:top w:w="0" w:type="dxa"/>
            <w:left w:w="0" w:type="dxa"/>
            <w:bottom w:w="0" w:type="dxa"/>
            <w:right w:w="0" w:type="dxa"/>
          </w:tblCellMar>
          <w:tblLook w:val="01E0"/>
        </w:tblPrEx>
        <w:trPr>
          <w:trHeight w:val="311"/>
          <w:jc w:val="left"/>
        </w:trPr>
        <w:tc>
          <w:tcPr>
            <w:tcW w:w="1701" w:type="dxa"/>
            <w:vMerge/>
            <w:tcBorders>
              <w:top w:val="nil"/>
              <w:left w:val="dotted" w:sz="4" w:space="0" w:color="000000"/>
              <w:bottom w:val="dotted" w:sz="4" w:space="0" w:color="000000"/>
              <w:right w:val="dotted" w:sz="4" w:space="0" w:color="000000"/>
            </w:tcBorders>
          </w:tcPr>
          <w:p>
            <w:pPr>
              <w:rPr>
                <w:sz w:val="2"/>
                <w:szCs w:val="2"/>
              </w:rPr>
            </w:pPr>
          </w:p>
        </w:tc>
        <w:tc>
          <w:tcPr>
            <w:tcW w:w="4820" w:type="dxa"/>
            <w:tcBorders>
              <w:top w:val="dotted" w:sz="4" w:space="0" w:color="000000"/>
              <w:left w:val="dotted" w:sz="4" w:space="0" w:color="000000"/>
              <w:bottom w:val="dotted" w:sz="4" w:space="0" w:color="000000"/>
              <w:right w:val="dotted" w:sz="4" w:space="0" w:color="000000"/>
            </w:tcBorders>
          </w:tcPr>
          <w:p>
            <w:pPr>
              <w:pStyle w:val="TableParagraph"/>
              <w:spacing w:before="42"/>
              <w:ind w:left="139" w:right="130"/>
              <w:rPr>
                <w:sz w:val="18"/>
              </w:rPr>
            </w:pPr>
            <w:r>
              <w:rPr>
                <w:sz w:val="18"/>
              </w:rPr>
              <w:t>平安</w:t>
            </w:r>
            <w:r>
              <w:rPr>
                <w:rFonts w:ascii="Arial" w:eastAsia="Arial"/>
                <w:sz w:val="18"/>
              </w:rPr>
              <w:t>-</w:t>
            </w:r>
            <w:r>
              <w:rPr>
                <w:sz w:val="18"/>
              </w:rPr>
              <w:t xml:space="preserve">石家庄城发投 </w:t>
            </w:r>
            <w:r>
              <w:rPr>
                <w:rFonts w:ascii="Arial" w:eastAsia="Arial"/>
                <w:sz w:val="18"/>
              </w:rPr>
              <w:t xml:space="preserve">1 </w:t>
            </w:r>
            <w:r>
              <w:rPr>
                <w:sz w:val="18"/>
              </w:rPr>
              <w:t xml:space="preserve">号供应链资产支持计划（第 </w:t>
            </w:r>
            <w:r>
              <w:rPr>
                <w:rFonts w:ascii="Arial" w:eastAsia="Arial"/>
                <w:sz w:val="18"/>
              </w:rPr>
              <w:t xml:space="preserve">1 </w:t>
            </w:r>
            <w:r>
              <w:rPr>
                <w:sz w:val="18"/>
              </w:rPr>
              <w:t>期）</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spacing w:before="42"/>
              <w:ind w:left="130" w:right="123"/>
              <w:rPr>
                <w:sz w:val="18"/>
              </w:rPr>
            </w:pPr>
            <w:r>
              <w:rPr>
                <w:sz w:val="18"/>
              </w:rPr>
              <w:t>平安资产</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96" w:right="86"/>
              <w:rPr>
                <w:rFonts w:ascii="Arial"/>
                <w:sz w:val="18"/>
              </w:rPr>
            </w:pPr>
            <w:r>
              <w:rPr>
                <w:rFonts w:ascii="Arial"/>
                <w:sz w:val="18"/>
              </w:rPr>
              <w:t>2023.09.27</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3"/>
              <w:ind w:left="340"/>
              <w:jc w:val="left"/>
              <w:rPr>
                <w:rFonts w:ascii="Arial"/>
                <w:sz w:val="18"/>
              </w:rPr>
            </w:pPr>
            <w:r>
              <w:rPr>
                <w:rFonts w:ascii="Arial"/>
                <w:sz w:val="18"/>
              </w:rPr>
              <w:t>11.50</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3"/>
              <w:ind w:left="8"/>
              <w:rPr>
                <w:rFonts w:ascii="Arial"/>
                <w:sz w:val="18"/>
              </w:rPr>
            </w:pPr>
            <w:r>
              <w:rPr>
                <w:rFonts w:ascii="Arial"/>
                <w:sz w:val="18"/>
              </w:rPr>
              <w:t>1</w:t>
            </w:r>
          </w:p>
        </w:tc>
      </w:tr>
      <w:tr>
        <w:tblPrEx>
          <w:tblW w:w="0" w:type="auto"/>
          <w:jc w:val="left"/>
          <w:tblInd w:w="184" w:type="dxa"/>
          <w:tblLayout w:type="fixed"/>
          <w:tblCellMar>
            <w:top w:w="0" w:type="dxa"/>
            <w:left w:w="0" w:type="dxa"/>
            <w:bottom w:w="0" w:type="dxa"/>
            <w:right w:w="0" w:type="dxa"/>
          </w:tblCellMar>
          <w:tblLook w:val="01E0"/>
        </w:tblPrEx>
        <w:trPr>
          <w:trHeight w:val="312"/>
          <w:jc w:val="left"/>
        </w:trPr>
        <w:tc>
          <w:tcPr>
            <w:tcW w:w="1701" w:type="dxa"/>
            <w:vMerge/>
            <w:tcBorders>
              <w:top w:val="nil"/>
              <w:left w:val="dotted" w:sz="4" w:space="0" w:color="000000"/>
              <w:bottom w:val="dotted" w:sz="4" w:space="0" w:color="000000"/>
              <w:right w:val="dotted" w:sz="4" w:space="0" w:color="000000"/>
            </w:tcBorders>
          </w:tcPr>
          <w:p>
            <w:pPr>
              <w:rPr>
                <w:sz w:val="2"/>
                <w:szCs w:val="2"/>
              </w:rPr>
            </w:pPr>
          </w:p>
        </w:tc>
        <w:tc>
          <w:tcPr>
            <w:tcW w:w="4820" w:type="dxa"/>
            <w:tcBorders>
              <w:top w:val="dotted" w:sz="4" w:space="0" w:color="000000"/>
              <w:left w:val="dotted" w:sz="4" w:space="0" w:color="000000"/>
              <w:bottom w:val="dotted" w:sz="4" w:space="0" w:color="000000"/>
              <w:right w:val="dotted" w:sz="4" w:space="0" w:color="000000"/>
            </w:tcBorders>
          </w:tcPr>
          <w:p>
            <w:pPr>
              <w:pStyle w:val="TableParagraph"/>
              <w:ind w:left="139" w:right="130"/>
              <w:rPr>
                <w:sz w:val="18"/>
              </w:rPr>
            </w:pPr>
            <w:r>
              <w:rPr>
                <w:sz w:val="18"/>
              </w:rPr>
              <w:t>平安</w:t>
            </w:r>
            <w:r>
              <w:rPr>
                <w:rFonts w:ascii="Arial" w:eastAsia="Arial"/>
                <w:sz w:val="18"/>
              </w:rPr>
              <w:t>-</w:t>
            </w:r>
            <w:r>
              <w:rPr>
                <w:sz w:val="18"/>
              </w:rPr>
              <w:t xml:space="preserve">中航租赁 </w:t>
            </w:r>
            <w:r>
              <w:rPr>
                <w:rFonts w:ascii="Arial" w:eastAsia="Arial"/>
                <w:sz w:val="18"/>
              </w:rPr>
              <w:t xml:space="preserve">4 </w:t>
            </w:r>
            <w:r>
              <w:rPr>
                <w:sz w:val="18"/>
              </w:rPr>
              <w:t>号资产支持计划</w:t>
            </w:r>
          </w:p>
        </w:tc>
        <w:tc>
          <w:tcPr>
            <w:tcW w:w="1276" w:type="dxa"/>
            <w:tcBorders>
              <w:top w:val="dotted" w:sz="4" w:space="0" w:color="000000"/>
              <w:left w:val="dotted" w:sz="4" w:space="0" w:color="000000"/>
              <w:bottom w:val="dotted" w:sz="4" w:space="0" w:color="000000"/>
              <w:right w:val="dotted" w:sz="4" w:space="0" w:color="000000"/>
            </w:tcBorders>
          </w:tcPr>
          <w:p>
            <w:pPr>
              <w:pStyle w:val="TableParagraph"/>
              <w:ind w:left="130" w:right="123"/>
              <w:rPr>
                <w:sz w:val="18"/>
              </w:rPr>
            </w:pPr>
            <w:r>
              <w:rPr>
                <w:sz w:val="18"/>
              </w:rPr>
              <w:t>平安资产</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2"/>
              <w:ind w:left="96" w:right="86"/>
              <w:rPr>
                <w:rFonts w:ascii="Arial"/>
                <w:sz w:val="18"/>
              </w:rPr>
            </w:pPr>
            <w:r>
              <w:rPr>
                <w:rFonts w:ascii="Arial"/>
                <w:sz w:val="18"/>
              </w:rPr>
              <w:t>2023.12.12</w:t>
            </w:r>
          </w:p>
        </w:tc>
        <w:tc>
          <w:tcPr>
            <w:tcW w:w="1134" w:type="dxa"/>
            <w:tcBorders>
              <w:top w:val="dotted" w:sz="4" w:space="0" w:color="000000"/>
              <w:left w:val="dotted" w:sz="4" w:space="0" w:color="000000"/>
              <w:bottom w:val="dotted" w:sz="4" w:space="0" w:color="000000"/>
              <w:right w:val="dotted" w:sz="4" w:space="0" w:color="000000"/>
            </w:tcBorders>
          </w:tcPr>
          <w:p>
            <w:pPr>
              <w:pStyle w:val="TableParagraph"/>
              <w:spacing w:before="52"/>
              <w:ind w:left="391"/>
              <w:jc w:val="left"/>
              <w:rPr>
                <w:rFonts w:ascii="Arial"/>
                <w:sz w:val="18"/>
              </w:rPr>
            </w:pPr>
            <w:r>
              <w:rPr>
                <w:rFonts w:ascii="Arial"/>
                <w:sz w:val="18"/>
              </w:rPr>
              <w:t>9.00</w:t>
            </w:r>
          </w:p>
        </w:tc>
        <w:tc>
          <w:tcPr>
            <w:tcW w:w="1482" w:type="dxa"/>
            <w:tcBorders>
              <w:top w:val="dotted" w:sz="4" w:space="0" w:color="000000"/>
              <w:left w:val="dotted" w:sz="4" w:space="0" w:color="000000"/>
              <w:bottom w:val="dotted" w:sz="4" w:space="0" w:color="000000"/>
              <w:right w:val="dotted" w:sz="4" w:space="0" w:color="000000"/>
            </w:tcBorders>
          </w:tcPr>
          <w:p>
            <w:pPr>
              <w:pStyle w:val="TableParagraph"/>
              <w:spacing w:before="52"/>
              <w:ind w:left="85" w:right="75"/>
              <w:rPr>
                <w:rFonts w:ascii="Arial"/>
                <w:sz w:val="18"/>
              </w:rPr>
            </w:pPr>
            <w:r>
              <w:rPr>
                <w:rFonts w:ascii="Arial"/>
                <w:sz w:val="18"/>
              </w:rPr>
              <w:t>2.7</w:t>
            </w:r>
          </w:p>
        </w:tc>
      </w:tr>
      <w:tr>
        <w:tblPrEx>
          <w:tblW w:w="0" w:type="auto"/>
          <w:jc w:val="left"/>
          <w:tblInd w:w="184" w:type="dxa"/>
          <w:tblLayout w:type="fixed"/>
          <w:tblCellMar>
            <w:top w:w="0" w:type="dxa"/>
            <w:left w:w="0" w:type="dxa"/>
            <w:bottom w:w="0" w:type="dxa"/>
            <w:right w:w="0" w:type="dxa"/>
          </w:tblCellMar>
          <w:tblLook w:val="01E0"/>
        </w:tblPrEx>
        <w:trPr>
          <w:trHeight w:val="623"/>
          <w:jc w:val="left"/>
        </w:trPr>
        <w:tc>
          <w:tcPr>
            <w:tcW w:w="1701"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ind w:left="108" w:right="99"/>
              <w:rPr>
                <w:sz w:val="18"/>
              </w:rPr>
            </w:pPr>
            <w:r>
              <w:rPr>
                <w:sz w:val="18"/>
              </w:rPr>
              <w:t>平安财产保险股份</w:t>
            </w:r>
          </w:p>
          <w:p>
            <w:pPr>
              <w:pStyle w:val="TableParagraph"/>
              <w:spacing w:before="81"/>
              <w:ind w:left="108" w:right="99"/>
              <w:rPr>
                <w:sz w:val="18"/>
              </w:rPr>
            </w:pPr>
            <w:r>
              <w:rPr>
                <w:sz w:val="18"/>
              </w:rPr>
              <w:t>有限公司</w:t>
            </w:r>
          </w:p>
        </w:tc>
        <w:tc>
          <w:tcPr>
            <w:tcW w:w="4820"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
              <w:jc w:val="left"/>
              <w:rPr>
                <w:sz w:val="15"/>
              </w:rPr>
            </w:pPr>
          </w:p>
          <w:p>
            <w:pPr>
              <w:pStyle w:val="TableParagraph"/>
              <w:spacing w:before="0"/>
              <w:ind w:left="139" w:right="130"/>
              <w:rPr>
                <w:sz w:val="18"/>
              </w:rPr>
            </w:pPr>
            <w:r>
              <w:rPr>
                <w:sz w:val="18"/>
              </w:rPr>
              <w:t>平安</w:t>
            </w:r>
            <w:r>
              <w:rPr>
                <w:rFonts w:ascii="Arial" w:eastAsia="Arial"/>
                <w:sz w:val="18"/>
              </w:rPr>
              <w:t>-</w:t>
            </w:r>
            <w:r>
              <w:rPr>
                <w:sz w:val="18"/>
              </w:rPr>
              <w:t xml:space="preserve">欣融 </w:t>
            </w:r>
            <w:r>
              <w:rPr>
                <w:rFonts w:ascii="Arial" w:eastAsia="Arial"/>
                <w:sz w:val="18"/>
              </w:rPr>
              <w:t xml:space="preserve">1 </w:t>
            </w:r>
            <w:r>
              <w:rPr>
                <w:sz w:val="18"/>
              </w:rPr>
              <w:t>号小额消费资产支持计划（</w:t>
            </w:r>
            <w:r>
              <w:rPr>
                <w:rFonts w:ascii="Arial" w:eastAsia="Arial"/>
                <w:sz w:val="18"/>
              </w:rPr>
              <w:t xml:space="preserve">1 </w:t>
            </w:r>
            <w:r>
              <w:rPr>
                <w:sz w:val="18"/>
              </w:rPr>
              <w:t>期）</w:t>
            </w:r>
          </w:p>
        </w:tc>
        <w:tc>
          <w:tcPr>
            <w:tcW w:w="1276"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5"/>
              <w:jc w:val="left"/>
              <w:rPr>
                <w:sz w:val="15"/>
              </w:rPr>
            </w:pPr>
          </w:p>
          <w:p>
            <w:pPr>
              <w:pStyle w:val="TableParagraph"/>
              <w:spacing w:before="0"/>
              <w:ind w:left="130" w:right="123"/>
              <w:rPr>
                <w:sz w:val="18"/>
              </w:rPr>
            </w:pPr>
            <w:r>
              <w:rPr>
                <w:sz w:val="18"/>
              </w:rPr>
              <w:t>平安资产</w:t>
            </w:r>
          </w:p>
        </w:tc>
        <w:tc>
          <w:tcPr>
            <w:tcW w:w="1134"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3"/>
              <w:jc w:val="left"/>
              <w:rPr>
                <w:sz w:val="16"/>
              </w:rPr>
            </w:pPr>
          </w:p>
          <w:p>
            <w:pPr>
              <w:pStyle w:val="TableParagraph"/>
              <w:spacing w:before="0"/>
              <w:ind w:left="96" w:right="86"/>
              <w:rPr>
                <w:rFonts w:ascii="Arial"/>
                <w:sz w:val="18"/>
              </w:rPr>
            </w:pPr>
            <w:r>
              <w:rPr>
                <w:rFonts w:ascii="Arial"/>
                <w:sz w:val="18"/>
              </w:rPr>
              <w:t>2023.06.07</w:t>
            </w:r>
          </w:p>
        </w:tc>
        <w:tc>
          <w:tcPr>
            <w:tcW w:w="1134"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3"/>
              <w:jc w:val="left"/>
              <w:rPr>
                <w:sz w:val="16"/>
              </w:rPr>
            </w:pPr>
          </w:p>
          <w:p>
            <w:pPr>
              <w:pStyle w:val="TableParagraph"/>
              <w:spacing w:before="0"/>
              <w:ind w:left="391"/>
              <w:jc w:val="left"/>
              <w:rPr>
                <w:rFonts w:ascii="Arial"/>
                <w:sz w:val="18"/>
              </w:rPr>
            </w:pPr>
            <w:r>
              <w:rPr>
                <w:rFonts w:ascii="Arial"/>
                <w:sz w:val="18"/>
              </w:rPr>
              <w:t>6.90</w:t>
            </w:r>
          </w:p>
        </w:tc>
        <w:tc>
          <w:tcPr>
            <w:tcW w:w="1482" w:type="dxa"/>
            <w:tcBorders>
              <w:top w:val="dotted" w:sz="4" w:space="0" w:color="000000"/>
              <w:left w:val="dotted" w:sz="4" w:space="0" w:color="000000"/>
              <w:bottom w:val="dotted" w:sz="4" w:space="0" w:color="000000"/>
              <w:right w:val="dotted" w:sz="4" w:space="0" w:color="000000"/>
            </w:tcBorders>
            <w:shd w:val="clear" w:color="auto" w:fill="F1F1F1"/>
          </w:tcPr>
          <w:p>
            <w:pPr>
              <w:pStyle w:val="TableParagraph"/>
              <w:spacing w:before="3"/>
              <w:jc w:val="left"/>
              <w:rPr>
                <w:sz w:val="16"/>
              </w:rPr>
            </w:pPr>
          </w:p>
          <w:p>
            <w:pPr>
              <w:pStyle w:val="TableParagraph"/>
              <w:spacing w:before="0"/>
              <w:ind w:left="85" w:right="75"/>
              <w:rPr>
                <w:rFonts w:ascii="Arial"/>
                <w:sz w:val="18"/>
              </w:rPr>
            </w:pPr>
            <w:r>
              <w:rPr>
                <w:rFonts w:ascii="Arial"/>
                <w:sz w:val="18"/>
              </w:rPr>
              <w:t>1.75</w:t>
            </w:r>
          </w:p>
        </w:tc>
      </w:tr>
      <w:tr>
        <w:tblPrEx>
          <w:tblW w:w="0" w:type="auto"/>
          <w:jc w:val="left"/>
          <w:tblInd w:w="184" w:type="dxa"/>
          <w:tblLayout w:type="fixed"/>
          <w:tblCellMar>
            <w:top w:w="0" w:type="dxa"/>
            <w:left w:w="0" w:type="dxa"/>
            <w:bottom w:w="0" w:type="dxa"/>
            <w:right w:w="0" w:type="dxa"/>
          </w:tblCellMar>
          <w:tblLook w:val="01E0"/>
        </w:tblPrEx>
        <w:trPr>
          <w:trHeight w:val="623"/>
          <w:jc w:val="left"/>
        </w:trPr>
        <w:tc>
          <w:tcPr>
            <w:tcW w:w="1701" w:type="dxa"/>
            <w:tcBorders>
              <w:top w:val="dotted" w:sz="4" w:space="0" w:color="000000"/>
              <w:left w:val="dotted" w:sz="4" w:space="0" w:color="000000"/>
              <w:bottom w:val="single" w:sz="12" w:space="0" w:color="C00000"/>
              <w:right w:val="dotted" w:sz="4" w:space="0" w:color="000000"/>
            </w:tcBorders>
          </w:tcPr>
          <w:p>
            <w:pPr>
              <w:pStyle w:val="TableParagraph"/>
              <w:ind w:left="108" w:right="99"/>
              <w:rPr>
                <w:sz w:val="18"/>
              </w:rPr>
            </w:pPr>
            <w:r>
              <w:rPr>
                <w:sz w:val="18"/>
              </w:rPr>
              <w:t>泰康人寿保险有限</w:t>
            </w:r>
          </w:p>
          <w:p>
            <w:pPr>
              <w:pStyle w:val="TableParagraph"/>
              <w:spacing w:before="81"/>
              <w:ind w:left="108" w:right="99"/>
              <w:rPr>
                <w:sz w:val="18"/>
              </w:rPr>
            </w:pPr>
            <w:r>
              <w:rPr>
                <w:sz w:val="18"/>
              </w:rPr>
              <w:t>责任公司</w:t>
            </w:r>
          </w:p>
        </w:tc>
        <w:tc>
          <w:tcPr>
            <w:tcW w:w="4820" w:type="dxa"/>
            <w:tcBorders>
              <w:top w:val="dotted" w:sz="4" w:space="0" w:color="000000"/>
              <w:left w:val="dotted" w:sz="4" w:space="0" w:color="000000"/>
              <w:bottom w:val="single" w:sz="12" w:space="0" w:color="C00000"/>
              <w:right w:val="dotted" w:sz="4" w:space="0" w:color="000000"/>
            </w:tcBorders>
          </w:tcPr>
          <w:p>
            <w:pPr>
              <w:pStyle w:val="TableParagraph"/>
              <w:spacing w:before="4"/>
              <w:jc w:val="left"/>
              <w:rPr>
                <w:sz w:val="15"/>
              </w:rPr>
            </w:pPr>
          </w:p>
          <w:p>
            <w:pPr>
              <w:pStyle w:val="TableParagraph"/>
              <w:spacing w:before="0"/>
              <w:ind w:left="139" w:right="130"/>
              <w:rPr>
                <w:sz w:val="18"/>
              </w:rPr>
            </w:pPr>
            <w:r>
              <w:rPr>
                <w:sz w:val="18"/>
              </w:rPr>
              <w:t>大家资产</w:t>
            </w:r>
            <w:r>
              <w:rPr>
                <w:rFonts w:ascii="Arial" w:eastAsia="Arial"/>
                <w:sz w:val="18"/>
              </w:rPr>
              <w:t>-</w:t>
            </w:r>
            <w:r>
              <w:rPr>
                <w:sz w:val="18"/>
              </w:rPr>
              <w:t xml:space="preserve">长信 </w:t>
            </w:r>
            <w:r>
              <w:rPr>
                <w:rFonts w:ascii="Arial" w:eastAsia="Arial"/>
                <w:sz w:val="18"/>
              </w:rPr>
              <w:t xml:space="preserve">1 </w:t>
            </w:r>
            <w:r>
              <w:rPr>
                <w:sz w:val="18"/>
              </w:rPr>
              <w:t>号资产支持计划</w:t>
            </w:r>
          </w:p>
        </w:tc>
        <w:tc>
          <w:tcPr>
            <w:tcW w:w="1276" w:type="dxa"/>
            <w:tcBorders>
              <w:top w:val="dotted" w:sz="4" w:space="0" w:color="000000"/>
              <w:left w:val="dotted" w:sz="4" w:space="0" w:color="000000"/>
              <w:bottom w:val="single" w:sz="12" w:space="0" w:color="C00000"/>
              <w:right w:val="dotted" w:sz="4" w:space="0" w:color="000000"/>
            </w:tcBorders>
          </w:tcPr>
          <w:p>
            <w:pPr>
              <w:pStyle w:val="TableParagraph"/>
              <w:spacing w:before="4"/>
              <w:jc w:val="left"/>
              <w:rPr>
                <w:sz w:val="15"/>
              </w:rPr>
            </w:pPr>
          </w:p>
          <w:p>
            <w:pPr>
              <w:pStyle w:val="TableParagraph"/>
              <w:spacing w:before="0"/>
              <w:ind w:left="130" w:right="123"/>
              <w:rPr>
                <w:sz w:val="18"/>
              </w:rPr>
            </w:pPr>
            <w:r>
              <w:rPr>
                <w:sz w:val="18"/>
              </w:rPr>
              <w:t>大家资产</w:t>
            </w:r>
          </w:p>
        </w:tc>
        <w:tc>
          <w:tcPr>
            <w:tcW w:w="1134" w:type="dxa"/>
            <w:tcBorders>
              <w:top w:val="dotted" w:sz="4" w:space="0" w:color="000000"/>
              <w:left w:val="dotted" w:sz="4" w:space="0" w:color="000000"/>
              <w:bottom w:val="single" w:sz="12" w:space="0" w:color="C00000"/>
              <w:right w:val="dotted" w:sz="4" w:space="0" w:color="000000"/>
            </w:tcBorders>
          </w:tcPr>
          <w:p>
            <w:pPr>
              <w:pStyle w:val="TableParagraph"/>
              <w:spacing w:before="5"/>
              <w:jc w:val="left"/>
              <w:rPr>
                <w:sz w:val="16"/>
              </w:rPr>
            </w:pPr>
          </w:p>
          <w:p>
            <w:pPr>
              <w:pStyle w:val="TableParagraph"/>
              <w:spacing w:before="0"/>
              <w:ind w:left="96" w:right="86"/>
              <w:rPr>
                <w:rFonts w:ascii="Arial"/>
                <w:sz w:val="18"/>
              </w:rPr>
            </w:pPr>
            <w:r>
              <w:rPr>
                <w:rFonts w:ascii="Arial"/>
                <w:sz w:val="18"/>
              </w:rPr>
              <w:t>2023.05.16</w:t>
            </w:r>
          </w:p>
        </w:tc>
        <w:tc>
          <w:tcPr>
            <w:tcW w:w="1134" w:type="dxa"/>
            <w:tcBorders>
              <w:top w:val="dotted" w:sz="4" w:space="0" w:color="000000"/>
              <w:left w:val="dotted" w:sz="4" w:space="0" w:color="000000"/>
              <w:bottom w:val="single" w:sz="12" w:space="0" w:color="C00000"/>
              <w:right w:val="dotted" w:sz="4" w:space="0" w:color="000000"/>
            </w:tcBorders>
          </w:tcPr>
          <w:p>
            <w:pPr>
              <w:pStyle w:val="TableParagraph"/>
              <w:spacing w:before="5"/>
              <w:jc w:val="left"/>
              <w:rPr>
                <w:sz w:val="16"/>
              </w:rPr>
            </w:pPr>
          </w:p>
          <w:p>
            <w:pPr>
              <w:pStyle w:val="TableParagraph"/>
              <w:spacing w:before="0"/>
              <w:ind w:left="391"/>
              <w:jc w:val="left"/>
              <w:rPr>
                <w:rFonts w:ascii="Arial"/>
                <w:sz w:val="18"/>
              </w:rPr>
            </w:pPr>
            <w:r>
              <w:rPr>
                <w:rFonts w:ascii="Arial"/>
                <w:sz w:val="18"/>
              </w:rPr>
              <w:t>6.40</w:t>
            </w:r>
          </w:p>
        </w:tc>
        <w:tc>
          <w:tcPr>
            <w:tcW w:w="1482" w:type="dxa"/>
            <w:tcBorders>
              <w:top w:val="dotted" w:sz="4" w:space="0" w:color="000000"/>
              <w:left w:val="dotted" w:sz="4" w:space="0" w:color="000000"/>
              <w:bottom w:val="single" w:sz="12" w:space="0" w:color="C00000"/>
              <w:right w:val="dotted" w:sz="4" w:space="0" w:color="000000"/>
            </w:tcBorders>
          </w:tcPr>
          <w:p>
            <w:pPr>
              <w:pStyle w:val="TableParagraph"/>
              <w:spacing w:before="5"/>
              <w:jc w:val="left"/>
              <w:rPr>
                <w:sz w:val="16"/>
              </w:rPr>
            </w:pPr>
          </w:p>
          <w:p>
            <w:pPr>
              <w:pStyle w:val="TableParagraph"/>
              <w:spacing w:before="0"/>
              <w:ind w:left="83" w:right="75"/>
              <w:rPr>
                <w:rFonts w:ascii="Arial"/>
                <w:sz w:val="18"/>
              </w:rPr>
            </w:pPr>
            <w:r>
              <w:rPr>
                <w:rFonts w:ascii="Arial"/>
                <w:sz w:val="18"/>
              </w:rPr>
              <w:t>0.92</w:t>
            </w:r>
          </w:p>
        </w:tc>
      </w:tr>
    </w:tbl>
    <w:p>
      <w:pPr>
        <w:spacing w:before="43"/>
        <w:ind w:left="288" w:right="0" w:firstLine="0"/>
        <w:jc w:val="left"/>
        <w:rPr>
          <w:sz w:val="18"/>
        </w:rPr>
      </w:pPr>
      <w:r>
        <w:t xml:space="preserve">资料来源：各保险公司官网， </w:t>
      </w:r>
    </w:p>
    <w:p>
      <w:pPr>
        <w:pStyle w:val="BodyText"/>
        <w:rPr>
          <w:sz w:val="20"/>
        </w:rPr>
      </w:pPr>
    </w:p>
    <w:p>
      <w:pPr>
        <w:pStyle w:val="BodyText"/>
        <w:spacing w:before="3"/>
        <w:rPr>
          <w:sz w:val="24"/>
        </w:rPr>
      </w:pPr>
    </w:p>
    <w:p>
      <w:pPr>
        <w:pStyle w:val="Heading2"/>
        <w:numPr>
          <w:ilvl w:val="1"/>
          <w:numId w:val="11"/>
        </w:numPr>
        <w:tabs>
          <w:tab w:val="left" w:pos="1604"/>
        </w:tabs>
        <w:spacing w:before="74" w:after="0" w:line="240" w:lineRule="auto"/>
        <w:ind w:left="1603" w:right="0" w:hanging="472"/>
        <w:jc w:val="left"/>
      </w:pPr>
      <w:bookmarkStart w:id="11" w:name="_TOC_250001"/>
      <w:bookmarkEnd w:id="11"/>
      <w:r>
        <w:t>资产管理板块</w:t>
      </w:r>
    </w:p>
    <w:p>
      <w:pPr>
        <w:pStyle w:val="BodyText"/>
        <w:spacing w:before="9"/>
        <w:rPr>
          <w:b/>
          <w:sz w:val="28"/>
        </w:rPr>
      </w:pPr>
    </w:p>
    <w:p>
      <w:pPr>
        <w:pStyle w:val="Heading3"/>
        <w:numPr>
          <w:ilvl w:val="2"/>
          <w:numId w:val="11"/>
        </w:numPr>
        <w:tabs>
          <w:tab w:val="left" w:pos="1736"/>
        </w:tabs>
        <w:spacing w:before="0" w:after="0" w:line="240" w:lineRule="auto"/>
        <w:ind w:left="1735" w:right="0" w:hanging="604"/>
        <w:jc w:val="left"/>
      </w:pPr>
      <w:r>
        <w:t>组合类保险资产管理产品</w:t>
      </w:r>
    </w:p>
    <w:p>
      <w:pPr>
        <w:pStyle w:val="BodyText"/>
        <w:spacing w:before="9"/>
        <w:rPr>
          <w:b/>
          <w:sz w:val="19"/>
        </w:rPr>
      </w:pPr>
    </w:p>
    <w:p>
      <w:pPr>
        <w:pStyle w:val="BodyText"/>
        <w:spacing w:line="266" w:lineRule="auto"/>
        <w:ind w:left="1132" w:right="1012" w:firstLine="441"/>
      </w:pPr>
      <w:r>
        <w:rPr>
          <w:spacing w:val="-20"/>
        </w:rPr>
        <w:t xml:space="preserve">截至 </w:t>
      </w:r>
      <w:r>
        <w:rPr>
          <w:rFonts w:ascii="Arial" w:eastAsia="Arial"/>
        </w:rPr>
        <w:t xml:space="preserve">2023 </w:t>
      </w:r>
      <w:r>
        <w:rPr>
          <w:spacing w:val="-27"/>
        </w:rPr>
        <w:t xml:space="preserve">年 </w:t>
      </w:r>
      <w:r>
        <w:rPr>
          <w:rFonts w:ascii="Arial" w:eastAsia="Arial"/>
        </w:rPr>
        <w:t xml:space="preserve">10 </w:t>
      </w:r>
      <w:r>
        <w:rPr>
          <w:spacing w:val="-15"/>
        </w:rPr>
        <w:t xml:space="preserve">月底，保险资管产品存量规模为 </w:t>
      </w:r>
      <w:r>
        <w:rPr>
          <w:rFonts w:ascii="Arial" w:eastAsia="Arial"/>
        </w:rPr>
        <w:t xml:space="preserve">6.40 </w:t>
      </w:r>
      <w:r>
        <w:rPr>
          <w:spacing w:val="-27"/>
        </w:rPr>
        <w:t xml:space="preserve">万亿元，较 </w:t>
      </w:r>
      <w:r>
        <w:rPr>
          <w:rFonts w:ascii="Arial" w:eastAsia="Arial"/>
        </w:rPr>
        <w:t xml:space="preserve">2021 </w:t>
      </w:r>
      <w:r>
        <w:rPr>
          <w:spacing w:val="-19"/>
        </w:rPr>
        <w:t xml:space="preserve">年同期，同比下降 </w:t>
      </w:r>
      <w:r>
        <w:rPr>
          <w:rFonts w:ascii="Arial" w:eastAsia="Arial"/>
        </w:rPr>
        <w:t>6.30%</w:t>
      </w:r>
      <w:r>
        <w:t>。</w:t>
      </w:r>
      <w:r>
        <w:rPr>
          <w:spacing w:val="-8"/>
        </w:rPr>
        <w:t>我们对中国人保、中国太保、中国人寿、中国太平、泰康保险、中国平安、华泰保险集团公司及其下</w:t>
      </w:r>
      <w:r>
        <w:rPr>
          <w:spacing w:val="-18"/>
        </w:rPr>
        <w:t xml:space="preserve">属子公司 </w:t>
      </w:r>
      <w:r>
        <w:rPr>
          <w:rFonts w:ascii="Arial" w:eastAsia="Arial"/>
        </w:rPr>
        <w:t xml:space="preserve">2023 </w:t>
      </w:r>
      <w:r>
        <w:rPr>
          <w:spacing w:val="-3"/>
        </w:rPr>
        <w:t>年公开披露的资金运用信息进行梳理，其投资的保险资管产品涵盖货币、固收、指增量化、港股通、</w:t>
      </w:r>
      <w:r>
        <w:rPr>
          <w:rFonts w:ascii="Arial" w:eastAsia="Arial"/>
        </w:rPr>
        <w:t>ESG</w:t>
      </w:r>
      <w:r>
        <w:t>、</w:t>
      </w:r>
      <w:r>
        <w:rPr>
          <w:rFonts w:ascii="Arial" w:eastAsia="Arial"/>
        </w:rPr>
        <w:t xml:space="preserve">FOF </w:t>
      </w:r>
      <w:r>
        <w:rPr>
          <w:spacing w:val="-1"/>
        </w:rPr>
        <w:t>等丰富类型。</w:t>
      </w:r>
    </w:p>
    <w:p>
      <w:pPr>
        <w:pStyle w:val="Heading4"/>
        <w:numPr>
          <w:ilvl w:val="3"/>
          <w:numId w:val="11"/>
        </w:numPr>
        <w:tabs>
          <w:tab w:val="left" w:pos="2140"/>
        </w:tabs>
        <w:spacing w:before="153" w:after="0" w:line="240" w:lineRule="auto"/>
        <w:ind w:left="2139" w:right="0" w:hanging="566"/>
        <w:jc w:val="left"/>
      </w:pPr>
      <w:r>
        <w:t>保险资产管理产品分类情况</w:t>
      </w:r>
    </w:p>
    <w:p>
      <w:pPr>
        <w:pStyle w:val="BodyText"/>
        <w:spacing w:before="186" w:line="266" w:lineRule="auto"/>
        <w:ind w:left="1132" w:right="1089" w:firstLine="441"/>
      </w:pPr>
      <w:r>
        <w:rPr>
          <w:spacing w:val="-9"/>
        </w:rPr>
        <w:t xml:space="preserve">根据原银保监会于 </w:t>
      </w:r>
      <w:r>
        <w:rPr>
          <w:rFonts w:ascii="Arial" w:eastAsia="Arial"/>
        </w:rPr>
        <w:t xml:space="preserve">2020 </w:t>
      </w:r>
      <w:r>
        <w:rPr>
          <w:spacing w:val="-28"/>
        </w:rPr>
        <w:t xml:space="preserve">年 </w:t>
      </w:r>
      <w:r>
        <w:rPr>
          <w:rFonts w:ascii="Arial" w:eastAsia="Arial"/>
        </w:rPr>
        <w:t xml:space="preserve">3 </w:t>
      </w:r>
      <w:r>
        <w:rPr>
          <w:spacing w:val="-3"/>
        </w:rPr>
        <w:t>月发布的《保险资产管理产品管理暂行办法》，保险资管产品按照投资性质的不同，可以分为固定收益类产品、权益类产品、商品及金融衍生品类产品和混合类产品。</w:t>
      </w:r>
    </w:p>
    <w:p>
      <w:pPr>
        <w:spacing w:before="180" w:after="40"/>
        <w:ind w:left="969" w:right="0" w:firstLine="0"/>
        <w:jc w:val="left"/>
        <w:rPr>
          <w:sz w:val="18"/>
        </w:rPr>
      </w:pPr>
      <w:r>
        <w:rPr>
          <w:sz w:val="18"/>
        </w:rPr>
        <w:t xml:space="preserve">表 </w:t>
      </w:r>
      <w:r>
        <w:rPr>
          <w:rFonts w:ascii="Arial" w:eastAsia="Arial"/>
          <w:sz w:val="18"/>
        </w:rPr>
        <w:t xml:space="preserve">14 </w:t>
      </w:r>
      <w:r>
        <w:rPr>
          <w:sz w:val="18"/>
        </w:rPr>
        <w:t>保险资管产品按投资性质不同的分类</w:t>
      </w:r>
    </w:p>
    <w:tbl>
      <w:tblPr>
        <w:tblStyle w:val="TableNormal11"/>
        <w:tblW w:w="0" w:type="auto"/>
        <w:jc w:val="left"/>
        <w:tblInd w:w="866"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
      <w:tblGrid>
        <w:gridCol w:w="2542"/>
        <w:gridCol w:w="7643"/>
      </w:tblGrid>
      <w:tr>
        <w:tblPrEx>
          <w:tblW w:w="0" w:type="auto"/>
          <w:jc w:val="left"/>
          <w:tblInd w:w="866" w:type="dxa"/>
          <w:tblBorders>
            <w:top w:val="single" w:sz="12" w:space="0" w:color="BD0000"/>
            <w:left w:val="single" w:sz="12" w:space="0" w:color="BD0000"/>
            <w:bottom w:val="single" w:sz="12" w:space="0" w:color="BD0000"/>
            <w:right w:val="single" w:sz="12" w:space="0" w:color="BD0000"/>
            <w:insideH w:val="single" w:sz="12" w:space="0" w:color="BD0000"/>
            <w:insideV w:val="single" w:sz="12" w:space="0" w:color="BD0000"/>
          </w:tblBorders>
          <w:tblLayout w:type="fixed"/>
          <w:tblCellMar>
            <w:top w:w="0" w:type="dxa"/>
            <w:left w:w="0" w:type="dxa"/>
            <w:bottom w:w="0" w:type="dxa"/>
            <w:right w:w="0" w:type="dxa"/>
          </w:tblCellMar>
          <w:tblLook w:val="01E0"/>
        </w:tblPrEx>
        <w:trPr>
          <w:trHeight w:val="571"/>
          <w:jc w:val="left"/>
        </w:trPr>
        <w:tc>
          <w:tcPr>
            <w:tcW w:w="2542" w:type="dxa"/>
            <w:tcBorders>
              <w:left w:val="dotted" w:sz="4" w:space="0" w:color="000000"/>
              <w:bottom w:val="single" w:sz="6" w:space="0" w:color="BD0000"/>
              <w:right w:val="dotted" w:sz="4" w:space="0" w:color="000000"/>
            </w:tcBorders>
          </w:tcPr>
          <w:p>
            <w:pPr>
              <w:pStyle w:val="TableParagraph"/>
              <w:spacing w:before="158"/>
              <w:ind w:left="850" w:right="838"/>
              <w:rPr>
                <w:b/>
                <w:sz w:val="20"/>
              </w:rPr>
            </w:pPr>
            <w:r>
              <w:rPr>
                <w:b/>
                <w:sz w:val="20"/>
              </w:rPr>
              <w:t>产品类型</w:t>
            </w:r>
          </w:p>
        </w:tc>
        <w:tc>
          <w:tcPr>
            <w:tcW w:w="7643" w:type="dxa"/>
            <w:tcBorders>
              <w:left w:val="dotted" w:sz="4" w:space="0" w:color="000000"/>
              <w:bottom w:val="single" w:sz="6" w:space="0" w:color="BD0000"/>
              <w:right w:val="dotted" w:sz="4" w:space="0" w:color="000000"/>
            </w:tcBorders>
          </w:tcPr>
          <w:p>
            <w:pPr>
              <w:pStyle w:val="TableParagraph"/>
              <w:spacing w:before="158"/>
              <w:ind w:left="3398" w:right="3390"/>
              <w:rPr>
                <w:b/>
                <w:sz w:val="20"/>
              </w:rPr>
            </w:pPr>
            <w:r>
              <w:rPr>
                <w:b/>
                <w:sz w:val="20"/>
              </w:rPr>
              <w:t>投资比例</w:t>
            </w:r>
          </w:p>
        </w:tc>
      </w:tr>
      <w:tr>
        <w:tblPrEx>
          <w:tblW w:w="0" w:type="auto"/>
          <w:jc w:val="left"/>
          <w:tblInd w:w="866" w:type="dxa"/>
          <w:tblLayout w:type="fixed"/>
          <w:tblCellMar>
            <w:top w:w="0" w:type="dxa"/>
            <w:left w:w="0" w:type="dxa"/>
            <w:bottom w:w="0" w:type="dxa"/>
            <w:right w:w="0" w:type="dxa"/>
          </w:tblCellMar>
          <w:tblLook w:val="01E0"/>
        </w:tblPrEx>
        <w:trPr>
          <w:trHeight w:val="312"/>
          <w:jc w:val="left"/>
        </w:trPr>
        <w:tc>
          <w:tcPr>
            <w:tcW w:w="2542"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27"/>
              <w:ind w:left="108"/>
              <w:jc w:val="left"/>
              <w:rPr>
                <w:b/>
                <w:sz w:val="20"/>
              </w:rPr>
            </w:pPr>
            <w:r>
              <w:rPr>
                <w:b/>
                <w:sz w:val="20"/>
              </w:rPr>
              <w:t>固定收益类产品</w:t>
            </w:r>
          </w:p>
        </w:tc>
        <w:tc>
          <w:tcPr>
            <w:tcW w:w="7643" w:type="dxa"/>
            <w:tcBorders>
              <w:top w:val="single" w:sz="6" w:space="0" w:color="BD0000"/>
              <w:left w:val="dotted" w:sz="4" w:space="0" w:color="000000"/>
              <w:bottom w:val="dotted" w:sz="4" w:space="0" w:color="000000"/>
              <w:right w:val="dotted" w:sz="4" w:space="0" w:color="000000"/>
            </w:tcBorders>
            <w:shd w:val="clear" w:color="auto" w:fill="F0F0F0"/>
          </w:tcPr>
          <w:p>
            <w:pPr>
              <w:pStyle w:val="TableParagraph"/>
              <w:spacing w:before="27"/>
              <w:ind w:left="107"/>
              <w:jc w:val="left"/>
              <w:rPr>
                <w:rFonts w:ascii="Arial" w:eastAsia="Arial"/>
                <w:sz w:val="20"/>
              </w:rPr>
            </w:pPr>
            <w:r>
              <w:rPr>
                <w:sz w:val="20"/>
              </w:rPr>
              <w:t xml:space="preserve">投资于债权类资产的比例不低于 </w:t>
            </w:r>
            <w:r>
              <w:rPr>
                <w:rFonts w:ascii="Arial" w:eastAsia="Arial"/>
                <w:sz w:val="20"/>
              </w:rPr>
              <w:t>80%</w:t>
            </w:r>
          </w:p>
        </w:tc>
      </w:tr>
      <w:tr>
        <w:tblPrEx>
          <w:tblW w:w="0" w:type="auto"/>
          <w:jc w:val="left"/>
          <w:tblInd w:w="866" w:type="dxa"/>
          <w:tblLayout w:type="fixed"/>
          <w:tblCellMar>
            <w:top w:w="0" w:type="dxa"/>
            <w:left w:w="0" w:type="dxa"/>
            <w:bottom w:w="0" w:type="dxa"/>
            <w:right w:w="0" w:type="dxa"/>
          </w:tblCellMar>
          <w:tblLook w:val="01E0"/>
        </w:tblPrEx>
        <w:trPr>
          <w:trHeight w:val="312"/>
          <w:jc w:val="left"/>
        </w:trPr>
        <w:tc>
          <w:tcPr>
            <w:tcW w:w="2542" w:type="dxa"/>
            <w:tcBorders>
              <w:top w:val="dotted" w:sz="4" w:space="0" w:color="000000"/>
              <w:left w:val="dotted" w:sz="4" w:space="0" w:color="000000"/>
              <w:bottom w:val="dotted" w:sz="4" w:space="0" w:color="000000"/>
              <w:right w:val="dotted" w:sz="4" w:space="0" w:color="000000"/>
            </w:tcBorders>
          </w:tcPr>
          <w:p>
            <w:pPr>
              <w:pStyle w:val="TableParagraph"/>
              <w:spacing w:before="27"/>
              <w:ind w:left="108"/>
              <w:jc w:val="left"/>
              <w:rPr>
                <w:b/>
                <w:sz w:val="20"/>
              </w:rPr>
            </w:pPr>
            <w:r>
              <w:rPr>
                <w:b/>
                <w:sz w:val="20"/>
              </w:rPr>
              <w:t>权益类产品</w:t>
            </w:r>
          </w:p>
        </w:tc>
        <w:tc>
          <w:tcPr>
            <w:tcW w:w="7643" w:type="dxa"/>
            <w:tcBorders>
              <w:top w:val="dotted" w:sz="4" w:space="0" w:color="000000"/>
              <w:left w:val="dotted" w:sz="4" w:space="0" w:color="000000"/>
              <w:bottom w:val="dotted" w:sz="4" w:space="0" w:color="000000"/>
              <w:right w:val="dotted" w:sz="4" w:space="0" w:color="000000"/>
            </w:tcBorders>
          </w:tcPr>
          <w:p>
            <w:pPr>
              <w:pStyle w:val="TableParagraph"/>
              <w:spacing w:before="27"/>
              <w:ind w:left="107"/>
              <w:jc w:val="left"/>
              <w:rPr>
                <w:rFonts w:ascii="Arial" w:eastAsia="Arial"/>
                <w:sz w:val="20"/>
              </w:rPr>
            </w:pPr>
            <w:r>
              <w:rPr>
                <w:sz w:val="20"/>
              </w:rPr>
              <w:t xml:space="preserve">投资于权益类资产的比例不低于 </w:t>
            </w:r>
            <w:r>
              <w:rPr>
                <w:rFonts w:ascii="Arial" w:eastAsia="Arial"/>
                <w:sz w:val="20"/>
              </w:rPr>
              <w:t>80%</w:t>
            </w:r>
          </w:p>
        </w:tc>
      </w:tr>
      <w:tr>
        <w:tblPrEx>
          <w:tblW w:w="0" w:type="auto"/>
          <w:jc w:val="left"/>
          <w:tblInd w:w="866" w:type="dxa"/>
          <w:tblLayout w:type="fixed"/>
          <w:tblCellMar>
            <w:top w:w="0" w:type="dxa"/>
            <w:left w:w="0" w:type="dxa"/>
            <w:bottom w:w="0" w:type="dxa"/>
            <w:right w:w="0" w:type="dxa"/>
          </w:tblCellMar>
          <w:tblLook w:val="01E0"/>
        </w:tblPrEx>
        <w:trPr>
          <w:trHeight w:val="312"/>
          <w:jc w:val="left"/>
        </w:trPr>
        <w:tc>
          <w:tcPr>
            <w:tcW w:w="2542"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ind w:left="108"/>
              <w:jc w:val="left"/>
              <w:rPr>
                <w:b/>
                <w:sz w:val="20"/>
              </w:rPr>
            </w:pPr>
            <w:r>
              <w:rPr>
                <w:b/>
                <w:sz w:val="20"/>
              </w:rPr>
              <w:t>商品及金融衍生品类产品</w:t>
            </w:r>
          </w:p>
        </w:tc>
        <w:tc>
          <w:tcPr>
            <w:tcW w:w="7643" w:type="dxa"/>
            <w:tcBorders>
              <w:top w:val="dotted" w:sz="4" w:space="0" w:color="000000"/>
              <w:left w:val="dotted" w:sz="4" w:space="0" w:color="000000"/>
              <w:bottom w:val="dotted" w:sz="4" w:space="0" w:color="000000"/>
              <w:right w:val="dotted" w:sz="4" w:space="0" w:color="000000"/>
            </w:tcBorders>
            <w:shd w:val="clear" w:color="auto" w:fill="F0F0F0"/>
          </w:tcPr>
          <w:p>
            <w:pPr>
              <w:pStyle w:val="TableParagraph"/>
              <w:spacing w:before="29"/>
              <w:ind w:left="107"/>
              <w:jc w:val="left"/>
              <w:rPr>
                <w:rFonts w:ascii="Arial" w:eastAsia="Arial"/>
                <w:sz w:val="20"/>
              </w:rPr>
            </w:pPr>
            <w:r>
              <w:rPr>
                <w:sz w:val="20"/>
              </w:rPr>
              <w:t xml:space="preserve">投资于商品及金融衍生品的比例不低于 </w:t>
            </w:r>
            <w:r>
              <w:rPr>
                <w:rFonts w:ascii="Arial" w:eastAsia="Arial"/>
                <w:sz w:val="20"/>
              </w:rPr>
              <w:t>80%</w:t>
            </w:r>
          </w:p>
        </w:tc>
      </w:tr>
      <w:tr>
        <w:tblPrEx>
          <w:tblW w:w="0" w:type="auto"/>
          <w:jc w:val="left"/>
          <w:tblInd w:w="866" w:type="dxa"/>
          <w:tblLayout w:type="fixed"/>
          <w:tblCellMar>
            <w:top w:w="0" w:type="dxa"/>
            <w:left w:w="0" w:type="dxa"/>
            <w:bottom w:w="0" w:type="dxa"/>
            <w:right w:w="0" w:type="dxa"/>
          </w:tblCellMar>
          <w:tblLook w:val="01E0"/>
        </w:tblPrEx>
        <w:trPr>
          <w:trHeight w:val="623"/>
          <w:jc w:val="left"/>
        </w:trPr>
        <w:tc>
          <w:tcPr>
            <w:tcW w:w="2542" w:type="dxa"/>
            <w:tcBorders>
              <w:top w:val="dotted" w:sz="4" w:space="0" w:color="000000"/>
              <w:left w:val="dotted" w:sz="4" w:space="0" w:color="000000"/>
              <w:right w:val="dotted" w:sz="4" w:space="0" w:color="000000"/>
            </w:tcBorders>
          </w:tcPr>
          <w:p>
            <w:pPr>
              <w:pStyle w:val="TableParagraph"/>
              <w:spacing w:before="5"/>
              <w:jc w:val="left"/>
              <w:rPr>
                <w:sz w:val="14"/>
              </w:rPr>
            </w:pPr>
          </w:p>
          <w:p>
            <w:pPr>
              <w:pStyle w:val="TableParagraph"/>
              <w:spacing w:before="0"/>
              <w:ind w:left="108"/>
              <w:jc w:val="left"/>
              <w:rPr>
                <w:b/>
                <w:sz w:val="20"/>
              </w:rPr>
            </w:pPr>
            <w:r>
              <w:rPr>
                <w:b/>
                <w:sz w:val="20"/>
              </w:rPr>
              <w:t>混合类产品</w:t>
            </w:r>
          </w:p>
        </w:tc>
        <w:tc>
          <w:tcPr>
            <w:tcW w:w="7643" w:type="dxa"/>
            <w:tcBorders>
              <w:top w:val="dotted" w:sz="4" w:space="0" w:color="000000"/>
              <w:left w:val="dotted" w:sz="4" w:space="0" w:color="000000"/>
              <w:right w:val="dotted" w:sz="4" w:space="0" w:color="000000"/>
            </w:tcBorders>
          </w:tcPr>
          <w:p>
            <w:pPr>
              <w:pStyle w:val="TableParagraph"/>
              <w:spacing w:before="29"/>
              <w:ind w:left="107"/>
              <w:jc w:val="left"/>
              <w:rPr>
                <w:sz w:val="20"/>
              </w:rPr>
            </w:pPr>
            <w:r>
              <w:rPr>
                <w:sz w:val="20"/>
              </w:rPr>
              <w:t>投资于债权类资产、权益类资产、商品及金融衍生品类资产且任一资产的投资比例未</w:t>
            </w:r>
          </w:p>
          <w:p>
            <w:pPr>
              <w:pStyle w:val="TableParagraph"/>
              <w:spacing w:before="55"/>
              <w:ind w:left="107"/>
              <w:jc w:val="left"/>
              <w:rPr>
                <w:rFonts w:ascii="Arial" w:eastAsia="Arial"/>
                <w:sz w:val="20"/>
              </w:rPr>
            </w:pPr>
            <w:r>
              <w:rPr>
                <w:sz w:val="20"/>
              </w:rPr>
              <w:t xml:space="preserve">达到 </w:t>
            </w:r>
            <w:r>
              <w:rPr>
                <w:rFonts w:ascii="Arial" w:eastAsia="Arial"/>
                <w:sz w:val="20"/>
              </w:rPr>
              <w:t>80%</w:t>
            </w:r>
          </w:p>
        </w:tc>
      </w:tr>
    </w:tbl>
    <w:p>
      <w:pPr>
        <w:spacing w:before="41"/>
        <w:ind w:left="969" w:right="0" w:firstLine="0"/>
        <w:jc w:val="left"/>
        <w:rPr>
          <w:sz w:val="18"/>
        </w:rPr>
      </w:pPr>
      <w:r>
        <w:t xml:space="preserve">资料来源：国家金融监督管理总局， </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https://d.book118.com/336144130043010103</w:t>
        </w:r>
      </w:hyperlink>
    </w:p>
    <w:p>
      <w:pPr>
        <w:spacing w:after="0"/>
        <w:jc w:val="left"/>
        <w:rPr>
          <w:sz w:val="18"/>
        </w:rPr>
      </w:pPr>
    </w:p>
    <w:sectPr>
      <w:headerReference w:type="default" r:id="rId61"/>
      <w:footerReference w:type="default" r:id="rId62"/>
      <w:pgSz w:w="11910" w:h="16840"/>
      <w:pgMar w:top="1280" w:right="0" w:bottom="1000" w:left="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4CE14"/>
    <w:multiLevelType w:val="hybridMultilevel"/>
    <w:tmpl w:val="00000000"/>
    <w:lvl w:ilvl="0">
      <w:start w:val="1"/>
      <w:numFmt w:val="decimal"/>
      <w:lvlText w:val="（%1）"/>
      <w:lvlJc w:val="left"/>
      <w:pPr>
        <w:ind w:left="2139" w:hanging="566"/>
        <w:jc w:val="left"/>
      </w:pPr>
      <w:rPr>
        <w:rFonts w:ascii="楷体" w:eastAsia="楷体" w:hAnsi="楷体" w:cs="楷体" w:hint="default"/>
        <w:b/>
        <w:bCs/>
        <w:spacing w:val="-3"/>
        <w:w w:val="100"/>
        <w:sz w:val="20"/>
        <w:szCs w:val="20"/>
        <w:lang w:val="zh-CN" w:eastAsia="zh-CN" w:bidi="zh-CN"/>
      </w:rPr>
    </w:lvl>
    <w:lvl w:ilvl="1">
      <w:start w:val="0"/>
      <w:numFmt w:val="bullet"/>
      <w:lvlText w:val="•"/>
      <w:lvlJc w:val="left"/>
      <w:pPr>
        <w:ind w:left="3116" w:hanging="566"/>
      </w:pPr>
      <w:rPr>
        <w:rFonts w:hint="default"/>
        <w:lang w:val="zh-CN" w:eastAsia="zh-CN" w:bidi="zh-CN"/>
      </w:rPr>
    </w:lvl>
    <w:lvl w:ilvl="2">
      <w:start w:val="0"/>
      <w:numFmt w:val="bullet"/>
      <w:lvlText w:val="•"/>
      <w:lvlJc w:val="left"/>
      <w:pPr>
        <w:ind w:left="4093" w:hanging="566"/>
      </w:pPr>
      <w:rPr>
        <w:rFonts w:hint="default"/>
        <w:lang w:val="zh-CN" w:eastAsia="zh-CN" w:bidi="zh-CN"/>
      </w:rPr>
    </w:lvl>
    <w:lvl w:ilvl="3">
      <w:start w:val="0"/>
      <w:numFmt w:val="bullet"/>
      <w:lvlText w:val="•"/>
      <w:lvlJc w:val="left"/>
      <w:pPr>
        <w:ind w:left="5069" w:hanging="566"/>
      </w:pPr>
      <w:rPr>
        <w:rFonts w:hint="default"/>
        <w:lang w:val="zh-CN" w:eastAsia="zh-CN" w:bidi="zh-CN"/>
      </w:rPr>
    </w:lvl>
    <w:lvl w:ilvl="4">
      <w:start w:val="0"/>
      <w:numFmt w:val="bullet"/>
      <w:lvlText w:val="•"/>
      <w:lvlJc w:val="left"/>
      <w:pPr>
        <w:ind w:left="6046" w:hanging="566"/>
      </w:pPr>
      <w:rPr>
        <w:rFonts w:hint="default"/>
        <w:lang w:val="zh-CN" w:eastAsia="zh-CN" w:bidi="zh-CN"/>
      </w:rPr>
    </w:lvl>
    <w:lvl w:ilvl="5">
      <w:start w:val="0"/>
      <w:numFmt w:val="bullet"/>
      <w:lvlText w:val="•"/>
      <w:lvlJc w:val="left"/>
      <w:pPr>
        <w:ind w:left="7023" w:hanging="566"/>
      </w:pPr>
      <w:rPr>
        <w:rFonts w:hint="default"/>
        <w:lang w:val="zh-CN" w:eastAsia="zh-CN" w:bidi="zh-CN"/>
      </w:rPr>
    </w:lvl>
    <w:lvl w:ilvl="6">
      <w:start w:val="0"/>
      <w:numFmt w:val="bullet"/>
      <w:lvlText w:val="•"/>
      <w:lvlJc w:val="left"/>
      <w:pPr>
        <w:ind w:left="7999" w:hanging="566"/>
      </w:pPr>
      <w:rPr>
        <w:rFonts w:hint="default"/>
        <w:lang w:val="zh-CN" w:eastAsia="zh-CN" w:bidi="zh-CN"/>
      </w:rPr>
    </w:lvl>
    <w:lvl w:ilvl="7">
      <w:start w:val="0"/>
      <w:numFmt w:val="bullet"/>
      <w:lvlText w:val="•"/>
      <w:lvlJc w:val="left"/>
      <w:pPr>
        <w:ind w:left="8976" w:hanging="566"/>
      </w:pPr>
      <w:rPr>
        <w:rFonts w:hint="default"/>
        <w:lang w:val="zh-CN" w:eastAsia="zh-CN" w:bidi="zh-CN"/>
      </w:rPr>
    </w:lvl>
    <w:lvl w:ilvl="8">
      <w:start w:val="0"/>
      <w:numFmt w:val="bullet"/>
      <w:lvlText w:val="•"/>
      <w:lvlJc w:val="left"/>
      <w:pPr>
        <w:ind w:left="9952" w:hanging="566"/>
      </w:pPr>
      <w:rPr>
        <w:rFonts w:hint="default"/>
        <w:lang w:val="zh-CN" w:eastAsia="zh-CN" w:bidi="zh-CN"/>
      </w:rPr>
    </w:lvl>
  </w:abstractNum>
  <w:abstractNum w:abstractNumId="1">
    <w:nsid w:val="0C42E70F"/>
    <w:multiLevelType w:val="hybridMultilevel"/>
    <w:tmpl w:val="00000000"/>
    <w:lvl w:ilvl="0">
      <w:start w:val="2"/>
      <w:numFmt w:val="decimal"/>
      <w:lvlText w:val="%1"/>
      <w:lvlJc w:val="left"/>
      <w:pPr>
        <w:ind w:left="1603" w:hanging="471"/>
        <w:jc w:val="left"/>
      </w:pPr>
      <w:rPr>
        <w:rFonts w:hint="default"/>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0"/>
      <w:numFmt w:val="bullet"/>
      <w:lvlText w:val="•"/>
      <w:lvlJc w:val="left"/>
      <w:pPr>
        <w:ind w:left="3661" w:hanging="471"/>
      </w:pPr>
      <w:rPr>
        <w:rFonts w:hint="default"/>
        <w:lang w:val="zh-CN" w:eastAsia="zh-CN" w:bidi="zh-CN"/>
      </w:rPr>
    </w:lvl>
    <w:lvl w:ilvl="3">
      <w:start w:val="0"/>
      <w:numFmt w:val="bullet"/>
      <w:lvlText w:val="•"/>
      <w:lvlJc w:val="left"/>
      <w:pPr>
        <w:ind w:left="4691" w:hanging="471"/>
      </w:pPr>
      <w:rPr>
        <w:rFonts w:hint="default"/>
        <w:lang w:val="zh-CN" w:eastAsia="zh-CN" w:bidi="zh-CN"/>
      </w:rPr>
    </w:lvl>
    <w:lvl w:ilvl="4">
      <w:start w:val="0"/>
      <w:numFmt w:val="bullet"/>
      <w:lvlText w:val="•"/>
      <w:lvlJc w:val="left"/>
      <w:pPr>
        <w:ind w:left="5722" w:hanging="471"/>
      </w:pPr>
      <w:rPr>
        <w:rFonts w:hint="default"/>
        <w:lang w:val="zh-CN" w:eastAsia="zh-CN" w:bidi="zh-CN"/>
      </w:rPr>
    </w:lvl>
    <w:lvl w:ilvl="5">
      <w:start w:val="0"/>
      <w:numFmt w:val="bullet"/>
      <w:lvlText w:val="•"/>
      <w:lvlJc w:val="left"/>
      <w:pPr>
        <w:ind w:left="6753" w:hanging="471"/>
      </w:pPr>
      <w:rPr>
        <w:rFonts w:hint="default"/>
        <w:lang w:val="zh-CN" w:eastAsia="zh-CN" w:bidi="zh-CN"/>
      </w:rPr>
    </w:lvl>
    <w:lvl w:ilvl="6">
      <w:start w:val="0"/>
      <w:numFmt w:val="bullet"/>
      <w:lvlText w:val="•"/>
      <w:lvlJc w:val="left"/>
      <w:pPr>
        <w:ind w:left="7783" w:hanging="471"/>
      </w:pPr>
      <w:rPr>
        <w:rFonts w:hint="default"/>
        <w:lang w:val="zh-CN" w:eastAsia="zh-CN" w:bidi="zh-CN"/>
      </w:rPr>
    </w:lvl>
    <w:lvl w:ilvl="7">
      <w:start w:val="0"/>
      <w:numFmt w:val="bullet"/>
      <w:lvlText w:val="•"/>
      <w:lvlJc w:val="left"/>
      <w:pPr>
        <w:ind w:left="8814" w:hanging="471"/>
      </w:pPr>
      <w:rPr>
        <w:rFonts w:hint="default"/>
        <w:lang w:val="zh-CN" w:eastAsia="zh-CN" w:bidi="zh-CN"/>
      </w:rPr>
    </w:lvl>
    <w:lvl w:ilvl="8">
      <w:start w:val="0"/>
      <w:numFmt w:val="bullet"/>
      <w:lvlText w:val="•"/>
      <w:lvlJc w:val="left"/>
      <w:pPr>
        <w:ind w:left="9844" w:hanging="471"/>
      </w:pPr>
      <w:rPr>
        <w:rFonts w:hint="default"/>
        <w:lang w:val="zh-CN" w:eastAsia="zh-CN" w:bidi="zh-CN"/>
      </w:rPr>
    </w:lvl>
  </w:abstractNum>
  <w:abstractNum w:abstractNumId="2">
    <w:nsid w:val="0F3C7678"/>
    <w:multiLevelType w:val="hybridMultilevel"/>
    <w:tmpl w:val="00000000"/>
    <w:lvl w:ilvl="0">
      <w:start w:val="3"/>
      <w:numFmt w:val="decimal"/>
      <w:lvlText w:val="%1"/>
      <w:lvlJc w:val="left"/>
      <w:pPr>
        <w:ind w:left="1603" w:hanging="471"/>
        <w:jc w:val="left"/>
      </w:pPr>
      <w:rPr>
        <w:rFonts w:hint="default"/>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1"/>
      <w:numFmt w:val="decimal"/>
      <w:lvlText w:val="%1.%2.%3."/>
      <w:lvlJc w:val="left"/>
      <w:pPr>
        <w:ind w:left="1735" w:hanging="603"/>
        <w:jc w:val="left"/>
      </w:pPr>
      <w:rPr>
        <w:rFonts w:ascii="Arial" w:eastAsia="Arial" w:hAnsi="Arial" w:cs="Arial" w:hint="default"/>
        <w:b/>
        <w:bCs/>
        <w:spacing w:val="-2"/>
        <w:w w:val="100"/>
        <w:sz w:val="22"/>
        <w:szCs w:val="22"/>
        <w:lang w:val="zh-CN" w:eastAsia="zh-CN" w:bidi="zh-CN"/>
      </w:rPr>
    </w:lvl>
    <w:lvl w:ilvl="3">
      <w:start w:val="1"/>
      <w:numFmt w:val="decimal"/>
      <w:lvlText w:val="（%4）"/>
      <w:lvlJc w:val="left"/>
      <w:pPr>
        <w:ind w:left="2139" w:hanging="566"/>
        <w:jc w:val="left"/>
      </w:pPr>
      <w:rPr>
        <w:rFonts w:ascii="楷体" w:eastAsia="楷体" w:hAnsi="楷体" w:cs="楷体" w:hint="default"/>
        <w:b/>
        <w:bCs/>
        <w:spacing w:val="-3"/>
        <w:w w:val="100"/>
        <w:sz w:val="20"/>
        <w:szCs w:val="20"/>
        <w:lang w:val="zh-CN" w:eastAsia="zh-CN" w:bidi="zh-CN"/>
      </w:rPr>
    </w:lvl>
    <w:lvl w:ilvl="4">
      <w:start w:val="0"/>
      <w:numFmt w:val="bullet"/>
      <w:lvlText w:val="•"/>
      <w:lvlJc w:val="left"/>
      <w:pPr>
        <w:ind w:left="4581" w:hanging="566"/>
      </w:pPr>
      <w:rPr>
        <w:rFonts w:hint="default"/>
        <w:lang w:val="zh-CN" w:eastAsia="zh-CN" w:bidi="zh-CN"/>
      </w:rPr>
    </w:lvl>
    <w:lvl w:ilvl="5">
      <w:start w:val="0"/>
      <w:numFmt w:val="bullet"/>
      <w:lvlText w:val="•"/>
      <w:lvlJc w:val="left"/>
      <w:pPr>
        <w:ind w:left="5802" w:hanging="566"/>
      </w:pPr>
      <w:rPr>
        <w:rFonts w:hint="default"/>
        <w:lang w:val="zh-CN" w:eastAsia="zh-CN" w:bidi="zh-CN"/>
      </w:rPr>
    </w:lvl>
    <w:lvl w:ilvl="6">
      <w:start w:val="0"/>
      <w:numFmt w:val="bullet"/>
      <w:lvlText w:val="•"/>
      <w:lvlJc w:val="left"/>
      <w:pPr>
        <w:ind w:left="7023" w:hanging="566"/>
      </w:pPr>
      <w:rPr>
        <w:rFonts w:hint="default"/>
        <w:lang w:val="zh-CN" w:eastAsia="zh-CN" w:bidi="zh-CN"/>
      </w:rPr>
    </w:lvl>
    <w:lvl w:ilvl="7">
      <w:start w:val="0"/>
      <w:numFmt w:val="bullet"/>
      <w:lvlText w:val="•"/>
      <w:lvlJc w:val="left"/>
      <w:pPr>
        <w:ind w:left="8243" w:hanging="566"/>
      </w:pPr>
      <w:rPr>
        <w:rFonts w:hint="default"/>
        <w:lang w:val="zh-CN" w:eastAsia="zh-CN" w:bidi="zh-CN"/>
      </w:rPr>
    </w:lvl>
    <w:lvl w:ilvl="8">
      <w:start w:val="0"/>
      <w:numFmt w:val="bullet"/>
      <w:lvlText w:val="•"/>
      <w:lvlJc w:val="left"/>
      <w:pPr>
        <w:ind w:left="9464" w:hanging="566"/>
      </w:pPr>
      <w:rPr>
        <w:rFonts w:hint="default"/>
        <w:lang w:val="zh-CN" w:eastAsia="zh-CN" w:bidi="zh-CN"/>
      </w:rPr>
    </w:lvl>
  </w:abstractNum>
  <w:abstractNum w:abstractNumId="3">
    <w:nsid w:val="158D1521"/>
    <w:multiLevelType w:val="hybridMultilevel"/>
    <w:tmpl w:val="00000000"/>
    <w:lvl w:ilvl="0">
      <w:start w:val="3"/>
      <w:numFmt w:val="decimal"/>
      <w:lvlText w:val="%1"/>
      <w:lvlJc w:val="left"/>
      <w:pPr>
        <w:ind w:left="1603" w:hanging="471"/>
        <w:jc w:val="left"/>
      </w:pPr>
      <w:rPr>
        <w:rFonts w:hint="default"/>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1"/>
      <w:numFmt w:val="decimal"/>
      <w:lvlText w:val="%1.%2.%3."/>
      <w:lvlJc w:val="left"/>
      <w:pPr>
        <w:ind w:left="1735" w:hanging="603"/>
        <w:jc w:val="left"/>
      </w:pPr>
      <w:rPr>
        <w:rFonts w:ascii="Arial" w:eastAsia="Arial" w:hAnsi="Arial" w:cs="Arial" w:hint="default"/>
        <w:b/>
        <w:bCs/>
        <w:spacing w:val="-2"/>
        <w:w w:val="100"/>
        <w:sz w:val="22"/>
        <w:szCs w:val="22"/>
        <w:lang w:val="zh-CN" w:eastAsia="zh-CN" w:bidi="zh-CN"/>
      </w:rPr>
    </w:lvl>
    <w:lvl w:ilvl="3">
      <w:start w:val="1"/>
      <w:numFmt w:val="decimal"/>
      <w:lvlText w:val="（%4）"/>
      <w:lvlJc w:val="left"/>
      <w:pPr>
        <w:ind w:left="2139" w:hanging="566"/>
        <w:jc w:val="left"/>
      </w:pPr>
      <w:rPr>
        <w:rFonts w:ascii="楷体" w:eastAsia="楷体" w:hAnsi="楷体" w:cs="楷体" w:hint="default"/>
        <w:b/>
        <w:bCs/>
        <w:spacing w:val="-3"/>
        <w:w w:val="100"/>
        <w:sz w:val="20"/>
        <w:szCs w:val="20"/>
        <w:lang w:val="zh-CN" w:eastAsia="zh-CN" w:bidi="zh-CN"/>
      </w:rPr>
    </w:lvl>
    <w:lvl w:ilvl="4">
      <w:start w:val="0"/>
      <w:numFmt w:val="bullet"/>
      <w:lvlText w:val="•"/>
      <w:lvlJc w:val="left"/>
      <w:pPr>
        <w:ind w:left="4581" w:hanging="566"/>
      </w:pPr>
      <w:rPr>
        <w:rFonts w:hint="default"/>
        <w:lang w:val="zh-CN" w:eastAsia="zh-CN" w:bidi="zh-CN"/>
      </w:rPr>
    </w:lvl>
    <w:lvl w:ilvl="5">
      <w:start w:val="0"/>
      <w:numFmt w:val="bullet"/>
      <w:lvlText w:val="•"/>
      <w:lvlJc w:val="left"/>
      <w:pPr>
        <w:ind w:left="5802" w:hanging="566"/>
      </w:pPr>
      <w:rPr>
        <w:rFonts w:hint="default"/>
        <w:lang w:val="zh-CN" w:eastAsia="zh-CN" w:bidi="zh-CN"/>
      </w:rPr>
    </w:lvl>
    <w:lvl w:ilvl="6">
      <w:start w:val="0"/>
      <w:numFmt w:val="bullet"/>
      <w:lvlText w:val="•"/>
      <w:lvlJc w:val="left"/>
      <w:pPr>
        <w:ind w:left="7023" w:hanging="566"/>
      </w:pPr>
      <w:rPr>
        <w:rFonts w:hint="default"/>
        <w:lang w:val="zh-CN" w:eastAsia="zh-CN" w:bidi="zh-CN"/>
      </w:rPr>
    </w:lvl>
    <w:lvl w:ilvl="7">
      <w:start w:val="0"/>
      <w:numFmt w:val="bullet"/>
      <w:lvlText w:val="•"/>
      <w:lvlJc w:val="left"/>
      <w:pPr>
        <w:ind w:left="8243" w:hanging="566"/>
      </w:pPr>
      <w:rPr>
        <w:rFonts w:hint="default"/>
        <w:lang w:val="zh-CN" w:eastAsia="zh-CN" w:bidi="zh-CN"/>
      </w:rPr>
    </w:lvl>
    <w:lvl w:ilvl="8">
      <w:start w:val="0"/>
      <w:numFmt w:val="bullet"/>
      <w:lvlText w:val="•"/>
      <w:lvlJc w:val="left"/>
      <w:pPr>
        <w:ind w:left="9464" w:hanging="566"/>
      </w:pPr>
      <w:rPr>
        <w:rFonts w:hint="default"/>
        <w:lang w:val="zh-CN" w:eastAsia="zh-CN" w:bidi="zh-CN"/>
      </w:rPr>
    </w:lvl>
  </w:abstractNum>
  <w:abstractNum w:abstractNumId="4">
    <w:nsid w:val="2E0ADBC9"/>
    <w:multiLevelType w:val="hybridMultilevel"/>
    <w:tmpl w:val="00000000"/>
    <w:lvl w:ilvl="0">
      <w:start w:val="1"/>
      <w:numFmt w:val="decimal"/>
      <w:lvlText w:val="（%1）"/>
      <w:lvlJc w:val="left"/>
      <w:pPr>
        <w:ind w:left="2139" w:hanging="566"/>
        <w:jc w:val="left"/>
      </w:pPr>
      <w:rPr>
        <w:rFonts w:ascii="楷体" w:eastAsia="楷体" w:hAnsi="楷体" w:cs="楷体" w:hint="default"/>
        <w:b/>
        <w:bCs/>
        <w:spacing w:val="-3"/>
        <w:w w:val="100"/>
        <w:sz w:val="20"/>
        <w:szCs w:val="20"/>
        <w:lang w:val="zh-CN" w:eastAsia="zh-CN" w:bidi="zh-CN"/>
      </w:rPr>
    </w:lvl>
    <w:lvl w:ilvl="1">
      <w:start w:val="0"/>
      <w:numFmt w:val="bullet"/>
      <w:lvlText w:val="•"/>
      <w:lvlJc w:val="left"/>
      <w:pPr>
        <w:ind w:left="3116" w:hanging="566"/>
      </w:pPr>
      <w:rPr>
        <w:rFonts w:hint="default"/>
        <w:lang w:val="zh-CN" w:eastAsia="zh-CN" w:bidi="zh-CN"/>
      </w:rPr>
    </w:lvl>
    <w:lvl w:ilvl="2">
      <w:start w:val="0"/>
      <w:numFmt w:val="bullet"/>
      <w:lvlText w:val="•"/>
      <w:lvlJc w:val="left"/>
      <w:pPr>
        <w:ind w:left="4093" w:hanging="566"/>
      </w:pPr>
      <w:rPr>
        <w:rFonts w:hint="default"/>
        <w:lang w:val="zh-CN" w:eastAsia="zh-CN" w:bidi="zh-CN"/>
      </w:rPr>
    </w:lvl>
    <w:lvl w:ilvl="3">
      <w:start w:val="0"/>
      <w:numFmt w:val="bullet"/>
      <w:lvlText w:val="•"/>
      <w:lvlJc w:val="left"/>
      <w:pPr>
        <w:ind w:left="5069" w:hanging="566"/>
      </w:pPr>
      <w:rPr>
        <w:rFonts w:hint="default"/>
        <w:lang w:val="zh-CN" w:eastAsia="zh-CN" w:bidi="zh-CN"/>
      </w:rPr>
    </w:lvl>
    <w:lvl w:ilvl="4">
      <w:start w:val="0"/>
      <w:numFmt w:val="bullet"/>
      <w:lvlText w:val="•"/>
      <w:lvlJc w:val="left"/>
      <w:pPr>
        <w:ind w:left="6046" w:hanging="566"/>
      </w:pPr>
      <w:rPr>
        <w:rFonts w:hint="default"/>
        <w:lang w:val="zh-CN" w:eastAsia="zh-CN" w:bidi="zh-CN"/>
      </w:rPr>
    </w:lvl>
    <w:lvl w:ilvl="5">
      <w:start w:val="0"/>
      <w:numFmt w:val="bullet"/>
      <w:lvlText w:val="•"/>
      <w:lvlJc w:val="left"/>
      <w:pPr>
        <w:ind w:left="7023" w:hanging="566"/>
      </w:pPr>
      <w:rPr>
        <w:rFonts w:hint="default"/>
        <w:lang w:val="zh-CN" w:eastAsia="zh-CN" w:bidi="zh-CN"/>
      </w:rPr>
    </w:lvl>
    <w:lvl w:ilvl="6">
      <w:start w:val="0"/>
      <w:numFmt w:val="bullet"/>
      <w:lvlText w:val="•"/>
      <w:lvlJc w:val="left"/>
      <w:pPr>
        <w:ind w:left="7999" w:hanging="566"/>
      </w:pPr>
      <w:rPr>
        <w:rFonts w:hint="default"/>
        <w:lang w:val="zh-CN" w:eastAsia="zh-CN" w:bidi="zh-CN"/>
      </w:rPr>
    </w:lvl>
    <w:lvl w:ilvl="7">
      <w:start w:val="0"/>
      <w:numFmt w:val="bullet"/>
      <w:lvlText w:val="•"/>
      <w:lvlJc w:val="left"/>
      <w:pPr>
        <w:ind w:left="8976" w:hanging="566"/>
      </w:pPr>
      <w:rPr>
        <w:rFonts w:hint="default"/>
        <w:lang w:val="zh-CN" w:eastAsia="zh-CN" w:bidi="zh-CN"/>
      </w:rPr>
    </w:lvl>
    <w:lvl w:ilvl="8">
      <w:start w:val="0"/>
      <w:numFmt w:val="bullet"/>
      <w:lvlText w:val="•"/>
      <w:lvlJc w:val="left"/>
      <w:pPr>
        <w:ind w:left="9952" w:hanging="566"/>
      </w:pPr>
      <w:rPr>
        <w:rFonts w:hint="default"/>
        <w:lang w:val="zh-CN" w:eastAsia="zh-CN" w:bidi="zh-CN"/>
      </w:rPr>
    </w:lvl>
  </w:abstractNum>
  <w:abstractNum w:abstractNumId="5">
    <w:nsid w:val="3C39CC2A"/>
    <w:multiLevelType w:val="hybridMultilevel"/>
    <w:tmpl w:val="00000000"/>
    <w:lvl w:ilvl="0">
      <w:start w:val="2"/>
      <w:numFmt w:val="decimal"/>
      <w:lvlText w:val="%1"/>
      <w:lvlJc w:val="left"/>
      <w:pPr>
        <w:ind w:left="1603" w:hanging="471"/>
        <w:jc w:val="left"/>
      </w:pPr>
      <w:rPr>
        <w:rFonts w:hint="default"/>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0"/>
      <w:numFmt w:val="bullet"/>
      <w:lvlText w:val="•"/>
      <w:lvlJc w:val="left"/>
      <w:pPr>
        <w:ind w:left="3661" w:hanging="471"/>
      </w:pPr>
      <w:rPr>
        <w:rFonts w:hint="default"/>
        <w:lang w:val="zh-CN" w:eastAsia="zh-CN" w:bidi="zh-CN"/>
      </w:rPr>
    </w:lvl>
    <w:lvl w:ilvl="3">
      <w:start w:val="0"/>
      <w:numFmt w:val="bullet"/>
      <w:lvlText w:val="•"/>
      <w:lvlJc w:val="left"/>
      <w:pPr>
        <w:ind w:left="4691" w:hanging="471"/>
      </w:pPr>
      <w:rPr>
        <w:rFonts w:hint="default"/>
        <w:lang w:val="zh-CN" w:eastAsia="zh-CN" w:bidi="zh-CN"/>
      </w:rPr>
    </w:lvl>
    <w:lvl w:ilvl="4">
      <w:start w:val="0"/>
      <w:numFmt w:val="bullet"/>
      <w:lvlText w:val="•"/>
      <w:lvlJc w:val="left"/>
      <w:pPr>
        <w:ind w:left="5722" w:hanging="471"/>
      </w:pPr>
      <w:rPr>
        <w:rFonts w:hint="default"/>
        <w:lang w:val="zh-CN" w:eastAsia="zh-CN" w:bidi="zh-CN"/>
      </w:rPr>
    </w:lvl>
    <w:lvl w:ilvl="5">
      <w:start w:val="0"/>
      <w:numFmt w:val="bullet"/>
      <w:lvlText w:val="•"/>
      <w:lvlJc w:val="left"/>
      <w:pPr>
        <w:ind w:left="6753" w:hanging="471"/>
      </w:pPr>
      <w:rPr>
        <w:rFonts w:hint="default"/>
        <w:lang w:val="zh-CN" w:eastAsia="zh-CN" w:bidi="zh-CN"/>
      </w:rPr>
    </w:lvl>
    <w:lvl w:ilvl="6">
      <w:start w:val="0"/>
      <w:numFmt w:val="bullet"/>
      <w:lvlText w:val="•"/>
      <w:lvlJc w:val="left"/>
      <w:pPr>
        <w:ind w:left="7783" w:hanging="471"/>
      </w:pPr>
      <w:rPr>
        <w:rFonts w:hint="default"/>
        <w:lang w:val="zh-CN" w:eastAsia="zh-CN" w:bidi="zh-CN"/>
      </w:rPr>
    </w:lvl>
    <w:lvl w:ilvl="7">
      <w:start w:val="0"/>
      <w:numFmt w:val="bullet"/>
      <w:lvlText w:val="•"/>
      <w:lvlJc w:val="left"/>
      <w:pPr>
        <w:ind w:left="8814" w:hanging="471"/>
      </w:pPr>
      <w:rPr>
        <w:rFonts w:hint="default"/>
        <w:lang w:val="zh-CN" w:eastAsia="zh-CN" w:bidi="zh-CN"/>
      </w:rPr>
    </w:lvl>
    <w:lvl w:ilvl="8">
      <w:start w:val="0"/>
      <w:numFmt w:val="bullet"/>
      <w:lvlText w:val="•"/>
      <w:lvlJc w:val="left"/>
      <w:pPr>
        <w:ind w:left="9844" w:hanging="471"/>
      </w:pPr>
      <w:rPr>
        <w:rFonts w:hint="default"/>
        <w:lang w:val="zh-CN" w:eastAsia="zh-CN" w:bidi="zh-CN"/>
      </w:rPr>
    </w:lvl>
  </w:abstractNum>
  <w:abstractNum w:abstractNumId="6">
    <w:nsid w:val="4358E46F"/>
    <w:multiLevelType w:val="hybridMultilevel"/>
    <w:tmpl w:val="00000000"/>
    <w:lvl w:ilvl="0">
      <w:start w:val="1"/>
      <w:numFmt w:val="decimal"/>
      <w:lvlText w:val="%1."/>
      <w:lvlJc w:val="left"/>
      <w:pPr>
        <w:ind w:left="1413" w:hanging="281"/>
        <w:jc w:val="left"/>
      </w:pPr>
      <w:rPr>
        <w:rFonts w:ascii="Arial" w:eastAsia="Arial" w:hAnsi="Arial" w:cs="Arial" w:hint="default"/>
        <w:b/>
        <w:bCs/>
        <w:spacing w:val="-2"/>
        <w:w w:val="99"/>
        <w:sz w:val="21"/>
        <w:szCs w:val="21"/>
        <w:lang w:val="zh-CN" w:eastAsia="zh-CN" w:bidi="zh-CN"/>
      </w:rPr>
    </w:lvl>
    <w:lvl w:ilvl="1">
      <w:start w:val="1"/>
      <w:numFmt w:val="decimal"/>
      <w:lvlText w:val="%1.%2."/>
      <w:lvlJc w:val="left"/>
      <w:pPr>
        <w:ind w:left="1948" w:hanging="456"/>
        <w:jc w:val="left"/>
      </w:pPr>
      <w:rPr>
        <w:rFonts w:ascii="Arial" w:eastAsia="Arial" w:hAnsi="Arial" w:cs="Arial" w:hint="default"/>
        <w:spacing w:val="-2"/>
        <w:w w:val="99"/>
        <w:sz w:val="21"/>
        <w:szCs w:val="21"/>
        <w:lang w:val="zh-CN" w:eastAsia="zh-CN" w:bidi="zh-CN"/>
      </w:rPr>
    </w:lvl>
    <w:lvl w:ilvl="2">
      <w:start w:val="0"/>
      <w:numFmt w:val="bullet"/>
      <w:lvlText w:val="•"/>
      <w:lvlJc w:val="left"/>
      <w:pPr>
        <w:ind w:left="3047" w:hanging="456"/>
      </w:pPr>
      <w:rPr>
        <w:rFonts w:hint="default"/>
        <w:lang w:val="zh-CN" w:eastAsia="zh-CN" w:bidi="zh-CN"/>
      </w:rPr>
    </w:lvl>
    <w:lvl w:ilvl="3">
      <w:start w:val="0"/>
      <w:numFmt w:val="bullet"/>
      <w:lvlText w:val="•"/>
      <w:lvlJc w:val="left"/>
      <w:pPr>
        <w:ind w:left="4154" w:hanging="456"/>
      </w:pPr>
      <w:rPr>
        <w:rFonts w:hint="default"/>
        <w:lang w:val="zh-CN" w:eastAsia="zh-CN" w:bidi="zh-CN"/>
      </w:rPr>
    </w:lvl>
    <w:lvl w:ilvl="4">
      <w:start w:val="0"/>
      <w:numFmt w:val="bullet"/>
      <w:lvlText w:val="•"/>
      <w:lvlJc w:val="left"/>
      <w:pPr>
        <w:ind w:left="5262" w:hanging="456"/>
      </w:pPr>
      <w:rPr>
        <w:rFonts w:hint="default"/>
        <w:lang w:val="zh-CN" w:eastAsia="zh-CN" w:bidi="zh-CN"/>
      </w:rPr>
    </w:lvl>
    <w:lvl w:ilvl="5">
      <w:start w:val="0"/>
      <w:numFmt w:val="bullet"/>
      <w:lvlText w:val="•"/>
      <w:lvlJc w:val="left"/>
      <w:pPr>
        <w:ind w:left="6369" w:hanging="456"/>
      </w:pPr>
      <w:rPr>
        <w:rFonts w:hint="default"/>
        <w:lang w:val="zh-CN" w:eastAsia="zh-CN" w:bidi="zh-CN"/>
      </w:rPr>
    </w:lvl>
    <w:lvl w:ilvl="6">
      <w:start w:val="0"/>
      <w:numFmt w:val="bullet"/>
      <w:lvlText w:val="•"/>
      <w:lvlJc w:val="left"/>
      <w:pPr>
        <w:ind w:left="7476" w:hanging="456"/>
      </w:pPr>
      <w:rPr>
        <w:rFonts w:hint="default"/>
        <w:lang w:val="zh-CN" w:eastAsia="zh-CN" w:bidi="zh-CN"/>
      </w:rPr>
    </w:lvl>
    <w:lvl w:ilvl="7">
      <w:start w:val="0"/>
      <w:numFmt w:val="bullet"/>
      <w:lvlText w:val="•"/>
      <w:lvlJc w:val="left"/>
      <w:pPr>
        <w:ind w:left="8584" w:hanging="456"/>
      </w:pPr>
      <w:rPr>
        <w:rFonts w:hint="default"/>
        <w:lang w:val="zh-CN" w:eastAsia="zh-CN" w:bidi="zh-CN"/>
      </w:rPr>
    </w:lvl>
    <w:lvl w:ilvl="8">
      <w:start w:val="0"/>
      <w:numFmt w:val="bullet"/>
      <w:lvlText w:val="•"/>
      <w:lvlJc w:val="left"/>
      <w:pPr>
        <w:ind w:left="9691" w:hanging="456"/>
      </w:pPr>
      <w:rPr>
        <w:rFonts w:hint="default"/>
        <w:lang w:val="zh-CN" w:eastAsia="zh-CN" w:bidi="zh-CN"/>
      </w:rPr>
    </w:lvl>
  </w:abstractNum>
  <w:abstractNum w:abstractNumId="7">
    <w:nsid w:val="4B4F698D"/>
    <w:multiLevelType w:val="hybridMultilevel"/>
    <w:tmpl w:val="00000000"/>
    <w:lvl w:ilvl="0">
      <w:start w:val="3"/>
      <w:numFmt w:val="decimal"/>
      <w:lvlText w:val="%1"/>
      <w:lvlJc w:val="left"/>
      <w:pPr>
        <w:ind w:left="1603" w:hanging="471"/>
        <w:jc w:val="left"/>
      </w:pPr>
      <w:rPr>
        <w:rFonts w:hint="default"/>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1"/>
      <w:numFmt w:val="decimal"/>
      <w:lvlText w:val="%1.%2.%3."/>
      <w:lvlJc w:val="left"/>
      <w:pPr>
        <w:ind w:left="1735" w:hanging="603"/>
        <w:jc w:val="left"/>
      </w:pPr>
      <w:rPr>
        <w:rFonts w:ascii="Arial" w:eastAsia="Arial" w:hAnsi="Arial" w:cs="Arial" w:hint="default"/>
        <w:b/>
        <w:bCs/>
        <w:spacing w:val="-2"/>
        <w:w w:val="100"/>
        <w:sz w:val="22"/>
        <w:szCs w:val="22"/>
        <w:lang w:val="zh-CN" w:eastAsia="zh-CN" w:bidi="zh-CN"/>
      </w:rPr>
    </w:lvl>
    <w:lvl w:ilvl="3">
      <w:start w:val="1"/>
      <w:numFmt w:val="decimal"/>
      <w:lvlText w:val="（%4）"/>
      <w:lvlJc w:val="left"/>
      <w:pPr>
        <w:ind w:left="2139" w:hanging="566"/>
        <w:jc w:val="left"/>
      </w:pPr>
      <w:rPr>
        <w:rFonts w:ascii="楷体" w:eastAsia="楷体" w:hAnsi="楷体" w:cs="楷体" w:hint="default"/>
        <w:b/>
        <w:bCs/>
        <w:spacing w:val="-3"/>
        <w:w w:val="100"/>
        <w:sz w:val="20"/>
        <w:szCs w:val="20"/>
        <w:lang w:val="zh-CN" w:eastAsia="zh-CN" w:bidi="zh-CN"/>
      </w:rPr>
    </w:lvl>
    <w:lvl w:ilvl="4">
      <w:start w:val="0"/>
      <w:numFmt w:val="bullet"/>
      <w:lvlText w:val="•"/>
      <w:lvlJc w:val="left"/>
      <w:pPr>
        <w:ind w:left="4581" w:hanging="566"/>
      </w:pPr>
      <w:rPr>
        <w:rFonts w:hint="default"/>
        <w:lang w:val="zh-CN" w:eastAsia="zh-CN" w:bidi="zh-CN"/>
      </w:rPr>
    </w:lvl>
    <w:lvl w:ilvl="5">
      <w:start w:val="0"/>
      <w:numFmt w:val="bullet"/>
      <w:lvlText w:val="•"/>
      <w:lvlJc w:val="left"/>
      <w:pPr>
        <w:ind w:left="5802" w:hanging="566"/>
      </w:pPr>
      <w:rPr>
        <w:rFonts w:hint="default"/>
        <w:lang w:val="zh-CN" w:eastAsia="zh-CN" w:bidi="zh-CN"/>
      </w:rPr>
    </w:lvl>
    <w:lvl w:ilvl="6">
      <w:start w:val="0"/>
      <w:numFmt w:val="bullet"/>
      <w:lvlText w:val="•"/>
      <w:lvlJc w:val="left"/>
      <w:pPr>
        <w:ind w:left="7023" w:hanging="566"/>
      </w:pPr>
      <w:rPr>
        <w:rFonts w:hint="default"/>
        <w:lang w:val="zh-CN" w:eastAsia="zh-CN" w:bidi="zh-CN"/>
      </w:rPr>
    </w:lvl>
    <w:lvl w:ilvl="7">
      <w:start w:val="0"/>
      <w:numFmt w:val="bullet"/>
      <w:lvlText w:val="•"/>
      <w:lvlJc w:val="left"/>
      <w:pPr>
        <w:ind w:left="8243" w:hanging="566"/>
      </w:pPr>
      <w:rPr>
        <w:rFonts w:hint="default"/>
        <w:lang w:val="zh-CN" w:eastAsia="zh-CN" w:bidi="zh-CN"/>
      </w:rPr>
    </w:lvl>
    <w:lvl w:ilvl="8">
      <w:start w:val="0"/>
      <w:numFmt w:val="bullet"/>
      <w:lvlText w:val="•"/>
      <w:lvlJc w:val="left"/>
      <w:pPr>
        <w:ind w:left="9464" w:hanging="566"/>
      </w:pPr>
      <w:rPr>
        <w:rFonts w:hint="default"/>
        <w:lang w:val="zh-CN" w:eastAsia="zh-CN" w:bidi="zh-CN"/>
      </w:rPr>
    </w:lvl>
  </w:abstractNum>
  <w:abstractNum w:abstractNumId="8">
    <w:nsid w:val="4C501A05"/>
    <w:multiLevelType w:val="hybridMultilevel"/>
    <w:tmpl w:val="00000000"/>
    <w:lvl w:ilvl="0">
      <w:start w:val="3"/>
      <w:numFmt w:val="decimal"/>
      <w:lvlText w:val="%1"/>
      <w:lvlJc w:val="left"/>
      <w:pPr>
        <w:ind w:left="1603" w:hanging="471"/>
        <w:jc w:val="left"/>
      </w:pPr>
      <w:rPr>
        <w:rFonts w:hint="default"/>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1"/>
      <w:numFmt w:val="decimal"/>
      <w:lvlText w:val="%1.%2.%3."/>
      <w:lvlJc w:val="left"/>
      <w:pPr>
        <w:ind w:left="1735" w:hanging="603"/>
        <w:jc w:val="left"/>
      </w:pPr>
      <w:rPr>
        <w:rFonts w:ascii="Arial" w:eastAsia="Arial" w:hAnsi="Arial" w:cs="Arial" w:hint="default"/>
        <w:b/>
        <w:bCs/>
        <w:spacing w:val="-2"/>
        <w:w w:val="100"/>
        <w:sz w:val="22"/>
        <w:szCs w:val="22"/>
        <w:lang w:val="zh-CN" w:eastAsia="zh-CN" w:bidi="zh-CN"/>
      </w:rPr>
    </w:lvl>
    <w:lvl w:ilvl="3">
      <w:start w:val="1"/>
      <w:numFmt w:val="decimal"/>
      <w:lvlText w:val="（%4）"/>
      <w:lvlJc w:val="left"/>
      <w:pPr>
        <w:ind w:left="2139" w:hanging="566"/>
        <w:jc w:val="left"/>
      </w:pPr>
      <w:rPr>
        <w:rFonts w:ascii="楷体" w:eastAsia="楷体" w:hAnsi="楷体" w:cs="楷体" w:hint="default"/>
        <w:b/>
        <w:bCs/>
        <w:spacing w:val="-3"/>
        <w:w w:val="100"/>
        <w:sz w:val="20"/>
        <w:szCs w:val="20"/>
        <w:lang w:val="zh-CN" w:eastAsia="zh-CN" w:bidi="zh-CN"/>
      </w:rPr>
    </w:lvl>
    <w:lvl w:ilvl="4">
      <w:start w:val="0"/>
      <w:numFmt w:val="bullet"/>
      <w:lvlText w:val="•"/>
      <w:lvlJc w:val="left"/>
      <w:pPr>
        <w:ind w:left="4581" w:hanging="566"/>
      </w:pPr>
      <w:rPr>
        <w:rFonts w:hint="default"/>
        <w:lang w:val="zh-CN" w:eastAsia="zh-CN" w:bidi="zh-CN"/>
      </w:rPr>
    </w:lvl>
    <w:lvl w:ilvl="5">
      <w:start w:val="0"/>
      <w:numFmt w:val="bullet"/>
      <w:lvlText w:val="•"/>
      <w:lvlJc w:val="left"/>
      <w:pPr>
        <w:ind w:left="5802" w:hanging="566"/>
      </w:pPr>
      <w:rPr>
        <w:rFonts w:hint="default"/>
        <w:lang w:val="zh-CN" w:eastAsia="zh-CN" w:bidi="zh-CN"/>
      </w:rPr>
    </w:lvl>
    <w:lvl w:ilvl="6">
      <w:start w:val="0"/>
      <w:numFmt w:val="bullet"/>
      <w:lvlText w:val="•"/>
      <w:lvlJc w:val="left"/>
      <w:pPr>
        <w:ind w:left="7023" w:hanging="566"/>
      </w:pPr>
      <w:rPr>
        <w:rFonts w:hint="default"/>
        <w:lang w:val="zh-CN" w:eastAsia="zh-CN" w:bidi="zh-CN"/>
      </w:rPr>
    </w:lvl>
    <w:lvl w:ilvl="7">
      <w:start w:val="0"/>
      <w:numFmt w:val="bullet"/>
      <w:lvlText w:val="•"/>
      <w:lvlJc w:val="left"/>
      <w:pPr>
        <w:ind w:left="8243" w:hanging="566"/>
      </w:pPr>
      <w:rPr>
        <w:rFonts w:hint="default"/>
        <w:lang w:val="zh-CN" w:eastAsia="zh-CN" w:bidi="zh-CN"/>
      </w:rPr>
    </w:lvl>
    <w:lvl w:ilvl="8">
      <w:start w:val="0"/>
      <w:numFmt w:val="bullet"/>
      <w:lvlText w:val="•"/>
      <w:lvlJc w:val="left"/>
      <w:pPr>
        <w:ind w:left="9464" w:hanging="566"/>
      </w:pPr>
      <w:rPr>
        <w:rFonts w:hint="default"/>
        <w:lang w:val="zh-CN" w:eastAsia="zh-CN" w:bidi="zh-CN"/>
      </w:rPr>
    </w:lvl>
  </w:abstractNum>
  <w:abstractNum w:abstractNumId="9">
    <w:nsid w:val="63435017"/>
    <w:multiLevelType w:val="hybridMultilevel"/>
    <w:tmpl w:val="00000000"/>
    <w:lvl w:ilvl="0">
      <w:start w:val="1"/>
      <w:numFmt w:val="decimal"/>
      <w:lvlText w:val="%1."/>
      <w:lvlJc w:val="left"/>
      <w:pPr>
        <w:ind w:left="1385" w:hanging="253"/>
        <w:jc w:val="left"/>
      </w:pPr>
      <w:rPr>
        <w:rFonts w:ascii="Arial" w:eastAsia="Arial" w:hAnsi="Arial" w:cs="Arial" w:hint="default"/>
        <w:b/>
        <w:bCs/>
        <w:spacing w:val="0"/>
        <w:w w:val="100"/>
        <w:sz w:val="28"/>
        <w:szCs w:val="28"/>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0"/>
      <w:numFmt w:val="bullet"/>
      <w:lvlText w:val="•"/>
      <w:lvlJc w:val="left"/>
      <w:pPr>
        <w:ind w:left="2745" w:hanging="471"/>
      </w:pPr>
      <w:rPr>
        <w:rFonts w:hint="default"/>
        <w:lang w:val="zh-CN" w:eastAsia="zh-CN" w:bidi="zh-CN"/>
      </w:rPr>
    </w:lvl>
    <w:lvl w:ilvl="3">
      <w:start w:val="0"/>
      <w:numFmt w:val="bullet"/>
      <w:lvlText w:val="•"/>
      <w:lvlJc w:val="left"/>
      <w:pPr>
        <w:ind w:left="3890" w:hanging="471"/>
      </w:pPr>
      <w:rPr>
        <w:rFonts w:hint="default"/>
        <w:lang w:val="zh-CN" w:eastAsia="zh-CN" w:bidi="zh-CN"/>
      </w:rPr>
    </w:lvl>
    <w:lvl w:ilvl="4">
      <w:start w:val="0"/>
      <w:numFmt w:val="bullet"/>
      <w:lvlText w:val="•"/>
      <w:lvlJc w:val="left"/>
      <w:pPr>
        <w:ind w:left="5035" w:hanging="471"/>
      </w:pPr>
      <w:rPr>
        <w:rFonts w:hint="default"/>
        <w:lang w:val="zh-CN" w:eastAsia="zh-CN" w:bidi="zh-CN"/>
      </w:rPr>
    </w:lvl>
    <w:lvl w:ilvl="5">
      <w:start w:val="0"/>
      <w:numFmt w:val="bullet"/>
      <w:lvlText w:val="•"/>
      <w:lvlJc w:val="left"/>
      <w:pPr>
        <w:ind w:left="6180" w:hanging="471"/>
      </w:pPr>
      <w:rPr>
        <w:rFonts w:hint="default"/>
        <w:lang w:val="zh-CN" w:eastAsia="zh-CN" w:bidi="zh-CN"/>
      </w:rPr>
    </w:lvl>
    <w:lvl w:ilvl="6">
      <w:start w:val="0"/>
      <w:numFmt w:val="bullet"/>
      <w:lvlText w:val="•"/>
      <w:lvlJc w:val="left"/>
      <w:pPr>
        <w:ind w:left="7325" w:hanging="471"/>
      </w:pPr>
      <w:rPr>
        <w:rFonts w:hint="default"/>
        <w:lang w:val="zh-CN" w:eastAsia="zh-CN" w:bidi="zh-CN"/>
      </w:rPr>
    </w:lvl>
    <w:lvl w:ilvl="7">
      <w:start w:val="0"/>
      <w:numFmt w:val="bullet"/>
      <w:lvlText w:val="•"/>
      <w:lvlJc w:val="left"/>
      <w:pPr>
        <w:ind w:left="8470" w:hanging="471"/>
      </w:pPr>
      <w:rPr>
        <w:rFonts w:hint="default"/>
        <w:lang w:val="zh-CN" w:eastAsia="zh-CN" w:bidi="zh-CN"/>
      </w:rPr>
    </w:lvl>
    <w:lvl w:ilvl="8">
      <w:start w:val="0"/>
      <w:numFmt w:val="bullet"/>
      <w:lvlText w:val="•"/>
      <w:lvlJc w:val="left"/>
      <w:pPr>
        <w:ind w:left="9615" w:hanging="471"/>
      </w:pPr>
      <w:rPr>
        <w:rFonts w:hint="default"/>
        <w:lang w:val="zh-CN" w:eastAsia="zh-CN" w:bidi="zh-CN"/>
      </w:rPr>
    </w:lvl>
  </w:abstractNum>
  <w:abstractNum w:abstractNumId="10">
    <w:nsid w:val="6F5316E9"/>
    <w:multiLevelType w:val="hybridMultilevel"/>
    <w:tmpl w:val="00000000"/>
    <w:lvl w:ilvl="0">
      <w:start w:val="1"/>
      <w:numFmt w:val="decimal"/>
      <w:lvlText w:val="%1."/>
      <w:lvlJc w:val="left"/>
      <w:pPr>
        <w:ind w:left="1385" w:hanging="253"/>
        <w:jc w:val="left"/>
      </w:pPr>
      <w:rPr>
        <w:rFonts w:ascii="Arial" w:eastAsia="Arial" w:hAnsi="Arial" w:cs="Arial" w:hint="default"/>
        <w:b/>
        <w:bCs/>
        <w:spacing w:val="0"/>
        <w:w w:val="100"/>
        <w:sz w:val="28"/>
        <w:szCs w:val="28"/>
        <w:lang w:val="zh-CN" w:eastAsia="zh-CN" w:bidi="zh-CN"/>
      </w:rPr>
    </w:lvl>
    <w:lvl w:ilvl="1">
      <w:start w:val="1"/>
      <w:numFmt w:val="decimal"/>
      <w:lvlText w:val="%1.%2."/>
      <w:lvlJc w:val="left"/>
      <w:pPr>
        <w:ind w:left="1603" w:hanging="471"/>
        <w:jc w:val="left"/>
      </w:pPr>
      <w:rPr>
        <w:rFonts w:ascii="Arial" w:eastAsia="Arial" w:hAnsi="Arial" w:cs="Arial" w:hint="default"/>
        <w:b/>
        <w:bCs/>
        <w:spacing w:val="-2"/>
        <w:w w:val="100"/>
        <w:sz w:val="26"/>
        <w:szCs w:val="26"/>
        <w:lang w:val="zh-CN" w:eastAsia="zh-CN" w:bidi="zh-CN"/>
      </w:rPr>
    </w:lvl>
    <w:lvl w:ilvl="2">
      <w:start w:val="0"/>
      <w:numFmt w:val="bullet"/>
      <w:lvlText w:val="•"/>
      <w:lvlJc w:val="left"/>
      <w:pPr>
        <w:ind w:left="2745" w:hanging="471"/>
      </w:pPr>
      <w:rPr>
        <w:rFonts w:hint="default"/>
        <w:lang w:val="zh-CN" w:eastAsia="zh-CN" w:bidi="zh-CN"/>
      </w:rPr>
    </w:lvl>
    <w:lvl w:ilvl="3">
      <w:start w:val="0"/>
      <w:numFmt w:val="bullet"/>
      <w:lvlText w:val="•"/>
      <w:lvlJc w:val="left"/>
      <w:pPr>
        <w:ind w:left="3890" w:hanging="471"/>
      </w:pPr>
      <w:rPr>
        <w:rFonts w:hint="default"/>
        <w:lang w:val="zh-CN" w:eastAsia="zh-CN" w:bidi="zh-CN"/>
      </w:rPr>
    </w:lvl>
    <w:lvl w:ilvl="4">
      <w:start w:val="0"/>
      <w:numFmt w:val="bullet"/>
      <w:lvlText w:val="•"/>
      <w:lvlJc w:val="left"/>
      <w:pPr>
        <w:ind w:left="5035" w:hanging="471"/>
      </w:pPr>
      <w:rPr>
        <w:rFonts w:hint="default"/>
        <w:lang w:val="zh-CN" w:eastAsia="zh-CN" w:bidi="zh-CN"/>
      </w:rPr>
    </w:lvl>
    <w:lvl w:ilvl="5">
      <w:start w:val="0"/>
      <w:numFmt w:val="bullet"/>
      <w:lvlText w:val="•"/>
      <w:lvlJc w:val="left"/>
      <w:pPr>
        <w:ind w:left="6180" w:hanging="471"/>
      </w:pPr>
      <w:rPr>
        <w:rFonts w:hint="default"/>
        <w:lang w:val="zh-CN" w:eastAsia="zh-CN" w:bidi="zh-CN"/>
      </w:rPr>
    </w:lvl>
    <w:lvl w:ilvl="6">
      <w:start w:val="0"/>
      <w:numFmt w:val="bullet"/>
      <w:lvlText w:val="•"/>
      <w:lvlJc w:val="left"/>
      <w:pPr>
        <w:ind w:left="7325" w:hanging="471"/>
      </w:pPr>
      <w:rPr>
        <w:rFonts w:hint="default"/>
        <w:lang w:val="zh-CN" w:eastAsia="zh-CN" w:bidi="zh-CN"/>
      </w:rPr>
    </w:lvl>
    <w:lvl w:ilvl="7">
      <w:start w:val="0"/>
      <w:numFmt w:val="bullet"/>
      <w:lvlText w:val="•"/>
      <w:lvlJc w:val="left"/>
      <w:pPr>
        <w:ind w:left="8470" w:hanging="471"/>
      </w:pPr>
      <w:rPr>
        <w:rFonts w:hint="default"/>
        <w:lang w:val="zh-CN" w:eastAsia="zh-CN" w:bidi="zh-CN"/>
      </w:rPr>
    </w:lvl>
    <w:lvl w:ilvl="8">
      <w:start w:val="0"/>
      <w:numFmt w:val="bullet"/>
      <w:lvlText w:val="•"/>
      <w:lvlJc w:val="left"/>
      <w:pPr>
        <w:ind w:left="9615" w:hanging="471"/>
      </w:pPr>
      <w:rPr>
        <w:rFonts w:hint="default"/>
        <w:lang w:val="zh-CN" w:eastAsia="zh-CN" w:bidi="zh-CN"/>
      </w:rPr>
    </w:lvl>
  </w:abstractNum>
  <w:num w:numId="1">
    <w:abstractNumId w:val="4"/>
  </w:num>
  <w:num w:numId="2">
    <w:abstractNumId w:val="0"/>
  </w:num>
  <w:num w:numId="3">
    <w:abstractNumId w:val="3"/>
  </w:num>
  <w:num w:numId="4">
    <w:abstractNumId w:val="5"/>
  </w:num>
  <w:num w:numId="5">
    <w:abstractNumId w:val="9"/>
  </w:num>
  <w:num w:numId="6">
    <w:abstractNumId w:val="6"/>
  </w:num>
  <w:num w:numId="7">
    <w:abstractNumId w:val="10"/>
  </w:num>
  <w:num w:numId="8">
    <w:abstractNumId w:val="1"/>
  </w:num>
  <w:num w:numId="9">
    <w:abstractNumId w:val="8"/>
  </w:num>
  <w:num w:numId="10">
    <w:abstractNumId w:val="7"/>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zh-CN" w:eastAsia="zh-CN" w:bidi="zh-CN"/>
    </w:rPr>
  </w:style>
  <w:style w:type="paragraph" w:styleId="Heading1">
    <w:name w:val="heading 1"/>
    <w:basedOn w:val="Normal"/>
    <w:uiPriority w:val="1"/>
    <w:qFormat/>
    <w:pPr>
      <w:spacing w:before="1"/>
      <w:ind w:left="1132"/>
      <w:outlineLvl w:val="0"/>
    </w:pPr>
    <w:rPr>
      <w:rFonts w:ascii="楷体" w:eastAsia="楷体" w:hAnsi="楷体" w:cs="楷体"/>
      <w:b/>
      <w:bCs/>
      <w:sz w:val="30"/>
      <w:szCs w:val="30"/>
      <w:lang w:val="zh-CN" w:eastAsia="zh-CN" w:bidi="zh-CN"/>
    </w:rPr>
  </w:style>
  <w:style w:type="paragraph" w:styleId="Heading2">
    <w:name w:val="heading 2"/>
    <w:basedOn w:val="Normal"/>
    <w:uiPriority w:val="1"/>
    <w:qFormat/>
    <w:pPr>
      <w:spacing w:before="74"/>
      <w:ind w:left="1603" w:hanging="472"/>
      <w:outlineLvl w:val="1"/>
    </w:pPr>
    <w:rPr>
      <w:rFonts w:ascii="楷体" w:eastAsia="楷体" w:hAnsi="楷体" w:cs="楷体"/>
      <w:b/>
      <w:bCs/>
      <w:sz w:val="28"/>
      <w:szCs w:val="28"/>
      <w:lang w:val="zh-CN" w:eastAsia="zh-CN" w:bidi="zh-CN"/>
    </w:rPr>
  </w:style>
  <w:style w:type="paragraph" w:styleId="Heading3">
    <w:name w:val="heading 3"/>
    <w:basedOn w:val="Normal"/>
    <w:uiPriority w:val="1"/>
    <w:qFormat/>
    <w:pPr>
      <w:ind w:left="1735" w:hanging="604"/>
      <w:outlineLvl w:val="2"/>
    </w:pPr>
    <w:rPr>
      <w:rFonts w:ascii="楷体" w:eastAsia="楷体" w:hAnsi="楷体" w:cs="楷体"/>
      <w:b/>
      <w:bCs/>
      <w:sz w:val="24"/>
      <w:szCs w:val="24"/>
      <w:lang w:val="zh-CN" w:eastAsia="zh-CN" w:bidi="zh-CN"/>
    </w:rPr>
  </w:style>
  <w:style w:type="paragraph" w:styleId="Heading4">
    <w:name w:val="heading 4"/>
    <w:basedOn w:val="Normal"/>
    <w:uiPriority w:val="1"/>
    <w:qFormat/>
    <w:pPr>
      <w:spacing w:before="70"/>
      <w:ind w:left="1574"/>
      <w:outlineLvl w:val="3"/>
    </w:pPr>
    <w:rPr>
      <w:rFonts w:ascii="楷体" w:eastAsia="楷体" w:hAnsi="楷体" w:cs="楷体"/>
      <w:b/>
      <w:bCs/>
      <w:sz w:val="22"/>
      <w:szCs w:val="22"/>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3"/>
      <w:ind w:left="1368" w:hanging="236"/>
    </w:pPr>
    <w:rPr>
      <w:rFonts w:ascii="楷体" w:eastAsia="楷体" w:hAnsi="楷体" w:cs="楷体"/>
      <w:b/>
      <w:bCs/>
      <w:sz w:val="21"/>
      <w:szCs w:val="21"/>
      <w:lang w:val="zh-CN" w:eastAsia="zh-CN" w:bidi="zh-CN"/>
    </w:rPr>
  </w:style>
  <w:style w:type="paragraph" w:styleId="TOC2">
    <w:name w:val="toc 2"/>
    <w:basedOn w:val="Normal"/>
    <w:uiPriority w:val="1"/>
    <w:qFormat/>
    <w:pPr>
      <w:spacing w:before="43"/>
      <w:ind w:left="1948" w:hanging="457"/>
    </w:pPr>
    <w:rPr>
      <w:rFonts w:ascii="楷体" w:eastAsia="楷体" w:hAnsi="楷体" w:cs="楷体"/>
      <w:sz w:val="21"/>
      <w:szCs w:val="21"/>
      <w:lang w:val="zh-CN" w:eastAsia="zh-CN" w:bidi="zh-CN"/>
    </w:rPr>
  </w:style>
  <w:style w:type="paragraph" w:styleId="BodyText">
    <w:name w:val="Body Text"/>
    <w:basedOn w:val="Normal"/>
    <w:uiPriority w:val="1"/>
    <w:qFormat/>
    <w:rPr>
      <w:rFonts w:ascii="楷体" w:eastAsia="楷体" w:hAnsi="楷体" w:cs="楷体"/>
      <w:sz w:val="22"/>
      <w:szCs w:val="22"/>
      <w:lang w:val="zh-CN" w:eastAsia="zh-CN" w:bidi="zh-CN"/>
    </w:rPr>
  </w:style>
  <w:style w:type="paragraph" w:styleId="ListParagraph">
    <w:name w:val="List Paragraph"/>
    <w:basedOn w:val="Normal"/>
    <w:uiPriority w:val="1"/>
    <w:qFormat/>
    <w:pPr>
      <w:spacing w:before="43"/>
      <w:ind w:left="1603" w:hanging="472"/>
    </w:pPr>
    <w:rPr>
      <w:rFonts w:ascii="楷体" w:eastAsia="楷体" w:hAnsi="楷体" w:cs="楷体"/>
      <w:lang w:val="zh-CN" w:eastAsia="zh-CN" w:bidi="zh-CN"/>
    </w:rPr>
  </w:style>
  <w:style w:type="paragraph" w:customStyle="1" w:styleId="TableParagraph">
    <w:name w:val="Table Paragraph"/>
    <w:basedOn w:val="Normal"/>
    <w:uiPriority w:val="1"/>
    <w:qFormat/>
    <w:pPr>
      <w:spacing w:before="41"/>
      <w:jc w:val="center"/>
    </w:pPr>
    <w:rPr>
      <w:rFonts w:ascii="楷体" w:eastAsia="楷体" w:hAnsi="楷体" w:cs="楷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image" Target="media/image2.jpe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jpeg"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image" Target="media/image8.jpeg"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header" Target="header1.xml" /><Relationship Id="rId40" Type="http://schemas.openxmlformats.org/officeDocument/2006/relationships/image" Target="media/image9.jpeg" /><Relationship Id="rId41" Type="http://schemas.openxmlformats.org/officeDocument/2006/relationships/image" Target="media/image10.jpeg" /><Relationship Id="rId42" Type="http://schemas.openxmlformats.org/officeDocument/2006/relationships/header" Target="header15.xml" /><Relationship Id="rId43" Type="http://schemas.openxmlformats.org/officeDocument/2006/relationships/footer" Target="footer15.xml" /><Relationship Id="rId44" Type="http://schemas.openxmlformats.org/officeDocument/2006/relationships/image" Target="media/image11.jpeg" /><Relationship Id="rId45" Type="http://schemas.openxmlformats.org/officeDocument/2006/relationships/image" Target="media/image12.png"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footer" Target="footer1.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image" Target="media/image13.jpeg" /><Relationship Id="rId53" Type="http://schemas.openxmlformats.org/officeDocument/2006/relationships/image" Target="media/image14.jpeg" /><Relationship Id="rId54" Type="http://schemas.openxmlformats.org/officeDocument/2006/relationships/header" Target="header19.xml" /><Relationship Id="rId55" Type="http://schemas.openxmlformats.org/officeDocument/2006/relationships/footer" Target="footer19.xml"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header" Target="header21.xml" /><Relationship Id="rId59" Type="http://schemas.openxmlformats.org/officeDocument/2006/relationships/footer" Target="footer21.xml" /><Relationship Id="rId6" Type="http://schemas.openxmlformats.org/officeDocument/2006/relationships/header" Target="header2.xml" /><Relationship Id="rId60" Type="http://schemas.openxmlformats.org/officeDocument/2006/relationships/hyperlink" Target="https://d.book118.com/336144130043010103" TargetMode="External" /><Relationship Id="rId61" Type="http://schemas.openxmlformats.org/officeDocument/2006/relationships/header" Target="header22.xml" /><Relationship Id="rId62" Type="http://schemas.openxmlformats.org/officeDocument/2006/relationships/footer" Target="footer22.xm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2024-03-19T05:18:00Z</dcterms:created>
  <dcterms:modified xsi:type="dcterms:W3CDTF">2024-03-19T05:18:00Z</dcterms:modified>
</cp:coreProperties>
</file>