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动漫周边项目规划设计纲要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41" w:history="1">
        <w:r>
          <w:rPr>
            <w:rFonts w:ascii="仿宋" w:eastAsia="仿宋" w:hAnsi="仿宋" w:cs="仿宋" w:hint="eastAsia"/>
            <w:lang w:eastAsia="zh-CN"/>
          </w:rPr>
          <w:t>概论</w:t>
        </w:r>
        <w:r>
          <w:tab/>
        </w:r>
        <w:r>
          <w:fldChar w:fldCharType="begin"/>
        </w:r>
        <w:r>
          <w:instrText xml:space="preserve"> PAGEREF _Toc21641 \h </w:instrText>
        </w:r>
        <w:r>
          <w:fldChar w:fldCharType="separate"/>
        </w:r>
        <w:r>
          <w:t>3</w:t>
        </w:r>
        <w:r>
          <w:fldChar w:fldCharType="end"/>
        </w:r>
      </w:hyperlink>
    </w:p>
    <w:p>
      <w:pPr>
        <w:pStyle w:val="TOC1"/>
        <w:tabs>
          <w:tab w:val="right" w:leader="dot" w:pos="8306"/>
        </w:tabs>
      </w:pPr>
      <w:hyperlink w:anchor="_Toc31851" w:history="1">
        <w:r>
          <w:rPr>
            <w:rFonts w:ascii="仿宋" w:eastAsia="仿宋" w:hAnsi="仿宋" w:cs="仿宋" w:hint="eastAsia"/>
            <w:lang w:eastAsia="zh-CN"/>
          </w:rPr>
          <w:t>一、产品规划分析</w:t>
        </w:r>
        <w:r>
          <w:tab/>
        </w:r>
        <w:r>
          <w:fldChar w:fldCharType="begin"/>
        </w:r>
        <w:r>
          <w:instrText xml:space="preserve"> PAGEREF _Toc31851 \h </w:instrText>
        </w:r>
        <w:r>
          <w:fldChar w:fldCharType="separate"/>
        </w:r>
        <w:r>
          <w:t>3</w:t>
        </w:r>
        <w:r>
          <w:fldChar w:fldCharType="end"/>
        </w:r>
      </w:hyperlink>
    </w:p>
    <w:p>
      <w:pPr>
        <w:pStyle w:val="TOC2"/>
        <w:tabs>
          <w:tab w:val="right" w:leader="dot" w:pos="8306"/>
        </w:tabs>
      </w:pPr>
      <w:hyperlink w:anchor="_Toc9298" w:history="1">
        <w:r>
          <w:rPr>
            <w:rFonts w:ascii="仿宋" w:eastAsia="仿宋" w:hAnsi="仿宋" w:cs="仿宋" w:hint="eastAsia"/>
            <w:lang w:eastAsia="zh-CN"/>
          </w:rPr>
          <w:t>(一)、产品规划</w:t>
        </w:r>
        <w:r>
          <w:tab/>
        </w:r>
        <w:r>
          <w:fldChar w:fldCharType="begin"/>
        </w:r>
        <w:r>
          <w:instrText xml:space="preserve"> PAGEREF _Toc9298 \h </w:instrText>
        </w:r>
        <w:r>
          <w:fldChar w:fldCharType="separate"/>
        </w:r>
        <w:r>
          <w:t>3</w:t>
        </w:r>
        <w:r>
          <w:fldChar w:fldCharType="end"/>
        </w:r>
      </w:hyperlink>
    </w:p>
    <w:p>
      <w:pPr>
        <w:pStyle w:val="TOC2"/>
        <w:tabs>
          <w:tab w:val="right" w:leader="dot" w:pos="8306"/>
        </w:tabs>
      </w:pPr>
      <w:hyperlink w:anchor="_Toc5538" w:history="1">
        <w:r>
          <w:rPr>
            <w:rFonts w:ascii="仿宋" w:eastAsia="仿宋" w:hAnsi="仿宋" w:cs="仿宋" w:hint="eastAsia"/>
            <w:lang w:eastAsia="zh-CN"/>
          </w:rPr>
          <w:t>(二)、建设规模</w:t>
        </w:r>
        <w:r>
          <w:tab/>
        </w:r>
        <w:r>
          <w:fldChar w:fldCharType="begin"/>
        </w:r>
        <w:r>
          <w:instrText xml:space="preserve"> PAGEREF _Toc5538 \h </w:instrText>
        </w:r>
        <w:r>
          <w:fldChar w:fldCharType="separate"/>
        </w:r>
        <w:r>
          <w:t>4</w:t>
        </w:r>
        <w:r>
          <w:fldChar w:fldCharType="end"/>
        </w:r>
      </w:hyperlink>
    </w:p>
    <w:p>
      <w:pPr>
        <w:pStyle w:val="TOC1"/>
        <w:tabs>
          <w:tab w:val="right" w:leader="dot" w:pos="8306"/>
        </w:tabs>
      </w:pPr>
      <w:hyperlink w:anchor="_Toc28562" w:history="1">
        <w:r>
          <w:rPr>
            <w:rFonts w:ascii="仿宋" w:eastAsia="仿宋" w:hAnsi="仿宋" w:cs="仿宋" w:hint="eastAsia"/>
            <w:lang w:eastAsia="zh-CN"/>
          </w:rPr>
          <w:t>二、动漫周边项目选址可行性分析</w:t>
        </w:r>
        <w:r>
          <w:tab/>
        </w:r>
        <w:r>
          <w:fldChar w:fldCharType="begin"/>
        </w:r>
        <w:r>
          <w:instrText xml:space="preserve"> PAGEREF _Toc28562 \h </w:instrText>
        </w:r>
        <w:r>
          <w:fldChar w:fldCharType="separate"/>
        </w:r>
        <w:r>
          <w:t>5</w:t>
        </w:r>
        <w:r>
          <w:fldChar w:fldCharType="end"/>
        </w:r>
      </w:hyperlink>
    </w:p>
    <w:p>
      <w:pPr>
        <w:pStyle w:val="TOC2"/>
        <w:tabs>
          <w:tab w:val="right" w:leader="dot" w:pos="8306"/>
        </w:tabs>
      </w:pPr>
      <w:hyperlink w:anchor="_Toc23893" w:history="1">
        <w:r>
          <w:rPr>
            <w:rFonts w:ascii="仿宋" w:eastAsia="仿宋" w:hAnsi="仿宋" w:cs="仿宋" w:hint="eastAsia"/>
            <w:lang w:eastAsia="zh-CN"/>
          </w:rPr>
          <w:t>(一)、动漫周边项目选址</w:t>
        </w:r>
        <w:r>
          <w:tab/>
        </w:r>
        <w:r>
          <w:fldChar w:fldCharType="begin"/>
        </w:r>
        <w:r>
          <w:instrText xml:space="preserve"> PAGEREF _Toc23893 \h </w:instrText>
        </w:r>
        <w:r>
          <w:fldChar w:fldCharType="separate"/>
        </w:r>
        <w:r>
          <w:t>5</w:t>
        </w:r>
        <w:r>
          <w:fldChar w:fldCharType="end"/>
        </w:r>
      </w:hyperlink>
    </w:p>
    <w:p>
      <w:pPr>
        <w:pStyle w:val="TOC2"/>
        <w:tabs>
          <w:tab w:val="right" w:leader="dot" w:pos="8306"/>
        </w:tabs>
      </w:pPr>
      <w:hyperlink w:anchor="_Toc20937" w:history="1">
        <w:r>
          <w:rPr>
            <w:rFonts w:ascii="仿宋" w:eastAsia="仿宋" w:hAnsi="仿宋" w:cs="仿宋" w:hint="eastAsia"/>
            <w:lang w:eastAsia="zh-CN"/>
          </w:rPr>
          <w:t>(二)、用地控制指标</w:t>
        </w:r>
        <w:r>
          <w:tab/>
        </w:r>
        <w:r>
          <w:fldChar w:fldCharType="begin"/>
        </w:r>
        <w:r>
          <w:instrText xml:space="preserve"> PAGEREF _Toc20937 \h </w:instrText>
        </w:r>
        <w:r>
          <w:fldChar w:fldCharType="separate"/>
        </w:r>
        <w:r>
          <w:t>5</w:t>
        </w:r>
        <w:r>
          <w:fldChar w:fldCharType="end"/>
        </w:r>
      </w:hyperlink>
    </w:p>
    <w:p>
      <w:pPr>
        <w:pStyle w:val="TOC2"/>
        <w:tabs>
          <w:tab w:val="right" w:leader="dot" w:pos="8306"/>
        </w:tabs>
      </w:pPr>
      <w:hyperlink w:anchor="_Toc27112" w:history="1">
        <w:r>
          <w:rPr>
            <w:rFonts w:ascii="仿宋" w:eastAsia="仿宋" w:hAnsi="仿宋" w:cs="仿宋" w:hint="eastAsia"/>
            <w:lang w:eastAsia="zh-CN"/>
          </w:rPr>
          <w:t>(三)、节约用地措施</w:t>
        </w:r>
        <w:r>
          <w:tab/>
        </w:r>
        <w:r>
          <w:fldChar w:fldCharType="begin"/>
        </w:r>
        <w:r>
          <w:instrText xml:space="preserve"> PAGEREF _Toc27112 \h </w:instrText>
        </w:r>
        <w:r>
          <w:fldChar w:fldCharType="separate"/>
        </w:r>
        <w:r>
          <w:t>7</w:t>
        </w:r>
        <w:r>
          <w:fldChar w:fldCharType="end"/>
        </w:r>
      </w:hyperlink>
    </w:p>
    <w:p>
      <w:pPr>
        <w:pStyle w:val="TOC2"/>
        <w:tabs>
          <w:tab w:val="right" w:leader="dot" w:pos="8306"/>
        </w:tabs>
      </w:pPr>
      <w:hyperlink w:anchor="_Toc29958" w:history="1">
        <w:r>
          <w:rPr>
            <w:rFonts w:ascii="仿宋" w:eastAsia="仿宋" w:hAnsi="仿宋" w:cs="仿宋" w:hint="eastAsia"/>
            <w:lang w:eastAsia="zh-CN"/>
          </w:rPr>
          <w:t>(四)、总图布置方案</w:t>
        </w:r>
        <w:r>
          <w:tab/>
        </w:r>
        <w:r>
          <w:fldChar w:fldCharType="begin"/>
        </w:r>
        <w:r>
          <w:instrText xml:space="preserve"> PAGEREF _Toc29958 \h </w:instrText>
        </w:r>
        <w:r>
          <w:fldChar w:fldCharType="separate"/>
        </w:r>
        <w:r>
          <w:t>8</w:t>
        </w:r>
        <w:r>
          <w:fldChar w:fldCharType="end"/>
        </w:r>
      </w:hyperlink>
    </w:p>
    <w:p>
      <w:pPr>
        <w:pStyle w:val="TOC2"/>
        <w:tabs>
          <w:tab w:val="right" w:leader="dot" w:pos="8306"/>
        </w:tabs>
      </w:pPr>
      <w:hyperlink w:anchor="_Toc32107" w:history="1">
        <w:r>
          <w:rPr>
            <w:rFonts w:ascii="仿宋" w:eastAsia="仿宋" w:hAnsi="仿宋" w:cs="仿宋" w:hint="eastAsia"/>
            <w:lang w:eastAsia="zh-CN"/>
          </w:rPr>
          <w:t>(五)、选址综合评价</w:t>
        </w:r>
        <w:r>
          <w:tab/>
        </w:r>
        <w:r>
          <w:fldChar w:fldCharType="begin"/>
        </w:r>
        <w:r>
          <w:instrText xml:space="preserve"> PAGEREF _Toc32107 \h </w:instrText>
        </w:r>
        <w:r>
          <w:fldChar w:fldCharType="separate"/>
        </w:r>
        <w:r>
          <w:t>9</w:t>
        </w:r>
        <w:r>
          <w:fldChar w:fldCharType="end"/>
        </w:r>
      </w:hyperlink>
    </w:p>
    <w:p>
      <w:pPr>
        <w:pStyle w:val="TOC1"/>
        <w:tabs>
          <w:tab w:val="right" w:leader="dot" w:pos="8306"/>
        </w:tabs>
      </w:pPr>
      <w:hyperlink w:anchor="_Toc14962" w:history="1">
        <w:r>
          <w:rPr>
            <w:rFonts w:ascii="仿宋" w:eastAsia="仿宋" w:hAnsi="仿宋" w:cs="仿宋" w:hint="eastAsia"/>
            <w:lang w:eastAsia="zh-CN"/>
          </w:rPr>
          <w:t>三、工艺说明</w:t>
        </w:r>
        <w:r>
          <w:tab/>
        </w:r>
        <w:r>
          <w:fldChar w:fldCharType="begin"/>
        </w:r>
        <w:r>
          <w:instrText xml:space="preserve"> PAGEREF _Toc14962 \h </w:instrText>
        </w:r>
        <w:r>
          <w:fldChar w:fldCharType="separate"/>
        </w:r>
        <w:r>
          <w:t>10</w:t>
        </w:r>
        <w:r>
          <w:fldChar w:fldCharType="end"/>
        </w:r>
      </w:hyperlink>
    </w:p>
    <w:p>
      <w:pPr>
        <w:pStyle w:val="TOC2"/>
        <w:tabs>
          <w:tab w:val="right" w:leader="dot" w:pos="8306"/>
        </w:tabs>
      </w:pPr>
      <w:hyperlink w:anchor="_Toc18027" w:history="1">
        <w:r>
          <w:rPr>
            <w:rFonts w:ascii="仿宋" w:eastAsia="仿宋" w:hAnsi="仿宋" w:cs="仿宋" w:hint="eastAsia"/>
            <w:lang w:eastAsia="zh-CN"/>
          </w:rPr>
          <w:t>(一)、技术管理特点</w:t>
        </w:r>
        <w:r>
          <w:tab/>
        </w:r>
        <w:r>
          <w:fldChar w:fldCharType="begin"/>
        </w:r>
        <w:r>
          <w:instrText xml:space="preserve"> PAGEREF _Toc18027 \h </w:instrText>
        </w:r>
        <w:r>
          <w:fldChar w:fldCharType="separate"/>
        </w:r>
        <w:r>
          <w:t>10</w:t>
        </w:r>
        <w:r>
          <w:fldChar w:fldCharType="end"/>
        </w:r>
      </w:hyperlink>
    </w:p>
    <w:p>
      <w:pPr>
        <w:pStyle w:val="TOC2"/>
        <w:tabs>
          <w:tab w:val="right" w:leader="dot" w:pos="8306"/>
        </w:tabs>
      </w:pPr>
      <w:hyperlink w:anchor="_Toc18498" w:history="1">
        <w:r>
          <w:rPr>
            <w:rFonts w:ascii="仿宋" w:eastAsia="仿宋" w:hAnsi="仿宋" w:cs="仿宋" w:hint="eastAsia"/>
            <w:lang w:eastAsia="zh-CN"/>
          </w:rPr>
          <w:t>(二)、动漫周边项目工艺技术设计方案</w:t>
        </w:r>
        <w:r>
          <w:tab/>
        </w:r>
        <w:r>
          <w:fldChar w:fldCharType="begin"/>
        </w:r>
        <w:r>
          <w:instrText xml:space="preserve"> PAGEREF _Toc18498 \h </w:instrText>
        </w:r>
        <w:r>
          <w:fldChar w:fldCharType="separate"/>
        </w:r>
        <w:r>
          <w:t>11</w:t>
        </w:r>
        <w:r>
          <w:fldChar w:fldCharType="end"/>
        </w:r>
      </w:hyperlink>
    </w:p>
    <w:p>
      <w:pPr>
        <w:pStyle w:val="TOC2"/>
        <w:tabs>
          <w:tab w:val="right" w:leader="dot" w:pos="8306"/>
        </w:tabs>
      </w:pPr>
      <w:hyperlink w:anchor="_Toc17574" w:history="1">
        <w:r>
          <w:rPr>
            <w:rFonts w:ascii="仿宋" w:eastAsia="仿宋" w:hAnsi="仿宋" w:cs="仿宋" w:hint="eastAsia"/>
            <w:lang w:eastAsia="zh-CN"/>
          </w:rPr>
          <w:t>(三)、设备选型方案</w:t>
        </w:r>
        <w:r>
          <w:tab/>
        </w:r>
        <w:r>
          <w:fldChar w:fldCharType="begin"/>
        </w:r>
        <w:r>
          <w:instrText xml:space="preserve"> PAGEREF _Toc17574 \h </w:instrText>
        </w:r>
        <w:r>
          <w:fldChar w:fldCharType="separate"/>
        </w:r>
        <w:r>
          <w:t>12</w:t>
        </w:r>
        <w:r>
          <w:fldChar w:fldCharType="end"/>
        </w:r>
      </w:hyperlink>
    </w:p>
    <w:p>
      <w:pPr>
        <w:pStyle w:val="TOC1"/>
        <w:tabs>
          <w:tab w:val="right" w:leader="dot" w:pos="8306"/>
        </w:tabs>
      </w:pPr>
      <w:hyperlink w:anchor="_Toc12341" w:history="1">
        <w:r>
          <w:rPr>
            <w:rFonts w:ascii="仿宋" w:eastAsia="仿宋" w:hAnsi="仿宋" w:cs="仿宋" w:hint="eastAsia"/>
            <w:lang w:eastAsia="zh-CN"/>
          </w:rPr>
          <w:t>四、动漫周边项目危机管理</w:t>
        </w:r>
        <w:r>
          <w:tab/>
        </w:r>
        <w:r>
          <w:fldChar w:fldCharType="begin"/>
        </w:r>
        <w:r>
          <w:instrText xml:space="preserve"> PAGEREF _Toc12341 \h </w:instrText>
        </w:r>
        <w:r>
          <w:fldChar w:fldCharType="separate"/>
        </w:r>
        <w:r>
          <w:t>14</w:t>
        </w:r>
        <w:r>
          <w:fldChar w:fldCharType="end"/>
        </w:r>
      </w:hyperlink>
    </w:p>
    <w:p>
      <w:pPr>
        <w:pStyle w:val="TOC2"/>
        <w:tabs>
          <w:tab w:val="right" w:leader="dot" w:pos="8306"/>
        </w:tabs>
      </w:pPr>
      <w:hyperlink w:anchor="_Toc22534" w:history="1">
        <w:r>
          <w:rPr>
            <w:rFonts w:ascii="仿宋" w:eastAsia="仿宋" w:hAnsi="仿宋" w:cs="仿宋" w:hint="eastAsia"/>
            <w:lang w:eastAsia="zh-CN"/>
          </w:rPr>
          <w:t>(一)、危机预警与识别</w:t>
        </w:r>
        <w:r>
          <w:tab/>
        </w:r>
        <w:r>
          <w:fldChar w:fldCharType="begin"/>
        </w:r>
        <w:r>
          <w:instrText xml:space="preserve"> PAGEREF _Toc22534 \h </w:instrText>
        </w:r>
        <w:r>
          <w:fldChar w:fldCharType="separate"/>
        </w:r>
        <w:r>
          <w:t>14</w:t>
        </w:r>
        <w:r>
          <w:fldChar w:fldCharType="end"/>
        </w:r>
      </w:hyperlink>
    </w:p>
    <w:p>
      <w:pPr>
        <w:pStyle w:val="TOC2"/>
        <w:tabs>
          <w:tab w:val="right" w:leader="dot" w:pos="8306"/>
        </w:tabs>
      </w:pPr>
      <w:hyperlink w:anchor="_Toc15112" w:history="1">
        <w:r>
          <w:rPr>
            <w:rFonts w:ascii="仿宋" w:eastAsia="仿宋" w:hAnsi="仿宋" w:cs="仿宋" w:hint="eastAsia"/>
            <w:lang w:eastAsia="zh-CN"/>
          </w:rPr>
          <w:t>(二)、危机应对与恢复</w:t>
        </w:r>
        <w:r>
          <w:tab/>
        </w:r>
        <w:r>
          <w:fldChar w:fldCharType="begin"/>
        </w:r>
        <w:r>
          <w:instrText xml:space="preserve"> PAGEREF _Toc15112 \h </w:instrText>
        </w:r>
        <w:r>
          <w:fldChar w:fldCharType="separate"/>
        </w:r>
        <w:r>
          <w:t>15</w:t>
        </w:r>
        <w:r>
          <w:fldChar w:fldCharType="end"/>
        </w:r>
      </w:hyperlink>
    </w:p>
    <w:p>
      <w:pPr>
        <w:pStyle w:val="TOC1"/>
        <w:tabs>
          <w:tab w:val="right" w:leader="dot" w:pos="8306"/>
        </w:tabs>
      </w:pPr>
      <w:hyperlink w:anchor="_Toc29903" w:history="1">
        <w:r>
          <w:rPr>
            <w:rFonts w:ascii="仿宋" w:eastAsia="仿宋" w:hAnsi="仿宋" w:cs="仿宋" w:hint="eastAsia"/>
            <w:lang w:eastAsia="zh-CN"/>
          </w:rPr>
          <w:t>五、市场分析、调研</w:t>
        </w:r>
        <w:r>
          <w:tab/>
        </w:r>
        <w:r>
          <w:fldChar w:fldCharType="begin"/>
        </w:r>
        <w:r>
          <w:instrText xml:space="preserve"> PAGEREF _Toc29903 \h </w:instrText>
        </w:r>
        <w:r>
          <w:fldChar w:fldCharType="separate"/>
        </w:r>
        <w:r>
          <w:t>16</w:t>
        </w:r>
        <w:r>
          <w:fldChar w:fldCharType="end"/>
        </w:r>
      </w:hyperlink>
    </w:p>
    <w:p>
      <w:pPr>
        <w:pStyle w:val="TOC2"/>
        <w:tabs>
          <w:tab w:val="right" w:leader="dot" w:pos="8306"/>
        </w:tabs>
      </w:pPr>
      <w:hyperlink w:anchor="_Toc2184" w:history="1">
        <w:r>
          <w:rPr>
            <w:rFonts w:ascii="仿宋" w:eastAsia="仿宋" w:hAnsi="仿宋" w:cs="仿宋" w:hint="eastAsia"/>
            <w:lang w:eastAsia="zh-CN"/>
          </w:rPr>
          <w:t>(一)、动漫周边行业分析</w:t>
        </w:r>
        <w:r>
          <w:tab/>
        </w:r>
        <w:r>
          <w:fldChar w:fldCharType="begin"/>
        </w:r>
        <w:r>
          <w:instrText xml:space="preserve"> PAGEREF _Toc2184 \h </w:instrText>
        </w:r>
        <w:r>
          <w:fldChar w:fldCharType="separate"/>
        </w:r>
        <w:r>
          <w:t>16</w:t>
        </w:r>
        <w:r>
          <w:fldChar w:fldCharType="end"/>
        </w:r>
      </w:hyperlink>
    </w:p>
    <w:p>
      <w:pPr>
        <w:pStyle w:val="TOC2"/>
        <w:tabs>
          <w:tab w:val="right" w:leader="dot" w:pos="8306"/>
        </w:tabs>
      </w:pPr>
      <w:hyperlink w:anchor="_Toc3557" w:history="1">
        <w:r>
          <w:rPr>
            <w:rFonts w:ascii="仿宋" w:eastAsia="仿宋" w:hAnsi="仿宋" w:cs="仿宋" w:hint="eastAsia"/>
            <w:lang w:eastAsia="zh-CN"/>
          </w:rPr>
          <w:t>(二)、动漫周边市场分析预测</w:t>
        </w:r>
        <w:r>
          <w:tab/>
        </w:r>
        <w:r>
          <w:fldChar w:fldCharType="begin"/>
        </w:r>
        <w:r>
          <w:instrText xml:space="preserve"> PAGEREF _Toc3557 \h </w:instrText>
        </w:r>
        <w:r>
          <w:fldChar w:fldCharType="separate"/>
        </w:r>
        <w:r>
          <w:t>17</w:t>
        </w:r>
        <w:r>
          <w:fldChar w:fldCharType="end"/>
        </w:r>
      </w:hyperlink>
    </w:p>
    <w:p>
      <w:pPr>
        <w:pStyle w:val="TOC1"/>
        <w:tabs>
          <w:tab w:val="right" w:leader="dot" w:pos="8306"/>
        </w:tabs>
      </w:pPr>
      <w:hyperlink w:anchor="_Toc28965" w:history="1">
        <w:r>
          <w:rPr>
            <w:rFonts w:ascii="仿宋" w:eastAsia="仿宋" w:hAnsi="仿宋" w:cs="仿宋" w:hint="eastAsia"/>
            <w:lang w:eastAsia="zh-CN"/>
          </w:rPr>
          <w:t>六、动漫周边项目绩效评估</w:t>
        </w:r>
        <w:r>
          <w:tab/>
        </w:r>
        <w:r>
          <w:fldChar w:fldCharType="begin"/>
        </w:r>
        <w:r>
          <w:instrText xml:space="preserve"> PAGEREF _Toc28965 \h </w:instrText>
        </w:r>
        <w:r>
          <w:fldChar w:fldCharType="separate"/>
        </w:r>
        <w:r>
          <w:t>18</w:t>
        </w:r>
        <w:r>
          <w:fldChar w:fldCharType="end"/>
        </w:r>
      </w:hyperlink>
    </w:p>
    <w:p>
      <w:pPr>
        <w:pStyle w:val="TOC2"/>
        <w:tabs>
          <w:tab w:val="right" w:leader="dot" w:pos="8306"/>
        </w:tabs>
      </w:pPr>
      <w:hyperlink w:anchor="_Toc3730" w:history="1">
        <w:r>
          <w:rPr>
            <w:rFonts w:ascii="仿宋" w:eastAsia="仿宋" w:hAnsi="仿宋" w:cs="仿宋" w:hint="eastAsia"/>
            <w:lang w:eastAsia="zh-CN"/>
          </w:rPr>
          <w:t>(一)、绩效评估指标</w:t>
        </w:r>
        <w:r>
          <w:tab/>
        </w:r>
        <w:r>
          <w:fldChar w:fldCharType="begin"/>
        </w:r>
        <w:r>
          <w:instrText xml:space="preserve"> PAGEREF _Toc3730 \h </w:instrText>
        </w:r>
        <w:r>
          <w:fldChar w:fldCharType="separate"/>
        </w:r>
        <w:r>
          <w:t>18</w:t>
        </w:r>
        <w:r>
          <w:fldChar w:fldCharType="end"/>
        </w:r>
      </w:hyperlink>
    </w:p>
    <w:p>
      <w:pPr>
        <w:pStyle w:val="TOC2"/>
        <w:tabs>
          <w:tab w:val="right" w:leader="dot" w:pos="8306"/>
        </w:tabs>
      </w:pPr>
      <w:hyperlink w:anchor="_Toc15669" w:history="1">
        <w:r>
          <w:rPr>
            <w:rFonts w:ascii="仿宋" w:eastAsia="仿宋" w:hAnsi="仿宋" w:cs="仿宋" w:hint="eastAsia"/>
            <w:lang w:eastAsia="zh-CN"/>
          </w:rPr>
          <w:t>(二)、绩效评估方法</w:t>
        </w:r>
        <w:r>
          <w:tab/>
        </w:r>
        <w:r>
          <w:fldChar w:fldCharType="begin"/>
        </w:r>
        <w:r>
          <w:instrText xml:space="preserve"> PAGEREF _Toc15669 \h </w:instrText>
        </w:r>
        <w:r>
          <w:fldChar w:fldCharType="separate"/>
        </w:r>
        <w:r>
          <w:t>19</w:t>
        </w:r>
        <w:r>
          <w:fldChar w:fldCharType="end"/>
        </w:r>
      </w:hyperlink>
    </w:p>
    <w:p>
      <w:pPr>
        <w:pStyle w:val="TOC2"/>
        <w:tabs>
          <w:tab w:val="right" w:leader="dot" w:pos="8306"/>
        </w:tabs>
      </w:pPr>
      <w:hyperlink w:anchor="_Toc18233" w:history="1">
        <w:r>
          <w:rPr>
            <w:rFonts w:ascii="仿宋" w:eastAsia="仿宋" w:hAnsi="仿宋" w:cs="仿宋" w:hint="eastAsia"/>
            <w:lang w:eastAsia="zh-CN"/>
          </w:rPr>
          <w:t>(三)、绩效评估周期</w:t>
        </w:r>
        <w:r>
          <w:tab/>
        </w:r>
        <w:r>
          <w:fldChar w:fldCharType="begin"/>
        </w:r>
        <w:r>
          <w:instrText xml:space="preserve"> PAGEREF _Toc18233 \h </w:instrText>
        </w:r>
        <w:r>
          <w:fldChar w:fldCharType="separate"/>
        </w:r>
        <w:r>
          <w:t>20</w:t>
        </w:r>
        <w:r>
          <w:fldChar w:fldCharType="end"/>
        </w:r>
      </w:hyperlink>
    </w:p>
    <w:p>
      <w:pPr>
        <w:pStyle w:val="TOC1"/>
        <w:tabs>
          <w:tab w:val="right" w:leader="dot" w:pos="8306"/>
        </w:tabs>
      </w:pPr>
      <w:hyperlink w:anchor="_Toc10064" w:history="1">
        <w:r>
          <w:rPr>
            <w:rFonts w:ascii="仿宋" w:eastAsia="仿宋" w:hAnsi="仿宋" w:cs="仿宋" w:hint="eastAsia"/>
            <w:lang w:eastAsia="zh-CN"/>
          </w:rPr>
          <w:t>七、动漫周边项目风险管理</w:t>
        </w:r>
        <w:r>
          <w:tab/>
        </w:r>
        <w:r>
          <w:fldChar w:fldCharType="begin"/>
        </w:r>
        <w:r>
          <w:instrText xml:space="preserve"> PAGEREF _Toc10064 \h </w:instrText>
        </w:r>
        <w:r>
          <w:fldChar w:fldCharType="separate"/>
        </w:r>
        <w:r>
          <w:t>21</w:t>
        </w:r>
        <w:r>
          <w:fldChar w:fldCharType="end"/>
        </w:r>
      </w:hyperlink>
    </w:p>
    <w:p>
      <w:pPr>
        <w:pStyle w:val="TOC2"/>
        <w:tabs>
          <w:tab w:val="right" w:leader="dot" w:pos="8306"/>
        </w:tabs>
      </w:pPr>
      <w:hyperlink w:anchor="_Toc3284" w:history="1">
        <w:r>
          <w:rPr>
            <w:rFonts w:ascii="仿宋" w:eastAsia="仿宋" w:hAnsi="仿宋" w:cs="仿宋" w:hint="eastAsia"/>
            <w:lang w:eastAsia="zh-CN"/>
          </w:rPr>
          <w:t>(一)、风险识别与评估</w:t>
        </w:r>
        <w:r>
          <w:tab/>
        </w:r>
        <w:r>
          <w:fldChar w:fldCharType="begin"/>
        </w:r>
        <w:r>
          <w:instrText xml:space="preserve"> PAGEREF _Toc3284 \h </w:instrText>
        </w:r>
        <w:r>
          <w:fldChar w:fldCharType="separate"/>
        </w:r>
        <w:r>
          <w:t>21</w:t>
        </w:r>
        <w:r>
          <w:fldChar w:fldCharType="end"/>
        </w:r>
      </w:hyperlink>
    </w:p>
    <w:p>
      <w:pPr>
        <w:pStyle w:val="TOC2"/>
        <w:tabs>
          <w:tab w:val="right" w:leader="dot" w:pos="8306"/>
        </w:tabs>
      </w:pPr>
      <w:hyperlink w:anchor="_Toc2654" w:history="1">
        <w:r>
          <w:rPr>
            <w:rFonts w:ascii="仿宋" w:eastAsia="仿宋" w:hAnsi="仿宋" w:cs="仿宋" w:hint="eastAsia"/>
            <w:lang w:eastAsia="zh-CN"/>
          </w:rPr>
          <w:t>(二)、风险应对策略</w:t>
        </w:r>
        <w:r>
          <w:tab/>
        </w:r>
        <w:r>
          <w:fldChar w:fldCharType="begin"/>
        </w:r>
        <w:r>
          <w:instrText xml:space="preserve"> PAGEREF _Toc2654 \h </w:instrText>
        </w:r>
        <w:r>
          <w:fldChar w:fldCharType="separate"/>
        </w:r>
        <w:r>
          <w:t>22</w:t>
        </w:r>
        <w:r>
          <w:fldChar w:fldCharType="end"/>
        </w:r>
      </w:hyperlink>
    </w:p>
    <w:p>
      <w:pPr>
        <w:pStyle w:val="TOC2"/>
        <w:tabs>
          <w:tab w:val="right" w:leader="dot" w:pos="8306"/>
        </w:tabs>
      </w:pPr>
      <w:hyperlink w:anchor="_Toc2352" w:history="1">
        <w:r>
          <w:rPr>
            <w:rFonts w:ascii="仿宋" w:eastAsia="仿宋" w:hAnsi="仿宋" w:cs="仿宋" w:hint="eastAsia"/>
            <w:lang w:eastAsia="zh-CN"/>
          </w:rPr>
          <w:t>(三)、风险监控与控制</w:t>
        </w:r>
        <w:r>
          <w:tab/>
        </w:r>
        <w:r>
          <w:fldChar w:fldCharType="begin"/>
        </w:r>
        <w:r>
          <w:instrText xml:space="preserve"> PAGEREF _Toc2352 \h </w:instrText>
        </w:r>
        <w:r>
          <w:fldChar w:fldCharType="separate"/>
        </w:r>
        <w:r>
          <w:t>24</w:t>
        </w:r>
        <w:r>
          <w:fldChar w:fldCharType="end"/>
        </w:r>
      </w:hyperlink>
    </w:p>
    <w:p>
      <w:pPr>
        <w:pStyle w:val="TOC1"/>
        <w:tabs>
          <w:tab w:val="right" w:leader="dot" w:pos="8306"/>
        </w:tabs>
      </w:pPr>
      <w:hyperlink w:anchor="_Toc24918" w:history="1">
        <w:r>
          <w:rPr>
            <w:rFonts w:ascii="仿宋" w:eastAsia="仿宋" w:hAnsi="仿宋" w:cs="仿宋" w:hint="eastAsia"/>
            <w:lang w:eastAsia="zh-CN"/>
          </w:rPr>
          <w:t>八、动漫周边项目技术管理</w:t>
        </w:r>
        <w:r>
          <w:tab/>
        </w:r>
        <w:r>
          <w:fldChar w:fldCharType="begin"/>
        </w:r>
        <w:r>
          <w:instrText xml:space="preserve"> PAGEREF _Toc24918 \h </w:instrText>
        </w:r>
        <w:r>
          <w:fldChar w:fldCharType="separate"/>
        </w:r>
        <w:r>
          <w:t>25</w:t>
        </w:r>
        <w:r>
          <w:fldChar w:fldCharType="end"/>
        </w:r>
      </w:hyperlink>
    </w:p>
    <w:p>
      <w:pPr>
        <w:pStyle w:val="TOC2"/>
        <w:tabs>
          <w:tab w:val="right" w:leader="dot" w:pos="8306"/>
        </w:tabs>
      </w:pPr>
      <w:hyperlink w:anchor="_Toc27206" w:history="1">
        <w:r>
          <w:rPr>
            <w:rFonts w:ascii="仿宋" w:eastAsia="仿宋" w:hAnsi="仿宋" w:cs="仿宋" w:hint="eastAsia"/>
            <w:lang w:eastAsia="zh-CN"/>
          </w:rPr>
          <w:t>(一)、技术方案选用方向</w:t>
        </w:r>
        <w:r>
          <w:tab/>
        </w:r>
        <w:r>
          <w:fldChar w:fldCharType="begin"/>
        </w:r>
        <w:r>
          <w:instrText xml:space="preserve"> PAGEREF _Toc27206 \h </w:instrText>
        </w:r>
        <w:r>
          <w:fldChar w:fldCharType="separate"/>
        </w:r>
        <w:r>
          <w:t>25</w:t>
        </w:r>
        <w:r>
          <w:fldChar w:fldCharType="end"/>
        </w:r>
      </w:hyperlink>
    </w:p>
    <w:p>
      <w:pPr>
        <w:pStyle w:val="TOC2"/>
        <w:tabs>
          <w:tab w:val="right" w:leader="dot" w:pos="8306"/>
        </w:tabs>
      </w:pPr>
      <w:hyperlink w:anchor="_Toc11711" w:history="1">
        <w:r>
          <w:rPr>
            <w:rFonts w:ascii="仿宋" w:eastAsia="仿宋" w:hAnsi="仿宋" w:cs="仿宋" w:hint="eastAsia"/>
            <w:lang w:eastAsia="zh-CN"/>
          </w:rPr>
          <w:t>(二)、工艺技术方案选用原则</w:t>
        </w:r>
        <w:r>
          <w:tab/>
        </w:r>
        <w:r>
          <w:fldChar w:fldCharType="begin"/>
        </w:r>
        <w:r>
          <w:instrText xml:space="preserve"> PAGEREF _Toc11711 \h </w:instrText>
        </w:r>
        <w:r>
          <w:fldChar w:fldCharType="separate"/>
        </w:r>
        <w:r>
          <w:t>26</w:t>
        </w:r>
        <w:r>
          <w:fldChar w:fldCharType="end"/>
        </w:r>
      </w:hyperlink>
    </w:p>
    <w:p>
      <w:pPr>
        <w:pStyle w:val="TOC2"/>
        <w:tabs>
          <w:tab w:val="right" w:leader="dot" w:pos="8306"/>
        </w:tabs>
      </w:pPr>
      <w:hyperlink w:anchor="_Toc20772" w:history="1">
        <w:r>
          <w:rPr>
            <w:rFonts w:ascii="仿宋" w:eastAsia="仿宋" w:hAnsi="仿宋" w:cs="仿宋" w:hint="eastAsia"/>
            <w:lang w:eastAsia="zh-CN"/>
          </w:rPr>
          <w:t>(三)、工艺技术方案要求</w:t>
        </w:r>
        <w:r>
          <w:tab/>
        </w:r>
        <w:r>
          <w:fldChar w:fldCharType="begin"/>
        </w:r>
        <w:r>
          <w:instrText xml:space="preserve"> PAGEREF _Toc20772 \h </w:instrText>
        </w:r>
        <w:r>
          <w:fldChar w:fldCharType="separate"/>
        </w:r>
        <w:r>
          <w:t>29</w:t>
        </w:r>
        <w:r>
          <w:fldChar w:fldCharType="end"/>
        </w:r>
      </w:hyperlink>
    </w:p>
    <w:p>
      <w:pPr>
        <w:pStyle w:val="TOC1"/>
        <w:tabs>
          <w:tab w:val="right" w:leader="dot" w:pos="8306"/>
        </w:tabs>
      </w:pPr>
      <w:hyperlink w:anchor="_Toc17268" w:history="1">
        <w:r>
          <w:rPr>
            <w:rFonts w:ascii="仿宋" w:eastAsia="仿宋" w:hAnsi="仿宋" w:cs="仿宋" w:hint="eastAsia"/>
            <w:lang w:eastAsia="zh-CN"/>
          </w:rPr>
          <w:t>九、动漫周边项目计划安排</w:t>
        </w:r>
        <w:r>
          <w:tab/>
        </w:r>
        <w:r>
          <w:fldChar w:fldCharType="begin"/>
        </w:r>
        <w:r>
          <w:instrText xml:space="preserve"> PAGEREF _Toc17268 \h </w:instrText>
        </w:r>
        <w:r>
          <w:fldChar w:fldCharType="separate"/>
        </w:r>
        <w:r>
          <w:t>31</w:t>
        </w:r>
        <w:r>
          <w:fldChar w:fldCharType="end"/>
        </w:r>
      </w:hyperlink>
    </w:p>
    <w:p>
      <w:pPr>
        <w:pStyle w:val="TOC2"/>
        <w:tabs>
          <w:tab w:val="right" w:leader="dot" w:pos="8306"/>
        </w:tabs>
      </w:pPr>
      <w:hyperlink w:anchor="_Toc9530" w:history="1">
        <w:r>
          <w:rPr>
            <w:rFonts w:ascii="仿宋" w:eastAsia="仿宋" w:hAnsi="仿宋" w:cs="仿宋" w:hint="eastAsia"/>
            <w:lang w:eastAsia="zh-CN"/>
          </w:rPr>
          <w:t>(一)、建设周期</w:t>
        </w:r>
        <w:r>
          <w:tab/>
        </w:r>
        <w:r>
          <w:fldChar w:fldCharType="begin"/>
        </w:r>
        <w:r>
          <w:instrText xml:space="preserve"> PAGEREF _Toc9530 \h </w:instrText>
        </w:r>
        <w:r>
          <w:fldChar w:fldCharType="separate"/>
        </w:r>
        <w:r>
          <w:t>31</w:t>
        </w:r>
        <w:r>
          <w:fldChar w:fldCharType="end"/>
        </w:r>
      </w:hyperlink>
    </w:p>
    <w:p>
      <w:pPr>
        <w:pStyle w:val="TOC2"/>
        <w:tabs>
          <w:tab w:val="right" w:leader="dot" w:pos="8306"/>
        </w:tabs>
      </w:pPr>
      <w:hyperlink w:anchor="_Toc11060" w:history="1">
        <w:r>
          <w:rPr>
            <w:rFonts w:ascii="仿宋" w:eastAsia="仿宋" w:hAnsi="仿宋" w:cs="仿宋" w:hint="eastAsia"/>
            <w:lang w:eastAsia="zh-CN"/>
          </w:rPr>
          <w:t>(二)、建设进度</w:t>
        </w:r>
        <w:r>
          <w:tab/>
        </w:r>
        <w:r>
          <w:fldChar w:fldCharType="begin"/>
        </w:r>
        <w:r>
          <w:instrText xml:space="preserve"> PAGEREF _Toc11060 \h </w:instrText>
        </w:r>
        <w:r>
          <w:fldChar w:fldCharType="separate"/>
        </w:r>
        <w:r>
          <w:t>32</w:t>
        </w:r>
        <w:r>
          <w:fldChar w:fldCharType="end"/>
        </w:r>
      </w:hyperlink>
    </w:p>
    <w:p>
      <w:pPr>
        <w:pStyle w:val="TOC2"/>
        <w:tabs>
          <w:tab w:val="right" w:leader="dot" w:pos="8306"/>
        </w:tabs>
      </w:pPr>
      <w:hyperlink w:anchor="_Toc22291" w:history="1">
        <w:r>
          <w:rPr>
            <w:rFonts w:ascii="仿宋" w:eastAsia="仿宋" w:hAnsi="仿宋" w:cs="仿宋" w:hint="eastAsia"/>
            <w:lang w:eastAsia="zh-CN"/>
          </w:rPr>
          <w:t>(三)、进度安排注意事项</w:t>
        </w:r>
        <w:r>
          <w:tab/>
        </w:r>
        <w:r>
          <w:fldChar w:fldCharType="begin"/>
        </w:r>
        <w:r>
          <w:instrText xml:space="preserve"> PAGEREF _Toc22291 \h </w:instrText>
        </w:r>
        <w:r>
          <w:fldChar w:fldCharType="separate"/>
        </w:r>
        <w:r>
          <w:t>33</w:t>
        </w:r>
        <w:r>
          <w:fldChar w:fldCharType="end"/>
        </w:r>
      </w:hyperlink>
    </w:p>
    <w:p>
      <w:pPr>
        <w:pStyle w:val="TOC2"/>
        <w:tabs>
          <w:tab w:val="right" w:leader="dot" w:pos="8306"/>
        </w:tabs>
      </w:pPr>
      <w:hyperlink w:anchor="_Toc6916" w:history="1">
        <w:r>
          <w:rPr>
            <w:rFonts w:ascii="仿宋" w:eastAsia="仿宋" w:hAnsi="仿宋" w:cs="仿宋" w:hint="eastAsia"/>
            <w:lang w:eastAsia="zh-CN"/>
          </w:rPr>
          <w:t>(四)、人力资源配置</w:t>
        </w:r>
        <w:r>
          <w:tab/>
        </w:r>
        <w:r>
          <w:fldChar w:fldCharType="begin"/>
        </w:r>
        <w:r>
          <w:instrText xml:space="preserve"> PAGEREF _Toc6916 \h </w:instrText>
        </w:r>
        <w:r>
          <w:fldChar w:fldCharType="separate"/>
        </w:r>
        <w:r>
          <w:t>34</w:t>
        </w:r>
        <w:r>
          <w:fldChar w:fldCharType="end"/>
        </w:r>
      </w:hyperlink>
    </w:p>
    <w:p>
      <w:pPr>
        <w:pStyle w:val="TOC1"/>
        <w:tabs>
          <w:tab w:val="right" w:leader="dot" w:pos="8306"/>
        </w:tabs>
      </w:pPr>
      <w:hyperlink w:anchor="_Toc13750" w:history="1">
        <w:r>
          <w:rPr>
            <w:rFonts w:ascii="仿宋" w:eastAsia="仿宋" w:hAnsi="仿宋" w:cs="仿宋" w:hint="eastAsia"/>
            <w:lang w:eastAsia="zh-CN"/>
          </w:rPr>
          <w:t>十、动漫周边项目社会影响</w:t>
        </w:r>
        <w:r>
          <w:tab/>
        </w:r>
        <w:r>
          <w:fldChar w:fldCharType="begin"/>
        </w:r>
        <w:r>
          <w:instrText xml:space="preserve"> PAGEREF _Toc13750 \h </w:instrText>
        </w:r>
        <w:r>
          <w:fldChar w:fldCharType="separate"/>
        </w:r>
        <w:r>
          <w:t>35</w:t>
        </w:r>
        <w:r>
          <w:fldChar w:fldCharType="end"/>
        </w:r>
      </w:hyperlink>
    </w:p>
    <w:p>
      <w:pPr>
        <w:pStyle w:val="TOC2"/>
        <w:tabs>
          <w:tab w:val="right" w:leader="dot" w:pos="8306"/>
        </w:tabs>
      </w:pPr>
      <w:hyperlink w:anchor="_Toc14971" w:history="1">
        <w:r>
          <w:rPr>
            <w:rFonts w:ascii="仿宋" w:eastAsia="仿宋" w:hAnsi="仿宋" w:cs="仿宋" w:hint="eastAsia"/>
            <w:lang w:eastAsia="zh-CN"/>
          </w:rPr>
          <w:t>(一)、社会责任与义务</w:t>
        </w:r>
        <w:r>
          <w:tab/>
        </w:r>
        <w:r>
          <w:fldChar w:fldCharType="begin"/>
        </w:r>
        <w:r>
          <w:instrText xml:space="preserve"> PAGEREF _Toc14971 \h </w:instrText>
        </w:r>
        <w:r>
          <w:fldChar w:fldCharType="separate"/>
        </w:r>
        <w:r>
          <w:t>35</w:t>
        </w:r>
        <w:r>
          <w:fldChar w:fldCharType="end"/>
        </w:r>
      </w:hyperlink>
    </w:p>
    <w:p>
      <w:pPr>
        <w:pStyle w:val="TOC2"/>
        <w:tabs>
          <w:tab w:val="right" w:leader="dot" w:pos="8306"/>
        </w:tabs>
      </w:pPr>
      <w:hyperlink w:anchor="_Toc21583" w:history="1">
        <w:r>
          <w:rPr>
            <w:rFonts w:ascii="仿宋" w:eastAsia="仿宋" w:hAnsi="仿宋" w:cs="仿宋" w:hint="eastAsia"/>
            <w:lang w:eastAsia="zh-CN"/>
          </w:rPr>
          <w:t>(二)、社会参与与沟通</w:t>
        </w:r>
        <w:r>
          <w:tab/>
        </w:r>
        <w:r>
          <w:fldChar w:fldCharType="begin"/>
        </w:r>
        <w:r>
          <w:instrText xml:space="preserve"> PAGEREF _Toc21583 \h </w:instrText>
        </w:r>
        <w:r>
          <w:fldChar w:fldCharType="separate"/>
        </w:r>
        <w:r>
          <w:t>36</w:t>
        </w:r>
        <w:r>
          <w:fldChar w:fldCharType="end"/>
        </w:r>
      </w:hyperlink>
    </w:p>
    <w:p>
      <w:pPr>
        <w:pStyle w:val="TOC1"/>
        <w:tabs>
          <w:tab w:val="right" w:leader="dot" w:pos="8306"/>
        </w:tabs>
      </w:pPr>
      <w:hyperlink w:anchor="_Toc23133" w:history="1">
        <w:r>
          <w:rPr>
            <w:rFonts w:ascii="仿宋" w:eastAsia="仿宋" w:hAnsi="仿宋" w:cs="仿宋" w:hint="eastAsia"/>
            <w:lang w:eastAsia="zh-CN"/>
          </w:rPr>
          <w:t>十一、动漫周边项目人力资源培养与发展</w:t>
        </w:r>
        <w:r>
          <w:tab/>
        </w:r>
        <w:r>
          <w:fldChar w:fldCharType="begin"/>
        </w:r>
        <w:r>
          <w:instrText xml:space="preserve"> PAGEREF _Toc23133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95" w:history="1">
        <w:r>
          <w:rPr>
            <w:rFonts w:ascii="仿宋" w:eastAsia="仿宋" w:hAnsi="仿宋" w:cs="仿宋" w:hint="eastAsia"/>
            <w:lang w:eastAsia="zh-CN"/>
          </w:rPr>
          <w:t>(一)、人才需求与规划</w:t>
        </w:r>
        <w:r>
          <w:tab/>
        </w:r>
        <w:r>
          <w:fldChar w:fldCharType="begin"/>
        </w:r>
        <w:r>
          <w:instrText xml:space="preserve"> PAGEREF _Toc10695 \h </w:instrText>
        </w:r>
        <w:r>
          <w:fldChar w:fldCharType="separate"/>
        </w:r>
        <w:r>
          <w:t>37</w:t>
        </w:r>
        <w:r>
          <w:fldChar w:fldCharType="end"/>
        </w:r>
      </w:hyperlink>
    </w:p>
    <w:p>
      <w:pPr>
        <w:pStyle w:val="TOC2"/>
        <w:tabs>
          <w:tab w:val="right" w:leader="dot" w:pos="8306"/>
        </w:tabs>
      </w:pPr>
      <w:hyperlink w:anchor="_Toc16954" w:history="1">
        <w:r>
          <w:rPr>
            <w:rFonts w:ascii="仿宋" w:eastAsia="仿宋" w:hAnsi="仿宋" w:cs="仿宋" w:hint="eastAsia"/>
            <w:lang w:eastAsia="zh-CN"/>
          </w:rPr>
          <w:t>(二)、培训与发展计划</w:t>
        </w:r>
        <w:r>
          <w:tab/>
        </w:r>
        <w:r>
          <w:fldChar w:fldCharType="begin"/>
        </w:r>
        <w:r>
          <w:instrText xml:space="preserve"> PAGEREF _Toc16954 \h </w:instrText>
        </w:r>
        <w:r>
          <w:fldChar w:fldCharType="separate"/>
        </w:r>
        <w:r>
          <w:t>37</w:t>
        </w:r>
        <w:r>
          <w:fldChar w:fldCharType="end"/>
        </w:r>
      </w:hyperlink>
    </w:p>
    <w:p>
      <w:pPr>
        <w:pStyle w:val="TOC1"/>
        <w:tabs>
          <w:tab w:val="right" w:leader="dot" w:pos="8306"/>
        </w:tabs>
      </w:pPr>
      <w:hyperlink w:anchor="_Toc8822" w:history="1">
        <w:r>
          <w:rPr>
            <w:rFonts w:ascii="仿宋" w:eastAsia="仿宋" w:hAnsi="仿宋" w:cs="仿宋" w:hint="eastAsia"/>
            <w:lang w:eastAsia="zh-CN"/>
          </w:rPr>
          <w:t>十二、动漫周边项目经营效益</w:t>
        </w:r>
        <w:r>
          <w:tab/>
        </w:r>
        <w:r>
          <w:fldChar w:fldCharType="begin"/>
        </w:r>
        <w:r>
          <w:instrText xml:space="preserve"> PAGEREF _Toc8822 \h </w:instrText>
        </w:r>
        <w:r>
          <w:fldChar w:fldCharType="separate"/>
        </w:r>
        <w:r>
          <w:t>38</w:t>
        </w:r>
        <w:r>
          <w:fldChar w:fldCharType="end"/>
        </w:r>
      </w:hyperlink>
    </w:p>
    <w:p>
      <w:pPr>
        <w:pStyle w:val="TOC2"/>
        <w:tabs>
          <w:tab w:val="right" w:leader="dot" w:pos="8306"/>
        </w:tabs>
      </w:pPr>
      <w:hyperlink w:anchor="_Toc3060" w:history="1">
        <w:r>
          <w:rPr>
            <w:rFonts w:ascii="仿宋" w:eastAsia="仿宋" w:hAnsi="仿宋" w:cs="仿宋" w:hint="eastAsia"/>
            <w:lang w:eastAsia="zh-CN"/>
          </w:rPr>
          <w:t>(一)、经济评价财务测算</w:t>
        </w:r>
        <w:r>
          <w:tab/>
        </w:r>
        <w:r>
          <w:fldChar w:fldCharType="begin"/>
        </w:r>
        <w:r>
          <w:instrText xml:space="preserve"> PAGEREF _Toc3060 \h </w:instrText>
        </w:r>
        <w:r>
          <w:fldChar w:fldCharType="separate"/>
        </w:r>
        <w:r>
          <w:t>38</w:t>
        </w:r>
        <w:r>
          <w:fldChar w:fldCharType="end"/>
        </w:r>
      </w:hyperlink>
    </w:p>
    <w:p>
      <w:pPr>
        <w:pStyle w:val="TOC2"/>
        <w:tabs>
          <w:tab w:val="right" w:leader="dot" w:pos="8306"/>
        </w:tabs>
      </w:pPr>
      <w:hyperlink w:anchor="_Toc23576" w:history="1">
        <w:r>
          <w:rPr>
            <w:rFonts w:ascii="仿宋" w:eastAsia="仿宋" w:hAnsi="仿宋" w:cs="仿宋" w:hint="eastAsia"/>
            <w:lang w:eastAsia="zh-CN"/>
          </w:rPr>
          <w:t>(二)、动漫周边项目盈利能力分析</w:t>
        </w:r>
        <w:r>
          <w:tab/>
        </w:r>
        <w:r>
          <w:fldChar w:fldCharType="begin"/>
        </w:r>
        <w:r>
          <w:instrText xml:space="preserve"> PAGEREF _Toc23576 \h </w:instrText>
        </w:r>
        <w:r>
          <w:fldChar w:fldCharType="separate"/>
        </w:r>
        <w:r>
          <w:t>39</w:t>
        </w:r>
        <w:r>
          <w:fldChar w:fldCharType="end"/>
        </w:r>
      </w:hyperlink>
    </w:p>
    <w:p>
      <w:pPr>
        <w:pStyle w:val="TOC1"/>
        <w:tabs>
          <w:tab w:val="right" w:leader="dot" w:pos="8306"/>
        </w:tabs>
      </w:pPr>
      <w:hyperlink w:anchor="_Toc1092" w:history="1">
        <w:r>
          <w:rPr>
            <w:rFonts w:ascii="仿宋" w:eastAsia="仿宋" w:hAnsi="仿宋" w:cs="仿宋" w:hint="eastAsia"/>
            <w:lang w:eastAsia="zh-CN"/>
          </w:rPr>
          <w:t>十三、动漫周边项目实施保障措施</w:t>
        </w:r>
        <w:r>
          <w:tab/>
        </w:r>
        <w:r>
          <w:fldChar w:fldCharType="begin"/>
        </w:r>
        <w:r>
          <w:instrText xml:space="preserve"> PAGEREF _Toc1092 \h </w:instrText>
        </w:r>
        <w:r>
          <w:fldChar w:fldCharType="separate"/>
        </w:r>
        <w:r>
          <w:t>40</w:t>
        </w:r>
        <w:r>
          <w:fldChar w:fldCharType="end"/>
        </w:r>
      </w:hyperlink>
    </w:p>
    <w:p>
      <w:pPr>
        <w:pStyle w:val="TOC2"/>
        <w:tabs>
          <w:tab w:val="right" w:leader="dot" w:pos="8306"/>
        </w:tabs>
      </w:pPr>
      <w:hyperlink w:anchor="_Toc18085" w:history="1">
        <w:r>
          <w:rPr>
            <w:rFonts w:ascii="仿宋" w:eastAsia="仿宋" w:hAnsi="仿宋" w:cs="仿宋" w:hint="eastAsia"/>
            <w:lang w:eastAsia="zh-CN"/>
          </w:rPr>
          <w:t>(一)、动漫周边项目实施保障机制</w:t>
        </w:r>
        <w:r>
          <w:tab/>
        </w:r>
        <w:r>
          <w:fldChar w:fldCharType="begin"/>
        </w:r>
        <w:r>
          <w:instrText xml:space="preserve"> PAGEREF _Toc18085 \h </w:instrText>
        </w:r>
        <w:r>
          <w:fldChar w:fldCharType="separate"/>
        </w:r>
        <w:r>
          <w:t>40</w:t>
        </w:r>
        <w:r>
          <w:fldChar w:fldCharType="end"/>
        </w:r>
      </w:hyperlink>
    </w:p>
    <w:p>
      <w:pPr>
        <w:pStyle w:val="TOC2"/>
        <w:tabs>
          <w:tab w:val="right" w:leader="dot" w:pos="8306"/>
        </w:tabs>
      </w:pPr>
      <w:hyperlink w:anchor="_Toc199" w:history="1">
        <w:r>
          <w:rPr>
            <w:rFonts w:ascii="仿宋" w:eastAsia="仿宋" w:hAnsi="仿宋" w:cs="仿宋" w:hint="eastAsia"/>
            <w:lang w:eastAsia="zh-CN"/>
          </w:rPr>
          <w:t>(二)、动漫周边项目法律合规要求</w:t>
        </w:r>
        <w:r>
          <w:tab/>
        </w:r>
        <w:r>
          <w:fldChar w:fldCharType="begin"/>
        </w:r>
        <w:r>
          <w:instrText xml:space="preserve"> PAGEREF _Toc199 \h </w:instrText>
        </w:r>
        <w:r>
          <w:fldChar w:fldCharType="separate"/>
        </w:r>
        <w:r>
          <w:t>43</w:t>
        </w:r>
        <w:r>
          <w:fldChar w:fldCharType="end"/>
        </w:r>
      </w:hyperlink>
    </w:p>
    <w:p>
      <w:pPr>
        <w:pStyle w:val="TOC2"/>
        <w:tabs>
          <w:tab w:val="right" w:leader="dot" w:pos="8306"/>
        </w:tabs>
      </w:pPr>
      <w:hyperlink w:anchor="_Toc30915" w:history="1">
        <w:r>
          <w:rPr>
            <w:rFonts w:ascii="仿宋" w:eastAsia="仿宋" w:hAnsi="仿宋" w:cs="仿宋" w:hint="eastAsia"/>
            <w:lang w:eastAsia="zh-CN"/>
          </w:rPr>
          <w:t>(三)、动漫周边项目合同管理与法律事务</w:t>
        </w:r>
        <w:r>
          <w:tab/>
        </w:r>
        <w:r>
          <w:fldChar w:fldCharType="begin"/>
        </w:r>
        <w:r>
          <w:instrText xml:space="preserve"> PAGEREF _Toc30915 \h </w:instrText>
        </w:r>
        <w:r>
          <w:fldChar w:fldCharType="separate"/>
        </w:r>
        <w:r>
          <w:t>47</w:t>
        </w:r>
        <w:r>
          <w:fldChar w:fldCharType="end"/>
        </w:r>
      </w:hyperlink>
    </w:p>
    <w:p>
      <w:pPr>
        <w:pStyle w:val="TOC2"/>
        <w:tabs>
          <w:tab w:val="right" w:leader="dot" w:pos="8306"/>
        </w:tabs>
      </w:pPr>
      <w:hyperlink w:anchor="_Toc24344" w:history="1">
        <w:r>
          <w:rPr>
            <w:rFonts w:ascii="仿宋" w:eastAsia="仿宋" w:hAnsi="仿宋" w:cs="仿宋" w:hint="eastAsia"/>
            <w:lang w:eastAsia="zh-CN"/>
          </w:rPr>
          <w:t>(四)、动漫周边项目知识产权保护策略</w:t>
        </w:r>
        <w:r>
          <w:tab/>
        </w:r>
        <w:r>
          <w:fldChar w:fldCharType="begin"/>
        </w:r>
        <w:r>
          <w:instrText xml:space="preserve"> PAGEREF _Toc24344 \h </w:instrText>
        </w:r>
        <w:r>
          <w:fldChar w:fldCharType="separate"/>
        </w:r>
        <w:r>
          <w:t>54</w:t>
        </w:r>
        <w:r>
          <w:fldChar w:fldCharType="end"/>
        </w:r>
      </w:hyperlink>
    </w:p>
    <w:p>
      <w:pPr>
        <w:pStyle w:val="TOC1"/>
        <w:tabs>
          <w:tab w:val="right" w:leader="dot" w:pos="8306"/>
        </w:tabs>
      </w:pPr>
      <w:hyperlink w:anchor="_Toc15593" w:history="1">
        <w:r>
          <w:rPr>
            <w:rFonts w:ascii="仿宋" w:eastAsia="仿宋" w:hAnsi="仿宋" w:cs="仿宋" w:hint="eastAsia"/>
            <w:lang w:eastAsia="zh-CN"/>
          </w:rPr>
          <w:t>十四、动漫周边项目工程方案分析</w:t>
        </w:r>
        <w:r>
          <w:tab/>
        </w:r>
        <w:r>
          <w:fldChar w:fldCharType="begin"/>
        </w:r>
        <w:r>
          <w:instrText xml:space="preserve"> PAGEREF _Toc15593 \h </w:instrText>
        </w:r>
        <w:r>
          <w:fldChar w:fldCharType="separate"/>
        </w:r>
        <w:r>
          <w:t>56</w:t>
        </w:r>
        <w:r>
          <w:fldChar w:fldCharType="end"/>
        </w:r>
      </w:hyperlink>
    </w:p>
    <w:p>
      <w:pPr>
        <w:pStyle w:val="TOC2"/>
        <w:tabs>
          <w:tab w:val="right" w:leader="dot" w:pos="8306"/>
        </w:tabs>
      </w:pPr>
      <w:hyperlink w:anchor="_Toc15867" w:history="1">
        <w:r>
          <w:rPr>
            <w:rFonts w:ascii="仿宋" w:eastAsia="仿宋" w:hAnsi="仿宋" w:cs="仿宋" w:hint="eastAsia"/>
            <w:lang w:eastAsia="zh-CN"/>
          </w:rPr>
          <w:t>(一)、建筑工程设计原则</w:t>
        </w:r>
        <w:r>
          <w:tab/>
        </w:r>
        <w:r>
          <w:fldChar w:fldCharType="begin"/>
        </w:r>
        <w:r>
          <w:instrText xml:space="preserve"> PAGEREF _Toc15867 \h </w:instrText>
        </w:r>
        <w:r>
          <w:fldChar w:fldCharType="separate"/>
        </w:r>
        <w:r>
          <w:t>56</w:t>
        </w:r>
        <w:r>
          <w:fldChar w:fldCharType="end"/>
        </w:r>
      </w:hyperlink>
    </w:p>
    <w:p>
      <w:pPr>
        <w:pStyle w:val="TOC2"/>
        <w:tabs>
          <w:tab w:val="right" w:leader="dot" w:pos="8306"/>
        </w:tabs>
      </w:pPr>
      <w:hyperlink w:anchor="_Toc17511" w:history="1">
        <w:r>
          <w:rPr>
            <w:rFonts w:ascii="仿宋" w:eastAsia="仿宋" w:hAnsi="仿宋" w:cs="仿宋" w:hint="eastAsia"/>
            <w:lang w:eastAsia="zh-CN"/>
          </w:rPr>
          <w:t>(二)、土建工程建设指标</w:t>
        </w:r>
        <w:r>
          <w:tab/>
        </w:r>
        <w:r>
          <w:fldChar w:fldCharType="begin"/>
        </w:r>
        <w:r>
          <w:instrText xml:space="preserve"> PAGEREF _Toc17511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85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29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动漫周边项目的主要产品是XXXX，预计年产值为XXX万元。这一产品在市场中占据着重要的地位，其广泛的应用范围使得该动漫周边项目的市场前景非常广阔。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动漫周边项目的xxx产品作为重要的原材料之一，将在多个领域发挥关键作用。其在建筑、交通、能源等方面的广泛应用将为整个产业链提供强大的支持，形成产业协同效应。动漫周边项目的年产值XXX万XXX万XXX万万元不仅反映了其在市场上的巨大潜力，更预示着它对国民经济的积极贡献。这种关联度高、涉及面广的产业关系，使得该动漫周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53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周边项目总征地面积为XXXX平方米，相当于约XX.XX亩，其中净用地面积为XXXX平方米，红线范围内相当于约XX.XX亩。这一用地规模充分考虑了动漫周边项目的建设需求，保障了动漫周边项目在合适的空间内得以充分发展。动漫周边项目规划的总建筑面积为XXXX平方米，其中主体工程建设占XXXX平方米，计容建筑面积达XXXX平方米。预计建筑工程的投资将达到XXXX万元，为动漫周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周边项目计划购置的设备共计XXXX台（套），设备购置费用为XXXX万元。这一设备购置计划充分考虑到动漫周边项目的生产需求和技术要求，确保了动漫周边项目在生产运营中具备先进的技术装备和高效的生产能力。设备的合理配置将为动漫周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漫周边项目计划总投资为XXXX万元，预计年实现营业收入为XXXX万元。这一产能规模的设定旨在确保动漫周边项目能够在投资与回报之间取得平衡，实现长期可持续的发展。动漫周边项目的总投资充分考虑到各个方面的需求，包括用地建设、设备购置等多个环节，以确保动漫周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562"/>
      <w:r>
        <w:rPr>
          <w:rFonts w:ascii="仿宋" w:eastAsia="仿宋" w:hAnsi="仿宋" w:cs="仿宋" w:hint="eastAsia"/>
          <w:sz w:val="28"/>
          <w:lang w:eastAsia="zh-CN"/>
        </w:rPr>
        <w:t>二、动漫周边项目选址可行性分析</w:t>
      </w:r>
      <w:bookmarkEnd w:id="5"/>
    </w:p>
    <w:p>
      <w:pPr>
        <w:pStyle w:val="Heading2"/>
        <w:rPr>
          <w:rFonts w:ascii="仿宋" w:eastAsia="仿宋" w:hAnsi="仿宋" w:cs="仿宋" w:hint="eastAsia"/>
          <w:lang w:eastAsia="zh-CN"/>
        </w:rPr>
      </w:pPr>
      <w:bookmarkStart w:id="6" w:name="_Toc23893"/>
      <w:r>
        <w:rPr>
          <w:rFonts w:ascii="仿宋" w:eastAsia="仿宋" w:hAnsi="仿宋" w:cs="仿宋" w:hint="eastAsia"/>
          <w:lang w:eastAsia="zh-CN"/>
        </w:rPr>
        <w:t>(一)、动漫周边项目选址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该动漫周边项目选址位于XX省XX市XX区XXX街道</w:t>
      </w:r>
    </w:p>
    <w:p>
      <w:pPr>
        <w:pStyle w:val="Heading2"/>
        <w:ind w:firstLine="560" w:firstLineChars="200"/>
        <w:rPr>
          <w:rFonts w:ascii="仿宋" w:eastAsia="仿宋" w:hAnsi="仿宋" w:cs="仿宋" w:hint="eastAsia"/>
          <w:sz w:val="28"/>
          <w:lang w:eastAsia="zh-CN"/>
        </w:rPr>
      </w:pPr>
      <w:bookmarkStart w:id="7" w:name="_Toc2093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动漫周边项目的征地面积将根据动漫周边项目的实际规模和需求进行精确规划。具体面积XXX平方米，旨在确保动漫周边项目不仅能够满足当前的发展需求，还能够预留空间以适应未来的扩展。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净用地面积是在征地面积基础上去除不可利用面积后的实际可开发用地。具体面积XXX平方米，考虑到环保、交通、安全等多方面因素，以确保动漫周边项目在整体利用效率上达到最优。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动漫周边项目计划建设的建筑总规模具体面积XXX平方米。这一规模的确定综合考虑了动漫周边项目的性质、规模，以及城市规划的相关要求，确保建筑布局与周边环境协调一致。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绿地率是动漫周边项目用地中被规划为绿地的比例。具体面积XXX平方米，旨在通过合理规划绿地，改善动漫周边项目周边环境，提升居民生活质量，并符合城市整体绿化规划。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容积率是用地上可以建设的建筑总体积与用地面积之比。具体面积XXX，通过合理的容积率规划，确保动漫周边项目建筑规模与周边环境和谐共生。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确保动漫周边项目选址与当地城市规划相一致，具体面积XXX平方米。通过与城市规划部门深入沟通，确保动漫周边项目不仅符合城市的整体发展方向，还能够融入城市的发展布局，为城市的长远发展贡献力量。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动漫周边项目选址符合当地产业政策，具体面积XXX平方米。这包括动漫周边项目对当地经济的促进作用，以及对相关产业的带动效应，确保动漫周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用地总体要求必须符合环保和可持续发展的原则，具体面积XXX平方米。通过采用绿色建筑设计、节能减排等措施，确保动漫周边项目在建设和运营过程中对环境的影响最小化，达到可持续发展的要求。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确保动漫周边项目选址具备必要的公共设施配套，具体面积XXX平方米。这包括交通便利性、教育、医疗等基础设施，以提高居民生活品质，使得动漫周边项目选址更具吸引力。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考虑用地总体要求对当地社会稳定性的影响，具体面积XXX平方米。通过深入了解当地社区反馈，确保动漫周边项目的选址和建设过程对当地社会和谐稳定产生积极作用。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动漫周边项目选址不仅符合法规和规划，还在实际操作中具有可行性。这一全面规划将为动漫周边项目的成功实施提供坚实的基础，确保动漫周边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711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漫周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动漫周边项目的设备规划和空间设计中，我们将采取灵活设备布局的措施。设备布局将根据实际需求进行灵活设计，避免不必要的浪费。通过合理规划设备摆放位置，我们将提高设备的利用率，减少设备间距，以确保动漫周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动漫周边项目内部引入共享设施的概念，例如共享会议室、办公区等。通过这种方式，我们可以减少对资源的重复建设，提高资源共享效率，从而减小动漫周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995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动漫周边项目的总图布置中，我们将不同功能区域进行明确的规划，以最大程度满足动漫周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210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动漫周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动漫周边项目对环境的影响是综合评价的重要因素之一。我们将详细考虑选址周边的自然环境、生态保护区、水源地等情况，确保动漫周边项目的建设和运营对环境影响最小化，并符合当地的环保法规标准。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对选址的评价还需充分考虑当地政府的产业政策和法规。我们将详细了解动漫周边项目所在地的相关政策，确保动漫周边项目的规划和运营与当地法规相符，降低不必要的法律风险。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考虑到社会稳定性对企业运营的重要性，我们将评估选址地区的社会安全情况、劳工关系、社区反馈等方面，以确保动漫周边项目的建设和运营不会受到社会稳定性的负面影响。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最后，我们将综合考虑用地成本，包括土地购置费用、土地开发成本等。通过对用地成本的详细评估，我们能够做出更为精确的经济效益分析，为动漫周边项目的投资决策提供有力支持。</w:t>
      </w:r>
    </w:p>
    <w:p>
      <w:pPr>
        <w:pStyle w:val="Heading1"/>
        <w:ind w:firstLine="560" w:firstLineChars="200"/>
        <w:rPr>
          <w:rFonts w:ascii="仿宋" w:eastAsia="仿宋" w:hAnsi="仿宋" w:cs="仿宋" w:hint="eastAsia"/>
          <w:sz w:val="28"/>
          <w:lang w:eastAsia="zh-CN"/>
        </w:rPr>
      </w:pPr>
      <w:bookmarkStart w:id="11" w:name="_Toc1496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802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动漫周边项目的技术管理特点体现在其创新导向。通过引入最先进的技术趋势和解决方案，动漫周边项目致力于提升科技含量、提高质量和效率水平。这意味着我们将采用最新的工具和方法，确保动漫周边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整合性策略是动漫周边项目技术管理的显著特征。通过整合不同领域的技术资源，我们实现了跨学科的协同工作。这有助于优化技术架构，提高整体效能。此外，整合性策略还促进了不同技术团队之间的紧密沟通和高效合作，确保动漫周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动漫周边项目所采用的技术。通过不断优化技术方案，动漫周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动漫周边项目团队将在动漫周边项目初期识别可能的技术风险，并采取相应的预防和应对措施。通过建立健全的风险评估机制，动漫周边项目能够在实施过程中及时发现并解决潜在的技术问题，保障动漫周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动漫周边项目中，技术将成为动漫周边项目成功的有力支持。这一深度剖析揭示了技术管理在动漫周边项目实施中的关键作用，为动漫周边项目的技术基础奠定了坚实的基础。</w:t>
      </w:r>
    </w:p>
    <w:p>
      <w:pPr>
        <w:pStyle w:val="Heading2"/>
        <w:ind w:firstLine="560" w:firstLineChars="200"/>
        <w:rPr>
          <w:rFonts w:ascii="仿宋" w:eastAsia="仿宋" w:hAnsi="仿宋" w:cs="仿宋" w:hint="eastAsia"/>
          <w:sz w:val="28"/>
          <w:lang w:eastAsia="zh-CN"/>
        </w:rPr>
      </w:pPr>
      <w:bookmarkStart w:id="13" w:name="_Toc18498"/>
      <w:r>
        <w:rPr>
          <w:rFonts w:ascii="仿宋" w:eastAsia="仿宋" w:hAnsi="仿宋" w:cs="仿宋" w:hint="eastAsia"/>
          <w:sz w:val="28"/>
          <w:lang w:eastAsia="zh-CN"/>
        </w:rPr>
        <w:t>(二)、动漫周边项目工艺技术设计方案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动漫周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动漫周边项目将严格按照相关行业规范要求进行组织。通过有效控制产品质量，动漫周边项目将致力于为顾客提供优质的动漫周边项目产品和良好的服务。这体现了动漫周边项目对于生产活动合规性和质量标准的高度重视，为动漫周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动漫周边项目注重生态效益和清洁生产原则。动漫周边项目建设将紧密结合地方特色经济发展，与社会经济发展规划和区域环境保护规划方案相协调一致。通过与当地区域自然生态系统的结合，动漫周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动漫周边项目产品具有多样化的客户需求和个性化的特点。因此，动漫周边项目产品规格品种多样，且单批生产数量较小。为满足这一特点，动漫周边项目承办单位将建设先进的柔性制造生产线。通过广泛应用柔性制造技术，动漫周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动漫周边项目采用的技术具有较高的技术含量和自动化水平，处于国内先进水平。这一技术选用不仅体现了对生产效率、质量和环境友好性的高标准要求，同时为动漫周边项目的可持续发展奠定了坚实的基础。</w:t>
      </w:r>
    </w:p>
    <w:p>
      <w:pPr>
        <w:pStyle w:val="Heading2"/>
        <w:ind w:firstLine="560" w:firstLineChars="200"/>
        <w:rPr>
          <w:rFonts w:ascii="仿宋" w:eastAsia="仿宋" w:hAnsi="仿宋" w:cs="仿宋" w:hint="eastAsia"/>
          <w:sz w:val="28"/>
          <w:lang w:eastAsia="zh-CN"/>
        </w:rPr>
      </w:pPr>
      <w:bookmarkStart w:id="14" w:name="_Toc1757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为确保动漫周边项目的高效生产和技术实施，我们制定了一套精心设计的设备选型方案，以满足动漫周边项目生产、质量和环保的要求。该方案的主要特点如下：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动漫周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针对动漫周边项目产品的多样性和小批量生产的特点，我们将建设柔性制造生产线。通过在设备选型中考虑柔性制造技术，可以灵活应对不同产品规格和生产需求，实现生产线的高度灵活性和适应性。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2341"/>
      <w:r>
        <w:rPr>
          <w:rFonts w:ascii="仿宋" w:eastAsia="仿宋" w:hAnsi="仿宋" w:cs="仿宋" w:hint="eastAsia"/>
          <w:sz w:val="28"/>
          <w:lang w:eastAsia="zh-CN"/>
        </w:rPr>
        <w:t>四、动漫周边项目危机管理</w:t>
      </w:r>
      <w:bookmarkEnd w:id="15"/>
    </w:p>
    <w:p>
      <w:pPr>
        <w:pStyle w:val="Heading2"/>
        <w:rPr>
          <w:rFonts w:ascii="仿宋" w:eastAsia="仿宋" w:hAnsi="仿宋" w:cs="仿宋" w:hint="eastAsia"/>
          <w:lang w:eastAsia="zh-CN"/>
        </w:rPr>
      </w:pPr>
      <w:bookmarkStart w:id="16" w:name="_Toc2253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动漫周边项目危机管理中，危机预警与识别是确保动漫周边项目稳健运行的核心步骤。通过建立全面的监测机制，动漫周边项目团队旨在及时发现和理解潜在的风险和危机因素，以便采取及时的预防和应对措施，确保动漫周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首先，通过深入的风险评估，动漫周边项目团队全面分析了整个动漫周边项目和各个阶段可能存在的威胁。这包括准确评估每个潜在风险的发生概率和可能影响的程度，为后续危机预警提供了有力支持。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动漫周边项目团队着重于明确定义动漫周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动漫周边项目进展的持续监控，团队能够及时发现潜在问题并作出迅速反应。动漫周边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在这一阶段，团队的专业素养和反应速度将发挥至关重要的作用，以确保潜在危机能够在初期得到有效的处理，最大程度地减轻负面影响。通过危机预警与识别，动漫周边项目得以更有序、可控地推进。</w:t>
      </w:r>
    </w:p>
    <w:p>
      <w:pPr>
        <w:pStyle w:val="Heading2"/>
        <w:ind w:firstLine="560" w:firstLineChars="200"/>
        <w:rPr>
          <w:rFonts w:ascii="仿宋" w:eastAsia="仿宋" w:hAnsi="仿宋" w:cs="仿宋" w:hint="eastAsia"/>
          <w:sz w:val="28"/>
          <w:lang w:eastAsia="zh-CN"/>
        </w:rPr>
      </w:pPr>
      <w:bookmarkStart w:id="17" w:name="_Toc1511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在危机发生时，动漫周边项目团队立即行动，成立了应急小组。该小组的任务是迅速制定并实施紧急应对措施，以最小化潜在损失。以下是采取的主要措施：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暂停动漫周边项目进度：为遏制危机蔓延，动漫周边项目暂时停止进行，以便全面评估当前状况。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资源重新分配：重新评估动漫周边项目资源的分配，确保最大限度地减小损失。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实时沟通：与关键利益相关者建立实时沟通机制，向他们传递动漫周边项目危机的实际状况，保障动漫周边项目核心利益。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在紧急应对的同时，动漫周边项目团队强调了团队协作和有效沟通的重要性。以下是团队协作的关键举措：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信息共享机制：建立了信息共享平台，确保团队成员能够及时获取动漫周边项目危机的实时信息。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领导者沟通：动漫周边项目领导者通过定期会议和即时沟通工具，指导团队应对危机，保持团队稳定运行。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随着危机得到初步控制，动漫周边项目团队转向制定恢复计划，以确保动漫周边项目能够从中迅速恢复。主要恢复计划包括：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修复受损的进度计划：重新评估动漫周边项目进度，制定修复计划，确保动漫周边项目尽快回归正常进程。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重新调整资源分配：优化资源分配，确保动漫周边项目在有限资源下高效运转。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风险管理机制加强：对动漫周边项目风险进行全面评估，制定更强化的风险管理策略，以预防未来可能的危机。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9903"/>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184"/>
      <w:r>
        <w:rPr>
          <w:rFonts w:ascii="仿宋" w:eastAsia="仿宋" w:hAnsi="仿宋" w:cs="仿宋" w:hint="eastAsia"/>
          <w:lang w:eastAsia="zh-CN"/>
        </w:rPr>
        <w:t>(一)、动漫周边行业分析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动漫周边行业一直以来都是市场的关注焦点。行业内的发展趋势、竞争态势以及潜在机会都对动漫周边项目的推进产生深远的影响。通过深入研究行业的整体概貌，我们将更好地理解行业的核心特征，为动漫周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https://d.book118.com/336153023235010033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动漫周边项目规划设计纲要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动漫周边项目规划设计纲要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动漫周边项目规划设计纲要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动漫周边项目规划设计纲要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动漫周边项目规划设计纲要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动漫周边项目规划设计纲要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动漫周边项目规划设计纲要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动漫周边项目规划设计纲要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动漫周边项目规划设计纲要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动漫周边项目规划设计纲要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动漫周边项目规划设计纲要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动漫周边项目规划设计纲要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动漫周边项目规划设计纲要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动漫周边项目规划设计纲要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动漫周边项目规划设计纲要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动漫周边项目规划设计纲要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动漫周边项目规划设计纲要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6E0E79"/>
    <w:rsid w:val="126E0E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15302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2024-01-11T03:47:00Z</dcterms:created>
  <dcterms:modified xsi:type="dcterms:W3CDTF">2024-01-11T03:47:46Z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425064B4C84D4C8685E01232661C8E8A_11</vt:lpwstr>
  </property>
  <property fmtid="{D5CDD505-2E9C-101B-9397-08002B2CF9AE}" pid="3" name="KSOProductBuildVer">
    <vt:lpwstr>2052-12.1.0.16120</vt:lpwstr>
  </property>
</Properties>
</file>