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非有毒有害固体废弃物处理设备行业相关公司筹备报告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(七)、非有毒有害固体废弃物处理设备项目建设必要性分析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4" w:history="1">
        <w:r>
          <w:rPr>
            <w:rFonts w:ascii="仿宋" w:eastAsia="仿宋" w:hAnsi="仿宋" w:cs="仿宋" w:hint="eastAsia"/>
            <w:lang w:eastAsia="zh-CN"/>
          </w:rPr>
          <w:t>三、非有毒有害固体废弃物处理设备项目概况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(二)、非有毒有害固体废弃物处理设备项目提出的理由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(三)、非有毒有害固体废弃物处理设备项目选址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3" w:history="1">
        <w:r>
          <w:rPr>
            <w:rFonts w:ascii="仿宋" w:eastAsia="仿宋" w:hAnsi="仿宋" w:cs="仿宋" w:hint="eastAsia"/>
            <w:lang w:eastAsia="zh-CN"/>
          </w:rPr>
          <w:t>(六)、非有毒有害固体废弃物处理设备项目投资</w:t>
        </w:r>
        <w:r>
          <w:tab/>
        </w:r>
        <w:r>
          <w:fldChar w:fldCharType="begin"/>
        </w:r>
        <w:r>
          <w:instrText xml:space="preserve"> PAGEREF _Toc30023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(七)、非有毒有害固体废弃物处理设备项目进度规划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9" w:history="1">
        <w:r>
          <w:rPr>
            <w:rFonts w:ascii="仿宋" w:eastAsia="仿宋" w:hAnsi="仿宋" w:cs="仿宋" w:hint="eastAsia"/>
            <w:lang w:eastAsia="zh-CN"/>
          </w:rPr>
          <w:t>(九)、非有毒有害固体废弃物处理设备项目综合评价</w:t>
        </w:r>
        <w:r>
          <w:tab/>
        </w:r>
        <w:r>
          <w:fldChar w:fldCharType="begin"/>
        </w:r>
        <w:r>
          <w:instrText xml:space="preserve"> PAGEREF _Toc10489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(五)、非有毒有害固体废弃物处理设备项目总投资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七、非有毒有害固体废弃物处理设备项目风险分析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(一)、非有毒有害固体废弃物处理设备项目风险分析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(二)、非有毒有害固体废弃物处理设备项目风险对策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(一)、非有毒有害固体废弃物处理设备项目背景分析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(二)、非有毒有害固体废弃物处理设备项目建设必要性分析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十、非有毒有害固体废弃物处理设备项目经济效益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(三)、非有毒有害固体废弃物处理设备项目盈利能力分析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_Toc5074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十一、非有毒有害固体废弃物处理设备项目总结分析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_Toc14482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(一)、社会责任非有毒有害固体废弃物处理设备项目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(二)、合作非有毒有害固体废弃物处理设备项目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1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2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https://d.book118.com/337013100063006032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非有毒有害固体废弃物处理设备行业相关公司筹备报告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非有毒有害固体废弃物处理设备行业相关公司筹备报告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非有毒有害固体废弃物处理设备行业相关公司筹备报告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非有毒有害固体废弃物处理设备行业相关公司筹备报告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非有毒有害固体废弃物处理设备行业相关公司筹备报告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7013100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2024-01-15T07:38:00Z</dcterms:created>
  <dcterms:modified xsi:type="dcterms:W3CDTF">2024-01-15T07:38:29Z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99E48A64F9A44BCFBDCE2838F9E38752_11</vt:lpwstr>
  </property>
  <property fmtid="{D5CDD505-2E9C-101B-9397-08002B2CF9AE}" pid="3" name="KSOProductBuildVer">
    <vt:lpwstr>2052-12.1.0.16120</vt:lpwstr>
  </property>
</Properties>
</file>