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465" cy="1584896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465" cy="1584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line="1977" w:lineRule="exact"/>
        <w:ind w:right="762"/>
      </w:pPr>
      <w:r>
        <w:t>（建筑工程管理</w:t>
      </w:r>
      <w:r>
        <w:rPr>
          <w:spacing w:val="-389"/>
        </w:rPr>
        <w:t>）</w:t>
      </w:r>
      <w:r>
        <w:t>抗震加固</w:t>
      </w:r>
    </w:p>
    <w:p>
      <w:pPr>
        <w:pStyle w:val="Title"/>
        <w:spacing w:before="295"/>
      </w:pPr>
      <w:r>
        <w:t>施工方案</w:t>
      </w:r>
    </w:p>
    <w:p>
      <w:pPr>
        <w:spacing w:after="0"/>
        <w:sectPr>
          <w:type w:val="continuous"/>
          <w:pgSz w:w="17860" w:h="25260"/>
          <w:pgMar w:top="2420" w:right="1860" w:bottom="280" w:left="1860" w:header="708" w:footer="708"/>
          <w:cols w:space="708"/>
        </w:sectPr>
      </w:pPr>
    </w:p>
    <w:p>
      <w:pPr>
        <w:spacing w:before="32"/>
        <w:ind w:left="786" w:right="0" w:firstLine="0"/>
        <w:jc w:val="left"/>
        <w:rPr>
          <w:rFonts w:ascii="华文中宋" w:eastAsia="华文中宋" w:hint="eastAsia"/>
          <w:sz w:val="42"/>
        </w:rPr>
      </w:pPr>
      <w:r>
        <w:rPr>
          <w:rFonts w:ascii="华文中宋" w:eastAsia="华文中宋" w:hint="eastAsia"/>
          <w:sz w:val="42"/>
        </w:rPr>
        <w:t>目录</w:t>
      </w:r>
    </w:p>
    <w:p>
      <w:pPr>
        <w:tabs>
          <w:tab w:val="left" w:pos="2050"/>
        </w:tabs>
        <w:spacing w:before="399" w:line="820" w:lineRule="atLeast"/>
        <w:ind w:left="786" w:right="10504" w:firstLine="0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739093</wp:posOffset>
            </wp:positionV>
            <wp:extent cx="16764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第一章</w:t>
        <w:tab/>
        <w:t>工程概况</w:t>
      </w:r>
      <w:r>
        <w:rPr>
          <w:spacing w:val="-3"/>
          <w:sz w:val="31"/>
        </w:rPr>
        <w:t xml:space="preserve"> </w:t>
      </w:r>
      <w:r>
        <w:rPr>
          <w:spacing w:val="-17"/>
          <w:position w:val="11"/>
          <w:sz w:val="42"/>
        </w:rPr>
        <w:t xml:space="preserve">2 </w:t>
      </w:r>
      <w:r>
        <w:rPr>
          <w:sz w:val="31"/>
        </w:rPr>
        <w:t>一、工程概况</w:t>
      </w:r>
      <w:r>
        <w:rPr>
          <w:spacing w:val="-21"/>
          <w:sz w:val="31"/>
        </w:rPr>
        <w:t xml:space="preserve"> </w:t>
      </w:r>
      <w:r>
        <w:rPr>
          <w:sz w:val="31"/>
        </w:rPr>
        <w:t>2</w:t>
      </w:r>
    </w:p>
    <w:p>
      <w:pPr>
        <w:tabs>
          <w:tab w:val="right" w:leader="dot" w:pos="11457"/>
        </w:tabs>
        <w:spacing w:before="1" w:line="570" w:lineRule="exact"/>
        <w:ind w:left="786" w:right="0" w:firstLine="0"/>
        <w:jc w:val="left"/>
        <w:rPr>
          <w:sz w:val="31"/>
        </w:rPr>
      </w:pPr>
      <w:r>
        <w:rPr>
          <w:sz w:val="31"/>
        </w:rPr>
        <w:t>第二章施工准备…</w:t>
        <w:tab/>
        <w:t>4</w:t>
      </w:r>
    </w:p>
    <w:p>
      <w:pPr>
        <w:spacing w:before="0" w:line="570" w:lineRule="exact"/>
        <w:ind w:left="786" w:right="0" w:firstLine="0"/>
        <w:jc w:val="left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321589</wp:posOffset>
            </wp:positionV>
            <wp:extent cx="12192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一、技术准备… 3</w:t>
      </w:r>
    </w:p>
    <w:p>
      <w:pPr>
        <w:spacing w:before="1"/>
        <w:ind w:left="786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318354</wp:posOffset>
            </wp:positionV>
            <wp:extent cx="12700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31"/>
        </w:rPr>
        <w:t xml:space="preserve">二、现场准备 </w:t>
      </w:r>
      <w:r>
        <w:rPr>
          <w:sz w:val="31"/>
        </w:rPr>
        <w:t>3</w:t>
      </w:r>
    </w:p>
    <w:p>
      <w:pPr>
        <w:tabs>
          <w:tab w:val="left" w:pos="2050"/>
        </w:tabs>
        <w:spacing w:before="70" w:line="820" w:lineRule="atLeast"/>
        <w:ind w:left="786" w:right="9875" w:firstLine="0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523320</wp:posOffset>
            </wp:positionV>
            <wp:extent cx="20701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1044020</wp:posOffset>
            </wp:positionV>
            <wp:extent cx="12700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第三章</w:t>
        <w:tab/>
        <w:t>施工总体部署</w:t>
      </w:r>
      <w:r>
        <w:rPr>
          <w:spacing w:val="4"/>
          <w:sz w:val="31"/>
        </w:rPr>
        <w:t xml:space="preserve"> </w:t>
      </w:r>
      <w:r>
        <w:rPr>
          <w:spacing w:val="-18"/>
          <w:position w:val="11"/>
          <w:sz w:val="42"/>
        </w:rPr>
        <w:t xml:space="preserve">4 </w:t>
      </w:r>
      <w:r>
        <w:rPr>
          <w:sz w:val="31"/>
        </w:rPr>
        <w:t>一、宏观部署</w:t>
      </w:r>
      <w:r>
        <w:rPr>
          <w:spacing w:val="-22"/>
          <w:sz w:val="31"/>
        </w:rPr>
        <w:t xml:space="preserve"> </w:t>
      </w:r>
      <w:r>
        <w:rPr>
          <w:sz w:val="31"/>
        </w:rPr>
        <w:t>4</w:t>
      </w:r>
    </w:p>
    <w:p>
      <w:pPr>
        <w:spacing w:before="0"/>
        <w:ind w:left="786" w:right="9935" w:firstLine="0"/>
        <w:jc w:val="left"/>
        <w:rPr>
          <w:sz w:val="3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322799</wp:posOffset>
            </wp:positionV>
            <wp:extent cx="20701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681574</wp:posOffset>
            </wp:positionV>
            <wp:extent cx="1270000" cy="381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31"/>
        </w:rPr>
        <w:t xml:space="preserve">二、施工组织管理措施 </w:t>
      </w:r>
      <w:r>
        <w:rPr>
          <w:spacing w:val="-17"/>
          <w:sz w:val="31"/>
        </w:rPr>
        <w:t xml:space="preserve">4 </w:t>
      </w:r>
      <w:r>
        <w:rPr>
          <w:spacing w:val="-4"/>
          <w:sz w:val="31"/>
        </w:rPr>
        <w:t xml:space="preserve">三、施工工期 </w:t>
      </w:r>
      <w:r>
        <w:rPr>
          <w:sz w:val="31"/>
        </w:rPr>
        <w:t>5</w:t>
      </w:r>
    </w:p>
    <w:p>
      <w:pPr>
        <w:tabs>
          <w:tab w:val="left" w:pos="2050"/>
        </w:tabs>
        <w:spacing w:before="70" w:line="810" w:lineRule="atLeast"/>
        <w:ind w:left="786" w:right="7037" w:firstLine="0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523701</wp:posOffset>
            </wp:positionV>
            <wp:extent cx="3873500" cy="381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1044401</wp:posOffset>
            </wp:positionV>
            <wp:extent cx="1270000" cy="381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第四章</w:t>
        <w:tab/>
        <w:t>主要施工项目施工方法及技术要</w:t>
      </w:r>
      <w:r>
        <w:rPr>
          <w:spacing w:val="51"/>
          <w:sz w:val="31"/>
        </w:rPr>
        <w:t>点</w:t>
      </w:r>
      <w:r>
        <w:rPr>
          <w:spacing w:val="-18"/>
          <w:position w:val="11"/>
          <w:sz w:val="42"/>
        </w:rPr>
        <w:t xml:space="preserve">6 </w:t>
      </w:r>
      <w:r>
        <w:rPr>
          <w:sz w:val="31"/>
        </w:rPr>
        <w:t>一、施工准备</w:t>
      </w:r>
      <w:r>
        <w:rPr>
          <w:spacing w:val="-24"/>
          <w:sz w:val="31"/>
        </w:rPr>
        <w:t xml:space="preserve"> </w:t>
      </w:r>
      <w:r>
        <w:rPr>
          <w:sz w:val="31"/>
        </w:rPr>
        <w:t>6</w:t>
      </w:r>
    </w:p>
    <w:p>
      <w:pPr>
        <w:spacing w:before="8"/>
        <w:ind w:left="786" w:right="10566" w:firstLine="0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328895</wp:posOffset>
            </wp:positionV>
            <wp:extent cx="1676400" cy="38100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684495</wp:posOffset>
            </wp:positionV>
            <wp:extent cx="1270000" cy="38100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1"/>
        </w:rPr>
        <w:t xml:space="preserve">二、新增结构植筋 </w:t>
      </w:r>
      <w:r>
        <w:rPr>
          <w:spacing w:val="-17"/>
          <w:sz w:val="31"/>
        </w:rPr>
        <w:t xml:space="preserve">6 </w:t>
      </w:r>
      <w:r>
        <w:rPr>
          <w:spacing w:val="-3"/>
          <w:sz w:val="31"/>
        </w:rPr>
        <w:t xml:space="preserve">三、钢筋工程 </w:t>
      </w:r>
      <w:r>
        <w:rPr>
          <w:sz w:val="31"/>
        </w:rPr>
        <w:t>7</w:t>
      </w:r>
    </w:p>
    <w:p>
      <w:pPr>
        <w:spacing w:before="0"/>
        <w:ind w:left="786" w:right="10879" w:firstLine="0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323053</wp:posOffset>
            </wp:positionV>
            <wp:extent cx="1473200" cy="381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681828</wp:posOffset>
            </wp:positionV>
            <wp:extent cx="1473200" cy="38100"/>
            <wp:effectExtent l="0" t="0" r="0" b="0"/>
            <wp:wrapNone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31"/>
        </w:rPr>
        <w:t xml:space="preserve">四、混凝土喷射 </w:t>
      </w:r>
      <w:r>
        <w:rPr>
          <w:spacing w:val="-17"/>
          <w:sz w:val="31"/>
        </w:rPr>
        <w:t xml:space="preserve">7 </w:t>
      </w:r>
      <w:r>
        <w:rPr>
          <w:spacing w:val="3"/>
          <w:sz w:val="31"/>
        </w:rPr>
        <w:t xml:space="preserve">五、碳纤维加固 </w:t>
      </w:r>
      <w:r>
        <w:rPr>
          <w:spacing w:val="-17"/>
          <w:sz w:val="31"/>
        </w:rPr>
        <w:t>9</w:t>
      </w:r>
    </w:p>
    <w:p>
      <w:pPr>
        <w:tabs>
          <w:tab w:val="left" w:pos="2050"/>
        </w:tabs>
        <w:spacing w:before="70" w:line="810" w:lineRule="atLeast"/>
        <w:ind w:left="786" w:right="8050" w:firstLine="0"/>
        <w:jc w:val="left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523574</wp:posOffset>
            </wp:positionV>
            <wp:extent cx="3073400" cy="3810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1044274</wp:posOffset>
            </wp:positionV>
            <wp:extent cx="1270000" cy="38100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第五章</w:t>
        <w:tab/>
        <w:t>工期计划与保证工期措施</w:t>
      </w:r>
      <w:r>
        <w:rPr>
          <w:spacing w:val="23"/>
          <w:sz w:val="31"/>
        </w:rPr>
        <w:t xml:space="preserve"> </w:t>
      </w:r>
      <w:r>
        <w:rPr>
          <w:spacing w:val="-9"/>
          <w:position w:val="11"/>
          <w:sz w:val="42"/>
        </w:rPr>
        <w:t xml:space="preserve">18 </w:t>
      </w:r>
      <w:r>
        <w:rPr>
          <w:sz w:val="31"/>
        </w:rPr>
        <w:t>一、工期安排</w:t>
      </w:r>
      <w:r>
        <w:rPr>
          <w:spacing w:val="-23"/>
          <w:sz w:val="31"/>
        </w:rPr>
        <w:t xml:space="preserve"> </w:t>
      </w:r>
      <w:r>
        <w:rPr>
          <w:sz w:val="31"/>
        </w:rPr>
        <w:t>18</w:t>
      </w:r>
    </w:p>
    <w:p>
      <w:pPr>
        <w:spacing w:before="8"/>
        <w:ind w:left="786" w:right="0" w:firstLine="0"/>
        <w:jc w:val="left"/>
        <w:rPr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328768</wp:posOffset>
            </wp:positionV>
            <wp:extent cx="1676400" cy="38100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31"/>
        </w:rPr>
        <w:t xml:space="preserve">二、工期保证措施 </w:t>
      </w:r>
      <w:r>
        <w:rPr>
          <w:sz w:val="31"/>
        </w:rPr>
        <w:t>18</w:t>
      </w:r>
    </w:p>
    <w:p>
      <w:pPr>
        <w:tabs>
          <w:tab w:val="left" w:pos="2050"/>
        </w:tabs>
        <w:spacing w:before="70" w:line="810" w:lineRule="atLeast"/>
        <w:ind w:left="786" w:right="742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532464</wp:posOffset>
            </wp:positionV>
            <wp:extent cx="3479800" cy="38100"/>
            <wp:effectExtent l="0" t="0" r="0" b="0"/>
            <wp:wrapNone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1043639</wp:posOffset>
            </wp:positionV>
            <wp:extent cx="1676400" cy="38100"/>
            <wp:effectExtent l="0" t="0" r="0" b="0"/>
            <wp:wrapNone/>
            <wp:docPr id="3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第六章</w:t>
        <w:tab/>
        <w:t>质量管理体系和质量保证措</w:t>
      </w:r>
      <w:r>
        <w:rPr>
          <w:spacing w:val="54"/>
          <w:sz w:val="31"/>
        </w:rPr>
        <w:t>施</w:t>
      </w:r>
      <w:r>
        <w:rPr>
          <w:spacing w:val="-9"/>
          <w:position w:val="11"/>
          <w:sz w:val="42"/>
        </w:rPr>
        <w:t xml:space="preserve">19 </w:t>
      </w:r>
      <w:r>
        <w:rPr>
          <w:sz w:val="31"/>
        </w:rPr>
        <w:t>一、工程质量标准</w:t>
      </w:r>
      <w:r>
        <w:rPr>
          <w:spacing w:val="-27"/>
          <w:sz w:val="31"/>
        </w:rPr>
        <w:t xml:space="preserve"> </w:t>
      </w:r>
      <w:r>
        <w:rPr>
          <w:sz w:val="31"/>
        </w:rPr>
        <w:t>19</w:t>
      </w:r>
    </w:p>
    <w:p>
      <w:pPr>
        <w:spacing w:before="8"/>
        <w:ind w:left="786" w:right="11010" w:firstLine="0"/>
        <w:jc w:val="left"/>
        <w:rPr>
          <w:sz w:val="31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324958</wp:posOffset>
            </wp:positionV>
            <wp:extent cx="1270000" cy="38100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693258</wp:posOffset>
            </wp:positionV>
            <wp:extent cx="1270000" cy="38100"/>
            <wp:effectExtent l="0" t="0" r="0" b="0"/>
            <wp:wrapNone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二、质量目标 19 三、质量方针 19</w:t>
      </w:r>
    </w:p>
    <w:p>
      <w:pPr>
        <w:spacing w:before="3" w:line="240" w:lineRule="auto"/>
        <w:ind w:left="786" w:right="10380" w:firstLine="0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318227</wp:posOffset>
            </wp:positionV>
            <wp:extent cx="1676400" cy="38100"/>
            <wp:effectExtent l="0" t="0" r="0" b="0"/>
            <wp:wrapNone/>
            <wp:docPr id="4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686527</wp:posOffset>
            </wp:positionV>
            <wp:extent cx="1676400" cy="38100"/>
            <wp:effectExtent l="0" t="0" r="0" b="0"/>
            <wp:wrapNone/>
            <wp:docPr id="4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4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四、质量管理体系 19 五、质量保证措施 19</w:t>
      </w:r>
    </w:p>
    <w:p>
      <w:pPr>
        <w:tabs>
          <w:tab w:val="left" w:pos="2050"/>
        </w:tabs>
        <w:spacing w:before="67" w:line="820" w:lineRule="atLeast"/>
        <w:ind w:left="786" w:right="8680" w:firstLine="0"/>
        <w:jc w:val="left"/>
        <w:rPr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530305</wp:posOffset>
            </wp:positionV>
            <wp:extent cx="2679700" cy="38100"/>
            <wp:effectExtent l="0" t="0" r="0" b="0"/>
            <wp:wrapNone/>
            <wp:docPr id="4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1051005</wp:posOffset>
            </wp:positionV>
            <wp:extent cx="1270000" cy="38100"/>
            <wp:effectExtent l="0" t="0" r="0" b="0"/>
            <wp:wrapNone/>
            <wp:docPr id="4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第七章</w:t>
        <w:tab/>
        <w:t>文明施工与安全生产</w:t>
      </w:r>
      <w:r>
        <w:rPr>
          <w:spacing w:val="17"/>
          <w:sz w:val="31"/>
        </w:rPr>
        <w:t xml:space="preserve"> </w:t>
      </w:r>
      <w:r>
        <w:rPr>
          <w:spacing w:val="-9"/>
          <w:position w:val="11"/>
          <w:sz w:val="42"/>
        </w:rPr>
        <w:t xml:space="preserve">21 </w:t>
      </w:r>
      <w:r>
        <w:rPr>
          <w:sz w:val="31"/>
        </w:rPr>
        <w:t>一、文明施工</w:t>
      </w:r>
      <w:r>
        <w:rPr>
          <w:spacing w:val="-23"/>
          <w:sz w:val="31"/>
        </w:rPr>
        <w:t xml:space="preserve"> </w:t>
      </w:r>
      <w:r>
        <w:rPr>
          <w:sz w:val="31"/>
        </w:rPr>
        <w:t>21</w:t>
      </w:r>
    </w:p>
    <w:p>
      <w:pPr>
        <w:spacing w:before="0"/>
        <w:ind w:left="786" w:right="11010" w:firstLine="0"/>
        <w:jc w:val="left"/>
        <w:rPr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319624</wp:posOffset>
            </wp:positionV>
            <wp:extent cx="1270000" cy="38100"/>
            <wp:effectExtent l="0" t="0" r="0" b="0"/>
            <wp:wrapNone/>
            <wp:docPr id="5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6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1"/>
        </w:rPr>
        <w:t xml:space="preserve">二、安全生产 </w:t>
      </w:r>
      <w:r>
        <w:rPr>
          <w:spacing w:val="-9"/>
          <w:sz w:val="31"/>
        </w:rPr>
        <w:t xml:space="preserve">21 </w:t>
      </w:r>
      <w:r>
        <w:rPr>
          <w:spacing w:val="3"/>
          <w:sz w:val="31"/>
        </w:rPr>
        <w:t xml:space="preserve">三、防尘降噪 </w:t>
      </w:r>
      <w:r>
        <w:rPr>
          <w:spacing w:val="-9"/>
          <w:sz w:val="31"/>
        </w:rPr>
        <w:t>22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188198</wp:posOffset>
            </wp:positionV>
            <wp:extent cx="1270" cy="1270"/>
            <wp:effectExtent l="0" t="0" r="0" b="0"/>
            <wp:wrapTopAndBottom/>
            <wp:docPr id="5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pgSz w:w="17860" w:h="25260"/>
          <w:pgMar w:top="1900" w:right="1860" w:bottom="280" w:left="1860" w:header="708" w:footer="708"/>
          <w:pgNumType w:start="2"/>
          <w:cols w:space="708"/>
        </w:sectPr>
      </w:pPr>
    </w:p>
    <w:p>
      <w:pPr>
        <w:tabs>
          <w:tab w:val="left" w:pos="2050"/>
        </w:tabs>
        <w:spacing w:before="0" w:line="803" w:lineRule="exact"/>
        <w:ind w:left="786" w:right="0" w:firstLine="0"/>
        <w:jc w:val="left"/>
        <w:rPr>
          <w:sz w:val="42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471423</wp:posOffset>
            </wp:positionV>
            <wp:extent cx="2679700" cy="38100"/>
            <wp:effectExtent l="0" t="0" r="0" b="0"/>
            <wp:wrapNone/>
            <wp:docPr id="5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第八章</w:t>
        <w:tab/>
        <w:t>治安管理与消防管理</w:t>
      </w:r>
      <w:r>
        <w:rPr>
          <w:spacing w:val="-30"/>
          <w:sz w:val="31"/>
        </w:rPr>
        <w:t xml:space="preserve"> </w:t>
      </w:r>
      <w:r>
        <w:rPr>
          <w:position w:val="11"/>
          <w:sz w:val="42"/>
        </w:rPr>
        <w:t>23</w:t>
      </w:r>
    </w:p>
    <w:p>
      <w:pPr>
        <w:spacing w:before="245"/>
        <w:ind w:left="786" w:right="11010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481803</wp:posOffset>
            </wp:positionV>
            <wp:extent cx="1270000" cy="38100"/>
            <wp:effectExtent l="0" t="0" r="0" b="0"/>
            <wp:wrapNone/>
            <wp:docPr id="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837403</wp:posOffset>
            </wp:positionV>
            <wp:extent cx="1270000" cy="38100"/>
            <wp:effectExtent l="0" t="0" r="0" b="0"/>
            <wp:wrapNone/>
            <wp:docPr id="5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8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一、治安管理 23 二、消防管理 23</w:t>
      </w:r>
    </w:p>
    <w:p>
      <w:pPr>
        <w:tabs>
          <w:tab w:val="left" w:pos="2050"/>
        </w:tabs>
        <w:spacing w:before="71"/>
        <w:ind w:left="786" w:right="0" w:firstLine="0"/>
        <w:jc w:val="left"/>
        <w:rPr>
          <w:sz w:val="42"/>
        </w:rPr>
      </w:pPr>
      <w:r>
        <w:rPr>
          <w:sz w:val="31"/>
        </w:rPr>
        <w:t>第九章</w:t>
        <w:tab/>
        <w:t>环境保护</w:t>
      </w:r>
      <w:r>
        <w:rPr>
          <w:spacing w:val="-24"/>
          <w:sz w:val="31"/>
        </w:rPr>
        <w:t xml:space="preserve"> </w:t>
      </w:r>
      <w:r>
        <w:rPr>
          <w:position w:val="11"/>
          <w:sz w:val="42"/>
        </w:rPr>
        <w:t>24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231453</wp:posOffset>
            </wp:positionV>
            <wp:extent cx="1270" cy="1270"/>
            <wp:effectExtent l="0" t="0" r="0" b="0"/>
            <wp:wrapTopAndBottom/>
            <wp:docPr id="6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9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7"/>
        </w:rPr>
        <w:sectPr>
          <w:pgSz w:w="17860" w:h="25260"/>
          <w:pgMar w:top="1880" w:right="1860" w:bottom="280" w:left="1860" w:header="708" w:footer="708"/>
          <w:pgNumType w:start="3"/>
          <w:cols w:space="708"/>
        </w:sectPr>
      </w:pPr>
    </w:p>
    <w:p>
      <w:pPr>
        <w:pStyle w:val="Heading1"/>
        <w:spacing w:before="4"/>
        <w:rPr>
          <w:rFonts w:ascii="幼圆" w:eastAsia="幼圆" w:hint="eastAsia"/>
        </w:rPr>
      </w:pPr>
      <w:r>
        <w:rPr>
          <w:rFonts w:ascii="幼圆" w:eastAsia="幼圆" w:hint="eastAsia"/>
        </w:rPr>
        <w:t>第一章工程概况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201"/>
        <w:ind w:left="786"/>
        <w:rPr>
          <w:rFonts w:ascii="幼圆" w:eastAsia="幼圆" w:hint="eastAsia"/>
        </w:rPr>
      </w:pPr>
      <w:r>
        <w:rPr>
          <w:rFonts w:ascii="幼圆" w:eastAsia="幼圆" w:hint="eastAsia"/>
        </w:rPr>
        <w:t>一、工程概况</w:t>
      </w:r>
    </w:p>
    <w:p>
      <w:pPr>
        <w:pStyle w:val="BodyText"/>
        <w:spacing w:before="5"/>
        <w:rPr>
          <w:rFonts w:ascii="幼圆"/>
          <w:sz w:val="53"/>
        </w:rPr>
      </w:pPr>
    </w:p>
    <w:p>
      <w:pPr>
        <w:pStyle w:val="BodyText"/>
        <w:tabs>
          <w:tab w:val="left" w:pos="9111"/>
        </w:tabs>
        <w:spacing w:line="595" w:lineRule="auto"/>
        <w:ind w:left="711" w:right="466" w:firstLine="719"/>
        <w:rPr>
          <w:rFonts w:ascii="幼圆" w:eastAsia="幼圆" w:hint="eastAsia"/>
        </w:rPr>
      </w:pPr>
      <w:r>
        <w:rPr>
          <w:rFonts w:ascii="幼圆" w:eastAsia="幼圆" w:hint="eastAsia"/>
        </w:rPr>
        <w:t>海淀</w:t>
      </w:r>
      <w:r>
        <w:rPr>
          <w:rFonts w:ascii="幼圆" w:eastAsia="幼圆" w:hint="eastAsia"/>
          <w:spacing w:val="54"/>
        </w:rPr>
        <w:t>区</w:t>
      </w:r>
      <w:r>
        <w:rPr>
          <w:rFonts w:ascii="幼圆" w:eastAsia="幼圆" w:hint="eastAsia"/>
        </w:rPr>
        <w:t>2011</w:t>
      </w:r>
      <w:r>
        <w:rPr>
          <w:rFonts w:ascii="幼圆" w:eastAsia="幼圆" w:hint="eastAsia"/>
          <w:spacing w:val="3"/>
        </w:rPr>
        <w:t xml:space="preserve"> </w:t>
      </w:r>
      <w:r>
        <w:rPr>
          <w:rFonts w:ascii="幼圆" w:eastAsia="幼圆" w:hint="eastAsia"/>
        </w:rPr>
        <w:t>年中小学校舍安全工</w:t>
      </w:r>
      <w:r>
        <w:rPr>
          <w:rFonts w:ascii="幼圆" w:eastAsia="幼圆" w:hint="eastAsia"/>
          <w:spacing w:val="51"/>
        </w:rPr>
        <w:t>程</w:t>
      </w:r>
      <w:r>
        <w:rPr>
          <w:rFonts w:ascii="幼圆" w:eastAsia="幼圆" w:hint="eastAsia"/>
        </w:rPr>
        <w:t>27</w:t>
      </w:r>
      <w:r>
        <w:rPr>
          <w:rFonts w:ascii="幼圆" w:eastAsia="幼圆" w:hint="eastAsia"/>
          <w:spacing w:val="-61"/>
        </w:rPr>
        <w:t xml:space="preserve"> </w:t>
      </w:r>
      <w:r>
        <w:rPr>
          <w:rFonts w:ascii="幼圆" w:eastAsia="幼圆" w:hint="eastAsia"/>
        </w:rPr>
        <w:t>标段双榆树中心小学教学楼工程位于海淀区北京双榆树西里</w:t>
      </w:r>
      <w:r>
        <w:rPr>
          <w:rFonts w:ascii="幼圆" w:eastAsia="幼圆" w:hint="eastAsia"/>
          <w:spacing w:val="-75"/>
        </w:rPr>
        <w:t xml:space="preserve"> </w:t>
      </w:r>
      <w:r>
        <w:rPr>
          <w:rFonts w:ascii="幼圆" w:eastAsia="幼圆" w:hint="eastAsia"/>
        </w:rPr>
        <w:t>36</w:t>
      </w:r>
      <w:r>
        <w:rPr>
          <w:rFonts w:ascii="幼圆" w:eastAsia="幼圆" w:hint="eastAsia"/>
          <w:spacing w:val="-11"/>
        </w:rPr>
        <w:t xml:space="preserve"> </w:t>
      </w:r>
      <w:r>
        <w:rPr>
          <w:rFonts w:ascii="幼圆" w:eastAsia="幼圆" w:hint="eastAsia"/>
        </w:rPr>
        <w:t>号，建筑面积</w:t>
      </w:r>
      <w:r>
        <w:rPr>
          <w:rFonts w:ascii="幼圆" w:eastAsia="幼圆" w:hint="eastAsia"/>
          <w:spacing w:val="-80"/>
        </w:rPr>
        <w:t xml:space="preserve"> </w:t>
      </w:r>
      <w:r>
        <w:rPr>
          <w:rFonts w:ascii="幼圆" w:eastAsia="幼圆" w:hint="eastAsia"/>
        </w:rPr>
        <w:t>4069.80m2</w:t>
        <w:tab/>
        <w:t>，檐口高度</w:t>
      </w:r>
      <w:r>
        <w:rPr>
          <w:rFonts w:ascii="幼圆" w:eastAsia="幼圆" w:hint="eastAsia"/>
          <w:spacing w:val="-80"/>
        </w:rPr>
        <w:t xml:space="preserve"> </w:t>
      </w:r>
      <w:r>
        <w:rPr>
          <w:rFonts w:ascii="幼圆" w:eastAsia="幼圆" w:hint="eastAsia"/>
        </w:rPr>
        <w:t>18.60m</w:t>
      </w:r>
      <w:r>
        <w:rPr>
          <w:rFonts w:ascii="幼圆" w:eastAsia="幼圆" w:hint="eastAsia"/>
          <w:spacing w:val="11"/>
        </w:rPr>
        <w:t xml:space="preserve"> </w:t>
      </w:r>
      <w:r>
        <w:rPr>
          <w:rFonts w:ascii="幼圆" w:eastAsia="幼圆" w:hint="eastAsia"/>
        </w:rPr>
        <w:t>。建筑长度</w:t>
      </w:r>
      <w:r>
        <w:rPr>
          <w:rFonts w:ascii="幼圆" w:eastAsia="幼圆" w:hint="eastAsia"/>
          <w:spacing w:val="-55"/>
        </w:rPr>
        <w:t xml:space="preserve"> </w:t>
      </w:r>
      <w:r>
        <w:rPr>
          <w:rFonts w:ascii="幼圆" w:eastAsia="幼圆" w:hint="eastAsia"/>
        </w:rPr>
        <w:t>44.9m</w:t>
      </w:r>
      <w:r>
        <w:rPr>
          <w:rFonts w:ascii="幼圆" w:eastAsia="幼圆" w:hint="eastAsia"/>
          <w:spacing w:val="-22"/>
        </w:rPr>
        <w:t xml:space="preserve"> </w:t>
      </w:r>
      <w:r>
        <w:rPr>
          <w:rFonts w:ascii="幼圆" w:eastAsia="幼圆" w:hint="eastAsia"/>
        </w:rPr>
        <w:t>，建筑宽度</w:t>
      </w:r>
      <w:r>
        <w:rPr>
          <w:rFonts w:ascii="幼圆" w:eastAsia="幼圆" w:hint="eastAsia"/>
          <w:spacing w:val="-57"/>
        </w:rPr>
        <w:t xml:space="preserve"> </w:t>
      </w:r>
      <w:r>
        <w:rPr>
          <w:rFonts w:ascii="幼圆" w:eastAsia="幼圆" w:hint="eastAsia"/>
        </w:rPr>
        <w:t>14.64m</w:t>
      </w:r>
      <w:r>
        <w:rPr>
          <w:rFonts w:ascii="幼圆" w:eastAsia="幼圆" w:hint="eastAsia"/>
          <w:spacing w:val="11"/>
        </w:rPr>
        <w:t xml:space="preserve"> </w:t>
      </w:r>
      <w:r>
        <w:rPr>
          <w:rFonts w:ascii="幼圆" w:eastAsia="幼圆" w:hint="eastAsia"/>
        </w:rPr>
        <w:t>，层高</w:t>
      </w:r>
      <w:r>
        <w:rPr>
          <w:rFonts w:ascii="幼圆" w:eastAsia="幼圆" w:hint="eastAsia"/>
          <w:spacing w:val="-58"/>
        </w:rPr>
        <w:t xml:space="preserve"> </w:t>
      </w:r>
      <w:r>
        <w:rPr>
          <w:rFonts w:ascii="幼圆" w:eastAsia="幼圆" w:hint="eastAsia"/>
        </w:rPr>
        <w:t>3.6m</w:t>
      </w:r>
      <w:r>
        <w:rPr>
          <w:rFonts w:ascii="幼圆" w:eastAsia="幼圆" w:hint="eastAsia"/>
          <w:spacing w:val="-54"/>
        </w:rPr>
        <w:t xml:space="preserve"> </w:t>
      </w:r>
      <w:r>
        <w:rPr>
          <w:rFonts w:ascii="幼圆" w:eastAsia="幼圆" w:hint="eastAsia"/>
        </w:rPr>
        <w:t>，共</w:t>
      </w:r>
      <w:r>
        <w:rPr>
          <w:rFonts w:ascii="幼圆" w:eastAsia="幼圆" w:hint="eastAsia"/>
          <w:spacing w:val="-58"/>
        </w:rPr>
        <w:t xml:space="preserve"> </w:t>
      </w: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22"/>
        </w:rPr>
        <w:t xml:space="preserve"> </w:t>
      </w:r>
      <w:r>
        <w:rPr>
          <w:rFonts w:ascii="幼圆" w:eastAsia="幼圆" w:hint="eastAsia"/>
        </w:rPr>
        <w:t>层。本工程为对原教学楼加固改造，五层轻钢房屋拆除，重新采用砌筑结构砌筑第</w:t>
      </w:r>
      <w:r>
        <w:rPr>
          <w:rFonts w:ascii="幼圆" w:eastAsia="幼圆" w:hint="eastAsia"/>
          <w:spacing w:val="-82"/>
        </w:rPr>
        <w:t xml:space="preserve"> </w:t>
      </w:r>
      <w:r>
        <w:rPr>
          <w:rFonts w:ascii="幼圆" w:eastAsia="幼圆" w:hint="eastAsia"/>
        </w:rPr>
        <w:t>5</w:t>
      </w:r>
      <w:r>
        <w:rPr>
          <w:rFonts w:ascii="幼圆" w:eastAsia="幼圆" w:hint="eastAsia"/>
          <w:spacing w:val="-51"/>
        </w:rPr>
        <w:t xml:space="preserve"> </w:t>
      </w:r>
      <w:r>
        <w:rPr>
          <w:rFonts w:ascii="幼圆" w:eastAsia="幼圆" w:hint="eastAsia"/>
        </w:rPr>
        <w:t>层、新增屋面水箱间， 进行结构加固、基础加固、新建地下消防水池、楼梯拆除，现浇钢筋混凝土楼梯</w:t>
      </w:r>
      <w:r>
        <w:rPr>
          <w:rFonts w:ascii="幼圆" w:eastAsia="幼圆" w:hint="eastAsia"/>
          <w:spacing w:val="-18"/>
        </w:rPr>
        <w:t>、</w:t>
      </w:r>
      <w:r>
        <w:rPr>
          <w:rFonts w:ascii="幼圆" w:eastAsia="幼圆" w:hint="eastAsia"/>
        </w:rPr>
        <w:t>增加外保温、增加室内防水、新做上人屋面、增加散水台阶坡道、更换楼梯栏杆 为不锈钢栏杆、更换室内外门窗等，同时对该建筑装修、建筑节能改造；对电气 其他配套设施进行相应的加固改造。</w:t>
      </w:r>
    </w:p>
    <w:p>
      <w:pPr>
        <w:pStyle w:val="BodyText"/>
        <w:spacing w:line="595" w:lineRule="auto"/>
        <w:ind w:left="711" w:right="795" w:firstLine="180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15"/>
        </w:rPr>
        <w:t xml:space="preserve"> 、加固、改造是本工程施工的重点、难点。根据设计文件，本工程主要采用以</w:t>
      </w:r>
      <w:r>
        <w:rPr>
          <w:rFonts w:ascii="幼圆" w:eastAsia="幼圆" w:hint="eastAsia"/>
        </w:rPr>
        <w:t>下几种加固方法：地下室基础采用增大基础面积和增加连梁的方法；地下室及地上原结构墙面采用喷射混凝土的加固方法；原结构楼板板底采用粘贴双层碳纤维布，板面板缝需进行灌缝处理。板面采用增加叠合层内置钢筋；新增五层砌体结构及地下消防水池详见相关施工方案。</w:t>
      </w:r>
    </w:p>
    <w:p>
      <w:pPr>
        <w:pStyle w:val="BodyText"/>
        <w:spacing w:line="456" w:lineRule="exact"/>
        <w:ind w:left="786"/>
        <w:rPr>
          <w:rFonts w:ascii="幼圆" w:eastAsia="幼圆" w:hint="eastAsia"/>
        </w:rPr>
      </w:pPr>
      <w:r>
        <w:rPr>
          <w:rFonts w:ascii="幼圆" w:eastAsia="幼圆" w:hint="eastAsia"/>
        </w:rPr>
        <w:t>（二</w:t>
      </w:r>
      <w:r>
        <w:rPr>
          <w:rFonts w:ascii="幼圆" w:eastAsia="幼圆" w:hint="eastAsia"/>
          <w:spacing w:val="-180"/>
        </w:rPr>
        <w:t>）</w:t>
      </w:r>
      <w:r>
        <w:rPr>
          <w:rFonts w:ascii="幼圆" w:eastAsia="幼圆" w:hint="eastAsia"/>
        </w:rPr>
        <w:t>、编制依据</w:t>
      </w:r>
    </w:p>
    <w:p>
      <w:pPr>
        <w:pStyle w:val="BodyText"/>
        <w:spacing w:before="11"/>
        <w:rPr>
          <w:rFonts w:ascii="幼圆"/>
          <w:sz w:val="52"/>
        </w:rPr>
      </w:pPr>
    </w:p>
    <w:p>
      <w:pPr>
        <w:pStyle w:val="BodyText"/>
        <w:ind w:left="786"/>
        <w:rPr>
          <w:rFonts w:ascii="幼圆" w:eastAsia="幼圆" w:hint="eastAsia"/>
        </w:rPr>
      </w:pPr>
      <w:r>
        <w:rPr>
          <w:rFonts w:ascii="幼圆" w:eastAsia="幼圆" w:hint="eastAsia"/>
        </w:rPr>
        <w:t>1</w:t>
      </w:r>
      <w:r>
        <w:rPr>
          <w:rFonts w:ascii="幼圆" w:eastAsia="幼圆" w:hint="eastAsia"/>
          <w:spacing w:val="-16"/>
        </w:rPr>
        <w:t xml:space="preserve"> 、双榆树中心小学教学楼</w:t>
      </w:r>
      <w:r>
        <w:rPr>
          <w:rFonts w:ascii="幼圆" w:eastAsia="幼圆" w:hint="eastAsia"/>
        </w:rPr>
        <w:t>（</w:t>
      </w:r>
      <w:r>
        <w:rPr>
          <w:rFonts w:ascii="幼圆" w:eastAsia="幼圆" w:hint="eastAsia"/>
          <w:spacing w:val="-30"/>
        </w:rPr>
        <w:t xml:space="preserve">教学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148"/>
        </w:rPr>
        <w:t xml:space="preserve"> </w:t>
      </w:r>
      <w:r>
        <w:rPr>
          <w:rFonts w:ascii="幼圆" w:eastAsia="幼圆" w:hint="eastAsia"/>
        </w:rPr>
        <w:t>）教学楼抗震加固工程图纸</w:t>
      </w:r>
    </w:p>
    <w:p>
      <w:pPr>
        <w:pStyle w:val="BodyText"/>
        <w:spacing w:before="1"/>
        <w:rPr>
          <w:rFonts w:ascii="幼圆"/>
          <w:sz w:val="53"/>
        </w:rPr>
      </w:pPr>
    </w:p>
    <w:p>
      <w:pPr>
        <w:pStyle w:val="BodyText"/>
        <w:ind w:left="786"/>
        <w:rPr>
          <w:rFonts w:ascii="幼圆" w:eastAsia="幼圆" w:hint="eastAsia"/>
        </w:rPr>
      </w:pPr>
      <w:r>
        <w:rPr>
          <w:rFonts w:ascii="幼圆" w:eastAsia="幼圆" w:hint="eastAsia"/>
        </w:rPr>
        <w:t>2</w:t>
      </w:r>
      <w:r>
        <w:rPr>
          <w:rFonts w:ascii="幼圆" w:eastAsia="幼圆" w:hint="eastAsia"/>
          <w:spacing w:val="-45"/>
        </w:rPr>
        <w:t xml:space="preserve"> 、《建筑抗震鉴定标准》</w:t>
      </w:r>
      <w:r>
        <w:rPr>
          <w:rFonts w:ascii="幼圆" w:eastAsia="幼圆" w:hint="eastAsia"/>
        </w:rPr>
        <w:t>（GB5023</w:t>
      </w:r>
      <w:r>
        <w:rPr>
          <w:rFonts w:ascii="幼圆" w:eastAsia="幼圆" w:hint="eastAsia"/>
          <w:spacing w:val="39"/>
        </w:rPr>
        <w:t xml:space="preserve"> －</w:t>
      </w:r>
      <w:r>
        <w:rPr>
          <w:rFonts w:ascii="幼圆" w:eastAsia="幼圆" w:hint="eastAsia"/>
        </w:rPr>
        <w:t>2009</w:t>
      </w:r>
      <w:r>
        <w:rPr>
          <w:rFonts w:ascii="幼圆" w:eastAsia="幼圆" w:hint="eastAsia"/>
          <w:spacing w:val="-54"/>
        </w:rPr>
        <w:t xml:space="preserve"> </w:t>
      </w:r>
      <w:r>
        <w:rPr>
          <w:rFonts w:ascii="幼圆" w:eastAsia="幼圆" w:hint="eastAsia"/>
          <w:spacing w:val="-180"/>
        </w:rPr>
        <w:t>）</w:t>
      </w:r>
      <w:r>
        <w:rPr>
          <w:rFonts w:ascii="幼圆" w:eastAsia="幼圆" w:hint="eastAsia"/>
        </w:rPr>
        <w:t>；</w:t>
      </w:r>
    </w:p>
    <w:p>
      <w:pPr>
        <w:spacing w:after="0"/>
        <w:rPr>
          <w:rFonts w:ascii="幼圆" w:eastAsia="幼圆" w:hint="eastAsia"/>
        </w:rPr>
        <w:sectPr>
          <w:pgSz w:w="17860" w:h="25260"/>
          <w:pgMar w:top="1940" w:right="1860" w:bottom="280" w:left="1860" w:header="708" w:footer="708"/>
          <w:pgNumType w:start="4"/>
          <w:cols w:space="708"/>
        </w:sectPr>
      </w:pPr>
    </w:p>
    <w:p>
      <w:pPr>
        <w:pStyle w:val="BodyText"/>
        <w:spacing w:line="642" w:lineRule="exact"/>
        <w:ind w:left="786"/>
      </w:pPr>
      <w:r>
        <w:rPr>
          <w:spacing w:val="1"/>
        </w:rPr>
        <w:t>3</w:t>
      </w:r>
      <w:r>
        <w:rPr>
          <w:spacing w:val="-30"/>
        </w:rPr>
        <w:t>、《建筑抗震加固技术规程》</w:t>
      </w:r>
      <w:r>
        <w:t>（</w:t>
      </w:r>
      <w:r>
        <w:rPr>
          <w:spacing w:val="-1"/>
        </w:rPr>
        <w:t>GJG116-200</w:t>
      </w:r>
      <w:r>
        <w:rPr>
          <w:spacing w:val="2"/>
        </w:rPr>
        <w:t>9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16"/>
        <w:rPr>
          <w:sz w:val="25"/>
        </w:rPr>
      </w:pPr>
    </w:p>
    <w:p>
      <w:pPr>
        <w:pStyle w:val="BodyText"/>
        <w:spacing w:before="1"/>
        <w:ind w:left="786"/>
      </w:pPr>
      <w:r>
        <w:rPr>
          <w:spacing w:val="1"/>
        </w:rPr>
        <w:t>4</w:t>
      </w:r>
      <w:r>
        <w:rPr>
          <w:spacing w:val="-32"/>
        </w:rPr>
        <w:t>、《混凝土加固设计规范》</w:t>
      </w:r>
      <w:r>
        <w:t>（</w:t>
      </w:r>
      <w:r>
        <w:rPr>
          <w:spacing w:val="-1"/>
        </w:rPr>
        <w:t>GB5036</w:t>
      </w:r>
      <w:r>
        <w:rPr>
          <w:spacing w:val="4"/>
        </w:rPr>
        <w:t>7</w:t>
      </w:r>
      <w:r>
        <w:rPr>
          <w:spacing w:val="-1"/>
        </w:rPr>
        <w:t>—2006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786"/>
      </w:pPr>
      <w:r>
        <w:rPr>
          <w:spacing w:val="1"/>
        </w:rPr>
        <w:t>5</w:t>
      </w:r>
      <w:r>
        <w:rPr>
          <w:spacing w:val="-24"/>
        </w:rPr>
        <w:t>、《既有建筑地基基础加固技术规程》</w:t>
      </w:r>
      <w:r>
        <w:t>（</w:t>
      </w:r>
      <w:r>
        <w:rPr>
          <w:spacing w:val="-1"/>
        </w:rPr>
        <w:t>GJG123-200</w:t>
      </w:r>
      <w:r>
        <w:rPr>
          <w:spacing w:val="6"/>
        </w:rPr>
        <w:t>0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17"/>
        <w:rPr>
          <w:sz w:val="25"/>
        </w:rPr>
      </w:pPr>
    </w:p>
    <w:p>
      <w:pPr>
        <w:pStyle w:val="BodyText"/>
        <w:ind w:left="786"/>
      </w:pPr>
      <w:r>
        <w:rPr>
          <w:spacing w:val="1"/>
        </w:rPr>
        <w:t>6</w:t>
      </w:r>
      <w:r>
        <w:rPr>
          <w:spacing w:val="-24"/>
        </w:rPr>
        <w:t>、《既有建筑地基基础加固技术规程》</w:t>
      </w:r>
      <w:r>
        <w:t>（</w:t>
      </w:r>
      <w:r>
        <w:rPr>
          <w:spacing w:val="-1"/>
        </w:rPr>
        <w:t>GJG123-200</w:t>
      </w:r>
      <w:r>
        <w:rPr>
          <w:spacing w:val="6"/>
        </w:rPr>
        <w:t>0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786"/>
      </w:pPr>
      <w:r>
        <w:t>7、《喷射混凝土加固技术规程》（CECS161:2004）</w:t>
      </w:r>
    </w:p>
    <w:p>
      <w:pPr>
        <w:pStyle w:val="BodyText"/>
        <w:spacing w:before="18"/>
        <w:rPr>
          <w:sz w:val="25"/>
        </w:rPr>
      </w:pPr>
    </w:p>
    <w:p>
      <w:pPr>
        <w:pStyle w:val="BodyText"/>
        <w:ind w:left="786"/>
      </w:pPr>
      <w:r>
        <w:rPr>
          <w:spacing w:val="1"/>
        </w:rPr>
        <w:t>8</w:t>
      </w:r>
      <w:r>
        <w:rPr>
          <w:spacing w:val="-28"/>
        </w:rPr>
        <w:t>、《混凝土结构加固技术规范》</w:t>
      </w:r>
      <w:r>
        <w:t>（</w:t>
      </w:r>
      <w:r>
        <w:rPr>
          <w:spacing w:val="-1"/>
        </w:rPr>
        <w:t>GB5036</w:t>
      </w:r>
      <w:r>
        <w:rPr>
          <w:spacing w:val="4"/>
        </w:rPr>
        <w:t>7</w:t>
      </w:r>
      <w:r>
        <w:rPr>
          <w:spacing w:val="-4"/>
        </w:rPr>
        <w:t>－</w:t>
      </w:r>
      <w:r>
        <w:rPr>
          <w:spacing w:val="-1"/>
        </w:rPr>
        <w:t>200</w:t>
      </w:r>
      <w:r>
        <w:rPr>
          <w:spacing w:val="5"/>
        </w:rPr>
        <w:t>6</w:t>
      </w:r>
      <w:r>
        <w:rPr>
          <w:spacing w:val="-180"/>
        </w:rPr>
        <w:t>）</w:t>
      </w:r>
      <w:r>
        <w:t>；</w:t>
      </w:r>
    </w:p>
    <w:p>
      <w:pPr>
        <w:pStyle w:val="Heading1"/>
        <w:spacing w:before="303"/>
      </w:pPr>
      <w:r>
        <w:t>第二章施工准备</w:t>
      </w:r>
    </w:p>
    <w:p>
      <w:pPr>
        <w:pStyle w:val="BodyText"/>
        <w:spacing w:before="490"/>
        <w:ind w:left="786"/>
      </w:pPr>
      <w:r>
        <w:t>（一</w:t>
      </w:r>
      <w:r>
        <w:rPr>
          <w:spacing w:val="-180"/>
        </w:rPr>
        <w:t>）</w:t>
      </w:r>
      <w:r>
        <w:t>、技术准备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2" w:lineRule="auto"/>
        <w:ind w:left="1506" w:right="894" w:hanging="720"/>
      </w:pPr>
      <w:r>
        <w:t>1、熟悉图纸、会审图纸、编制施工预算、编制施工方案、落实设备和劳动力计划及对施工人员进行施工安全与防火教育等。</w:t>
      </w:r>
    </w:p>
    <w:p>
      <w:pPr>
        <w:pStyle w:val="BodyText"/>
        <w:spacing w:before="4"/>
        <w:ind w:left="786"/>
      </w:pPr>
      <w:r>
        <w:t>2、了解现场进度情况，确保加固施工进度符合施工总进度要求。</w:t>
      </w:r>
    </w:p>
    <w:p>
      <w:pPr>
        <w:pStyle w:val="BodyText"/>
        <w:spacing w:before="16"/>
        <w:rPr>
          <w:sz w:val="25"/>
        </w:rPr>
      </w:pPr>
    </w:p>
    <w:p>
      <w:pPr>
        <w:pStyle w:val="BodyText"/>
        <w:spacing w:before="1" w:line="415" w:lineRule="auto"/>
        <w:ind w:left="1506" w:right="894" w:hanging="720"/>
      </w:pPr>
      <w:r>
        <w:t>3、开工前设计图纸会审后，如果发现施工现场实际情况与图纸不符，应及时办理洽商。</w:t>
      </w:r>
    </w:p>
    <w:p>
      <w:pPr>
        <w:pStyle w:val="BodyText"/>
        <w:spacing w:line="654" w:lineRule="exact"/>
        <w:ind w:left="786"/>
      </w:pPr>
      <w:r>
        <w:t>4、施工时进行熟悉现场，并进行现场的技术交底与记录工作。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/>
        <w:ind w:left="786"/>
      </w:pPr>
      <w:r>
        <w:t>5、主要配件及时统计计划，提出加工定货数量、规格及需用日期。</w:t>
      </w:r>
    </w:p>
    <w:p>
      <w:pPr>
        <w:pStyle w:val="BodyText"/>
        <w:spacing w:before="16"/>
        <w:rPr>
          <w:sz w:val="25"/>
        </w:rPr>
      </w:pPr>
    </w:p>
    <w:p>
      <w:pPr>
        <w:pStyle w:val="BodyText"/>
        <w:ind w:left="786"/>
      </w:pPr>
      <w:r>
        <w:t>（二</w:t>
      </w:r>
      <w:r>
        <w:rPr>
          <w:spacing w:val="-180"/>
        </w:rPr>
        <w:t>）</w:t>
      </w:r>
      <w:r>
        <w:t>、现场准备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2" w:lineRule="auto"/>
        <w:ind w:left="1506" w:right="752" w:hanging="720"/>
      </w:pPr>
      <w:r>
        <w:t>1、由建设单位和总包单位提供：临电；临水；提供现场道路及导向牌；提供现场安全标志牌；现场垃圾临时存放地点；搭设施工和支撑脚手架；指定设备</w:t>
      </w:r>
    </w:p>
    <w:p>
      <w:pPr>
        <w:spacing w:after="0" w:line="412" w:lineRule="auto"/>
        <w:sectPr>
          <w:pgSz w:w="17860" w:h="25260"/>
          <w:pgMar w:top="2000" w:right="1860" w:bottom="280" w:left="1860" w:header="708" w:footer="708"/>
          <w:pgNumType w:start="5"/>
          <w:cols w:space="708"/>
        </w:sectPr>
      </w:pPr>
    </w:p>
    <w:p>
      <w:pPr>
        <w:pStyle w:val="BodyText"/>
        <w:spacing w:line="642" w:lineRule="exact"/>
        <w:ind w:left="1506"/>
      </w:pPr>
      <w:r>
        <w:t>机具临时库房；现场指挥办公场所。</w:t>
      </w:r>
    </w:p>
    <w:p>
      <w:pPr>
        <w:pStyle w:val="BodyText"/>
        <w:spacing w:before="16"/>
        <w:rPr>
          <w:sz w:val="25"/>
        </w:rPr>
      </w:pPr>
    </w:p>
    <w:p>
      <w:pPr>
        <w:pStyle w:val="BodyText"/>
        <w:spacing w:before="1"/>
        <w:ind w:left="786"/>
      </w:pPr>
      <w:r>
        <w:t>2、现场原有结构装饰面拆除完毕，垃圾清运完毕，为加固施工提供足够工作面。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786"/>
      </w:pPr>
      <w:r>
        <w:t>3、安全防护设施及垂直运输设备准备完毕。</w:t>
      </w:r>
    </w:p>
    <w:p>
      <w:pPr>
        <w:pStyle w:val="BodyText"/>
        <w:spacing w:before="17"/>
        <w:rPr>
          <w:sz w:val="25"/>
        </w:rPr>
      </w:pPr>
    </w:p>
    <w:p>
      <w:pPr>
        <w:pStyle w:val="BodyText"/>
        <w:spacing w:line="415" w:lineRule="auto"/>
        <w:ind w:left="1506" w:right="894" w:hanging="720"/>
      </w:pPr>
      <w:r>
        <w:t>4、材料进场、存放、检查和使用应设专人管理，按总包要求布置堆放。材料尽可能按进度计划分批供应，以减少二次搬运。</w:t>
      </w:r>
    </w:p>
    <w:p>
      <w:pPr>
        <w:pStyle w:val="BodyText"/>
        <w:spacing w:line="654" w:lineRule="exact"/>
        <w:ind w:left="786"/>
      </w:pPr>
      <w:r>
        <w:t>5、放出施工位置线，并清理工作面。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2" w:lineRule="auto"/>
        <w:ind w:left="1506" w:right="687" w:hanging="720"/>
      </w:pPr>
      <w:r>
        <w:t>6、由总包单位现场提供 220/380 伏电压源。我单位施工时，统一由总包单位提供的现场电源电箱位置接电使用，不得私自乱接乱拉线。</w:t>
      </w:r>
    </w:p>
    <w:p>
      <w:pPr>
        <w:pStyle w:val="BodyText"/>
        <w:spacing w:before="4" w:line="412" w:lineRule="auto"/>
        <w:ind w:left="1506" w:right="894" w:hanging="720"/>
      </w:pPr>
      <w:r>
        <w:t>7、由总包单位提供现场水源：普通压力水源即可，水质满足施工用水要求，且指定污水倾倒点。</w:t>
      </w:r>
    </w:p>
    <w:p>
      <w:pPr>
        <w:pStyle w:val="BodyText"/>
        <w:spacing w:before="3"/>
        <w:ind w:left="786"/>
      </w:pPr>
      <w:r>
        <w:t>8、做好施工现场开工、验收做记录的准备，做到有步骤、有顺序施工。</w:t>
      </w:r>
    </w:p>
    <w:p>
      <w:pPr>
        <w:spacing w:after="0"/>
        <w:sectPr>
          <w:pgSz w:w="17860" w:h="25260"/>
          <w:pgMar w:top="2000" w:right="1860" w:bottom="280" w:left="1860" w:header="708" w:footer="708"/>
          <w:pgNumType w:start="6"/>
          <w:cols w:space="708"/>
        </w:sectPr>
      </w:pPr>
    </w:p>
    <w:p>
      <w:pPr>
        <w:pStyle w:val="Heading1"/>
        <w:spacing w:line="790" w:lineRule="exact"/>
      </w:pPr>
      <w:r>
        <w:t>第三章施工总体部署</w:t>
      </w:r>
    </w:p>
    <w:p>
      <w:pPr>
        <w:pStyle w:val="BodyText"/>
        <w:spacing w:before="4"/>
        <w:rPr>
          <w:b/>
          <w:sz w:val="26"/>
        </w:rPr>
      </w:pPr>
    </w:p>
    <w:p>
      <w:pPr>
        <w:pStyle w:val="BodyText"/>
        <w:spacing w:before="6"/>
        <w:ind w:left="786"/>
      </w:pPr>
      <w:r>
        <w:t>（一</w:t>
      </w:r>
      <w:r>
        <w:rPr>
          <w:spacing w:val="-180"/>
        </w:rPr>
        <w:t>）</w:t>
      </w:r>
      <w:r>
        <w:t>、宏观部署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2" w:lineRule="auto"/>
        <w:ind w:left="1510" w:right="747" w:firstLine="720"/>
        <w:jc w:val="both"/>
      </w:pPr>
      <w:r>
        <w:t>现场改造施工位置相对集中，混凝土喷射工作量大，但现场位于居民小区内地段，施工作业面相对狭小，施工影响因素较多，必须合理安排施工顺序，以解决施工工期紧张的特点。施工应本着拆除由上至下，改造同时穿插进行的原则，合理调配人员和设备，穿插中进行以加快施工进度并确保施工总进度。各项的详细施工顺序见主要项目施工流程及工艺。</w:t>
      </w:r>
    </w:p>
    <w:p>
      <w:pPr>
        <w:pStyle w:val="BodyText"/>
        <w:spacing w:before="8"/>
        <w:ind w:left="786"/>
      </w:pPr>
      <w:r>
        <w:t>（二</w:t>
      </w:r>
      <w:r>
        <w:rPr>
          <w:spacing w:val="-180"/>
        </w:rPr>
        <w:t>）</w:t>
      </w:r>
      <w:r>
        <w:t>、施工组织管理措施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1" w:line="412" w:lineRule="auto"/>
        <w:ind w:left="1690" w:right="927"/>
      </w:pPr>
      <w:r>
        <w:t>施工组织安排：按项目经理部安排，根据具体施工项目下设多个专业施工组，混凝土喷射组、植筋加固施工组等。</w:t>
      </w:r>
    </w:p>
    <w:p>
      <w:pPr>
        <w:pStyle w:val="BodyText"/>
        <w:spacing w:before="3"/>
        <w:ind w:left="966"/>
      </w:pPr>
      <w:r>
        <w:t>1、机械设备配备</w:t>
      </w:r>
    </w:p>
    <w:p>
      <w:pPr>
        <w:pStyle w:val="BodyText"/>
        <w:spacing w:before="17"/>
        <w:rPr>
          <w:sz w:val="25"/>
        </w:rPr>
      </w:pPr>
    </w:p>
    <w:p>
      <w:pPr>
        <w:pStyle w:val="BodyText"/>
        <w:spacing w:line="412" w:lineRule="auto"/>
        <w:ind w:left="786" w:right="750" w:firstLine="719"/>
        <w:jc w:val="both"/>
      </w:pPr>
      <w:r>
        <w:t>为满足施工现场拆除、植筋加固工程的施工需要，现场配备电锤、打磨机等工具。机具可自行调配，但必须满足现场机具使用条件，当现场机具不能满足施工条件时，另行增加机具设备。</w:t>
      </w:r>
    </w:p>
    <w:p>
      <w:pPr>
        <w:pStyle w:val="BodyText"/>
        <w:spacing w:before="8"/>
        <w:ind w:left="767" w:right="761"/>
        <w:jc w:val="center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1663700</wp:posOffset>
            </wp:positionH>
            <wp:positionV relativeFrom="paragraph">
              <wp:posOffset>627212</wp:posOffset>
            </wp:positionV>
            <wp:extent cx="8107680" cy="2128266"/>
            <wp:effectExtent l="0" t="0" r="0" b="0"/>
            <wp:wrapNone/>
            <wp:docPr id="6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0" cy="2128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机械设备配备表</w:t>
      </w:r>
    </w:p>
    <w:p>
      <w:pPr>
        <w:pStyle w:val="BodyText"/>
        <w:spacing w:before="2"/>
        <w:rPr>
          <w:sz w:val="22"/>
        </w:rPr>
      </w:pPr>
    </w:p>
    <w:tbl>
      <w:tblPr>
        <w:tblStyle w:val="TableNormal0"/>
        <w:tblW w:w="0" w:type="auto"/>
        <w:jc w:val="left"/>
        <w:tblInd w:w="10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3"/>
        <w:gridCol w:w="4594"/>
        <w:gridCol w:w="1972"/>
        <w:gridCol w:w="2869"/>
        <w:gridCol w:w="1369"/>
      </w:tblGrid>
      <w:tr>
        <w:tblPrEx>
          <w:tblW w:w="0" w:type="auto"/>
          <w:jc w:val="left"/>
          <w:tblInd w:w="10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3"/>
          <w:jc w:val="left"/>
        </w:trPr>
        <w:tc>
          <w:tcPr>
            <w:tcW w:w="903" w:type="dxa"/>
          </w:tcPr>
          <w:p>
            <w:pPr>
              <w:pStyle w:val="TableParagraph"/>
              <w:spacing w:before="0" w:line="497" w:lineRule="exact"/>
              <w:ind w:left="38" w:right="205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4594" w:type="dxa"/>
          </w:tcPr>
          <w:p>
            <w:pPr>
              <w:pStyle w:val="TableParagraph"/>
              <w:spacing w:before="0" w:line="497" w:lineRule="exact"/>
              <w:ind w:left="1638"/>
              <w:jc w:val="left"/>
              <w:rPr>
                <w:sz w:val="31"/>
              </w:rPr>
            </w:pPr>
            <w:r>
              <w:rPr>
                <w:sz w:val="31"/>
              </w:rPr>
              <w:t>机械设备名称</w:t>
            </w:r>
          </w:p>
        </w:tc>
        <w:tc>
          <w:tcPr>
            <w:tcW w:w="1972" w:type="dxa"/>
          </w:tcPr>
          <w:p>
            <w:pPr>
              <w:pStyle w:val="TableParagraph"/>
              <w:spacing w:before="0" w:line="497" w:lineRule="exact"/>
              <w:ind w:left="876" w:right="436"/>
              <w:rPr>
                <w:sz w:val="31"/>
              </w:rPr>
            </w:pPr>
            <w:r>
              <w:rPr>
                <w:sz w:val="31"/>
              </w:rPr>
              <w:t>单位</w:t>
            </w:r>
          </w:p>
        </w:tc>
        <w:tc>
          <w:tcPr>
            <w:tcW w:w="2869" w:type="dxa"/>
          </w:tcPr>
          <w:p>
            <w:pPr>
              <w:pStyle w:val="TableParagraph"/>
              <w:spacing w:before="0" w:line="497" w:lineRule="exact"/>
              <w:ind w:left="445" w:right="672"/>
              <w:rPr>
                <w:sz w:val="31"/>
              </w:rPr>
            </w:pPr>
            <w:r>
              <w:rPr>
                <w:sz w:val="31"/>
              </w:rPr>
              <w:t>额定功率</w:t>
            </w:r>
          </w:p>
        </w:tc>
        <w:tc>
          <w:tcPr>
            <w:tcW w:w="1369" w:type="dxa"/>
          </w:tcPr>
          <w:p>
            <w:pPr>
              <w:pStyle w:val="TableParagraph"/>
              <w:spacing w:before="0" w:line="497" w:lineRule="exact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数量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903" w:type="dxa"/>
          </w:tcPr>
          <w:p>
            <w:pPr>
              <w:pStyle w:val="TableParagraph"/>
              <w:spacing w:before="41"/>
              <w:ind w:right="169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4594" w:type="dxa"/>
          </w:tcPr>
          <w:p>
            <w:pPr>
              <w:pStyle w:val="TableParagraph"/>
              <w:spacing w:before="41"/>
              <w:ind w:left="219"/>
              <w:jc w:val="left"/>
              <w:rPr>
                <w:sz w:val="31"/>
              </w:rPr>
            </w:pPr>
            <w:r>
              <w:rPr>
                <w:sz w:val="31"/>
              </w:rPr>
              <w:t>电锤</w:t>
            </w:r>
          </w:p>
        </w:tc>
        <w:tc>
          <w:tcPr>
            <w:tcW w:w="1972" w:type="dxa"/>
          </w:tcPr>
          <w:p>
            <w:pPr>
              <w:pStyle w:val="TableParagraph"/>
              <w:spacing w:before="41"/>
              <w:ind w:left="433"/>
              <w:rPr>
                <w:sz w:val="31"/>
              </w:rPr>
            </w:pPr>
            <w:r>
              <w:rPr>
                <w:w w:val="102"/>
                <w:sz w:val="31"/>
              </w:rPr>
              <w:t>把</w:t>
            </w:r>
          </w:p>
        </w:tc>
        <w:tc>
          <w:tcPr>
            <w:tcW w:w="2869" w:type="dxa"/>
          </w:tcPr>
          <w:p>
            <w:pPr>
              <w:pStyle w:val="TableParagraph"/>
              <w:spacing w:before="41"/>
              <w:ind w:left="445" w:right="680"/>
              <w:rPr>
                <w:sz w:val="31"/>
              </w:rPr>
            </w:pPr>
            <w:r>
              <w:rPr>
                <w:sz w:val="31"/>
              </w:rPr>
              <w:t>1.1KW/每把</w:t>
            </w:r>
          </w:p>
        </w:tc>
        <w:tc>
          <w:tcPr>
            <w:tcW w:w="1369" w:type="dxa"/>
          </w:tcPr>
          <w:p>
            <w:pPr>
              <w:pStyle w:val="TableParagraph"/>
              <w:spacing w:before="41"/>
              <w:ind w:right="182"/>
              <w:jc w:val="right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903" w:type="dxa"/>
          </w:tcPr>
          <w:p>
            <w:pPr>
              <w:pStyle w:val="TableParagraph"/>
              <w:spacing w:before="73"/>
              <w:ind w:right="169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4594" w:type="dxa"/>
          </w:tcPr>
          <w:p>
            <w:pPr>
              <w:pStyle w:val="TableParagraph"/>
              <w:spacing w:before="26"/>
              <w:ind w:left="219"/>
              <w:jc w:val="left"/>
              <w:rPr>
                <w:sz w:val="31"/>
              </w:rPr>
            </w:pPr>
            <w:r>
              <w:rPr>
                <w:sz w:val="31"/>
              </w:rPr>
              <w:t>打磨机</w:t>
            </w:r>
          </w:p>
        </w:tc>
        <w:tc>
          <w:tcPr>
            <w:tcW w:w="1972" w:type="dxa"/>
          </w:tcPr>
          <w:p>
            <w:pPr>
              <w:pStyle w:val="TableParagraph"/>
              <w:spacing w:before="73"/>
              <w:ind w:left="433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869" w:type="dxa"/>
          </w:tcPr>
          <w:p>
            <w:pPr>
              <w:pStyle w:val="TableParagraph"/>
              <w:spacing w:before="73"/>
              <w:ind w:left="445" w:right="680"/>
              <w:rPr>
                <w:sz w:val="31"/>
              </w:rPr>
            </w:pPr>
            <w:r>
              <w:rPr>
                <w:sz w:val="31"/>
              </w:rPr>
              <w:t>1.8KW/每台</w:t>
            </w:r>
          </w:p>
        </w:tc>
        <w:tc>
          <w:tcPr>
            <w:tcW w:w="1369" w:type="dxa"/>
          </w:tcPr>
          <w:p>
            <w:pPr>
              <w:pStyle w:val="TableParagraph"/>
              <w:spacing w:before="73"/>
              <w:ind w:right="87"/>
              <w:jc w:val="right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903" w:type="dxa"/>
          </w:tcPr>
          <w:p>
            <w:pPr>
              <w:pStyle w:val="TableParagraph"/>
              <w:ind w:right="169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4594" w:type="dxa"/>
          </w:tcPr>
          <w:p>
            <w:pPr>
              <w:pStyle w:val="TableParagraph"/>
              <w:ind w:left="219"/>
              <w:jc w:val="left"/>
              <w:rPr>
                <w:sz w:val="31"/>
              </w:rPr>
            </w:pPr>
            <w:r>
              <w:rPr>
                <w:sz w:val="31"/>
              </w:rPr>
              <w:t>混凝土喷浆机（空压机）</w:t>
            </w:r>
          </w:p>
        </w:tc>
        <w:tc>
          <w:tcPr>
            <w:tcW w:w="1972" w:type="dxa"/>
          </w:tcPr>
          <w:p>
            <w:pPr>
              <w:pStyle w:val="TableParagraph"/>
              <w:ind w:left="433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869" w:type="dxa"/>
          </w:tcPr>
          <w:p>
            <w:pPr>
              <w:pStyle w:val="TableParagraph"/>
              <w:ind w:left="445" w:right="676"/>
              <w:rPr>
                <w:sz w:val="31"/>
              </w:rPr>
            </w:pPr>
            <w:r>
              <w:rPr>
                <w:sz w:val="31"/>
              </w:rPr>
              <w:t>75KW/每台</w:t>
            </w:r>
          </w:p>
        </w:tc>
        <w:tc>
          <w:tcPr>
            <w:tcW w:w="1369" w:type="dxa"/>
          </w:tcPr>
          <w:p>
            <w:pPr>
              <w:pStyle w:val="TableParagraph"/>
              <w:ind w:left="906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9"/>
          <w:jc w:val="left"/>
        </w:trPr>
        <w:tc>
          <w:tcPr>
            <w:tcW w:w="903" w:type="dxa"/>
          </w:tcPr>
          <w:p>
            <w:pPr>
              <w:pStyle w:val="TableParagraph"/>
              <w:spacing w:line="472" w:lineRule="exact"/>
              <w:ind w:right="169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4594" w:type="dxa"/>
          </w:tcPr>
          <w:p>
            <w:pPr>
              <w:pStyle w:val="TableParagraph"/>
              <w:spacing w:line="472" w:lineRule="exact"/>
              <w:ind w:left="219"/>
              <w:jc w:val="left"/>
              <w:rPr>
                <w:sz w:val="31"/>
              </w:rPr>
            </w:pPr>
            <w:r>
              <w:rPr>
                <w:sz w:val="31"/>
              </w:rPr>
              <w:t>钢筋调直机</w:t>
            </w:r>
          </w:p>
        </w:tc>
        <w:tc>
          <w:tcPr>
            <w:tcW w:w="1972" w:type="dxa"/>
          </w:tcPr>
          <w:p>
            <w:pPr>
              <w:pStyle w:val="TableParagraph"/>
              <w:spacing w:line="472" w:lineRule="exact"/>
              <w:ind w:left="433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2869" w:type="dxa"/>
          </w:tcPr>
          <w:p>
            <w:pPr>
              <w:pStyle w:val="TableParagraph"/>
              <w:spacing w:line="472" w:lineRule="exact"/>
              <w:ind w:left="445" w:right="672"/>
              <w:rPr>
                <w:sz w:val="31"/>
              </w:rPr>
            </w:pPr>
            <w:r>
              <w:rPr>
                <w:sz w:val="31"/>
              </w:rPr>
              <w:t>5KW/每台</w:t>
            </w:r>
          </w:p>
        </w:tc>
        <w:tc>
          <w:tcPr>
            <w:tcW w:w="1369" w:type="dxa"/>
          </w:tcPr>
          <w:p>
            <w:pPr>
              <w:pStyle w:val="TableParagraph"/>
              <w:spacing w:line="472" w:lineRule="exact"/>
              <w:ind w:left="906"/>
              <w:jc w:val="left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</w:tbl>
    <w:p>
      <w:pPr>
        <w:spacing w:after="0" w:line="472" w:lineRule="exact"/>
        <w:jc w:val="left"/>
        <w:rPr>
          <w:sz w:val="31"/>
        </w:rPr>
        <w:sectPr>
          <w:pgSz w:w="17860" w:h="25260"/>
          <w:pgMar w:top="1840" w:right="1860" w:bottom="280" w:left="1860" w:header="708" w:footer="708"/>
          <w:pgNumType w:start="7"/>
          <w:cols w:space="708"/>
        </w:sectPr>
      </w:pPr>
    </w:p>
    <w:p>
      <w:pPr>
        <w:pStyle w:val="BodyText"/>
        <w:ind w:left="760"/>
        <w:rPr>
          <w:sz w:val="20"/>
        </w:rPr>
      </w:pPr>
      <w:r>
        <w:pict>
          <v:group id="_x0000_s1025" style="width:670.75pt;height:281.9pt;margin-top:503.01pt;margin-left:152.25pt;mso-position-horizontal-relative:page;mso-position-vertical-relative:page;position:absolute;z-index:251691008" coordorigin="3045,10060" coordsize="13415,56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15;height:5638;left:3045;position:absolute;top:10060" stroked="f">
              <v:imagedata r:id="rId1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419;left:3481;position:absolute;top:101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654;height:419;left:5901;position:absolute;top:101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工种</w:t>
                    </w:r>
                  </w:p>
                </w:txbxContent>
              </v:textbox>
            </v:shape>
            <v:shape id="_x0000_s1029" type="#_x0000_t202" style="width:654;height:419;left:8630;position:absolute;top:101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人数</w:t>
                    </w:r>
                  </w:p>
                </w:txbxContent>
              </v:textbox>
            </v:shape>
            <v:shape id="_x0000_s1030" type="#_x0000_t202" style="width:654;height:419;left:12890;position:absolute;top:101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职能</w:t>
                    </w:r>
                  </w:p>
                </w:txbxContent>
              </v:textbox>
            </v:shape>
            <v:shape id="_x0000_s1031" type="#_x0000_t202" style="width:206;height:419;left:3705;position:absolute;top:110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32" type="#_x0000_t202" style="width:1921;height:419;left:4698;position:absolute;top:1105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现场专业队长</w:t>
                    </w:r>
                  </w:p>
                </w:txbxContent>
              </v:textbox>
            </v:shape>
            <v:shape id="_x0000_s1033" type="#_x0000_t202" style="width:206;height:419;left:8854;position:absolute;top:1111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34" type="#_x0000_t202" style="width:206;height:419;left:3705;position:absolute;top:120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35" type="#_x0000_t202" style="width:1288;height:419;left:4698;position:absolute;top:120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技术工人</w:t>
                    </w:r>
                  </w:p>
                </w:txbxContent>
              </v:textbox>
            </v:shape>
            <v:shape id="_x0000_s1036" type="#_x0000_t202" style="width:392;height:419;left:8760;position:absolute;top:120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30</w:t>
                    </w:r>
                  </w:p>
                </w:txbxContent>
              </v:textbox>
            </v:shape>
            <v:shape id="_x0000_s1037" type="#_x0000_t202" style="width:206;height:1117;left:3705;position:absolute;top:12846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  <w:p>
                    <w:pPr>
                      <w:spacing w:before="127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38" type="#_x0000_t202" style="width:971;height:1117;left:4698;position:absolute;top:12846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下料工</w:t>
                    </w:r>
                  </w:p>
                  <w:p>
                    <w:pPr>
                      <w:spacing w:before="127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电工</w:t>
                    </w:r>
                  </w:p>
                </w:txbxContent>
              </v:textbox>
            </v:shape>
            <v:shape id="_x0000_s1039" type="#_x0000_t202" style="width:5723;height:2907;left:10157;position:absolute;top:11056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现场管理</w:t>
                    </w:r>
                  </w:p>
                  <w:p>
                    <w:pPr>
                      <w:spacing w:before="126" w:line="228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>喷射混凝土、植筋、抹灰、碳纤维加固、</w:t>
                    </w:r>
                    <w:r>
                      <w:rPr>
                        <w:sz w:val="31"/>
                      </w:rPr>
                      <w:t>钢绞线加固等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钢筋成型下料</w:t>
                    </w:r>
                  </w:p>
                  <w:p>
                    <w:pPr>
                      <w:spacing w:before="127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现场接电</w:t>
                    </w:r>
                  </w:p>
                </w:txbxContent>
              </v:textbox>
            </v:shape>
            <v:shape id="_x0000_s1040" type="#_x0000_t202" style="width:206;height:1113;left:3705;position:absolute;top:14318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123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41" type="#_x0000_t202" style="width:654;height:1113;left:4698;position:absolute;top:14318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普工</w:t>
                    </w:r>
                  </w:p>
                  <w:p>
                    <w:pPr>
                      <w:spacing w:before="123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合计</w:t>
                    </w:r>
                  </w:p>
                </w:txbxContent>
              </v:textbox>
            </v:shape>
            <v:shape id="_x0000_s1042" type="#_x0000_t202" style="width:392;height:2586;left:8760;position:absolute;top:12903" filled="f" stroked="f">
              <v:textbox inset="0,0,0,0">
                <w:txbxContent>
                  <w:p>
                    <w:pPr>
                      <w:spacing w:before="0" w:line="497" w:lineRule="exact"/>
                      <w:ind w:left="9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163"/>
                      <w:ind w:left="9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16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</w:t>
                    </w:r>
                  </w:p>
                  <w:p>
                    <w:pPr>
                      <w:spacing w:before="127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48</w:t>
                    </w:r>
                  </w:p>
                </w:txbxContent>
              </v:textbox>
            </v:shape>
            <v:shape id="_x0000_s1043" type="#_x0000_t202" style="width:3188;height:419;left:10157;position:absolute;top:1431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材料搬运、渣土清运等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44" style="width:640pt;height:70pt;mso-position-horizontal-relative:char;mso-position-vertical-relative:line" coordorigin="0,0" coordsize="12800,1400">
            <v:shape id="_x0000_s1045" type="#_x0000_t75" style="width:12800;height:1400;position:absolute" stroked="f">
              <v:imagedata r:id="rId20" o:title=""/>
            </v:shape>
            <v:shape id="_x0000_s1046" type="#_x0000_t202" style="width:206;height:1100;left:530;position:absolute;top:119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5</w:t>
                    </w:r>
                  </w:p>
                  <w:p>
                    <w:pPr>
                      <w:spacing w:before="109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047" type="#_x0000_t202" style="width:1604;height:1100;left:1380;position:absolute;top:119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钢筋折弯机</w:t>
                    </w:r>
                  </w:p>
                  <w:p>
                    <w:pPr>
                      <w:spacing w:before="109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切割机</w:t>
                    </w:r>
                  </w:p>
                </w:txbxContent>
              </v:textbox>
            </v:shape>
            <v:shape id="_x0000_s1048" type="#_x0000_t202" style="width:337;height:1100;left:6799;position:absolute;top:119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台</w:t>
                    </w:r>
                  </w:p>
                  <w:p>
                    <w:pPr>
                      <w:spacing w:before="109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台</w:t>
                    </w:r>
                  </w:p>
                </w:txbxContent>
              </v:textbox>
            </v:shape>
            <v:shape id="_x0000_s1049" type="#_x0000_t202" style="width:1756;height:1100;left:8174;position:absolute;top:119" filled="f" stroked="f">
              <v:textbox inset="0,0,0,0">
                <w:txbxContent>
                  <w:p>
                    <w:pPr>
                      <w:spacing w:before="0" w:line="497" w:lineRule="exact"/>
                      <w:ind w:left="1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4KW/每台</w:t>
                    </w:r>
                  </w:p>
                  <w:p>
                    <w:pPr>
                      <w:spacing w:before="109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2.2KW/每台</w:t>
                    </w:r>
                  </w:p>
                </w:txbxContent>
              </v:textbox>
            </v:shape>
            <v:shape id="_x0000_s1050" type="#_x0000_t202" style="width:206;height:1100;left:11502;position:absolute;top:119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109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6"/>
        <w:ind w:left="786"/>
      </w:pPr>
      <w:r>
        <w:t>2、人员配备</w:t>
      </w:r>
    </w:p>
    <w:p>
      <w:pPr>
        <w:pStyle w:val="BodyText"/>
        <w:spacing w:before="17"/>
        <w:rPr>
          <w:sz w:val="25"/>
        </w:rPr>
      </w:pPr>
    </w:p>
    <w:p>
      <w:pPr>
        <w:pStyle w:val="BodyText"/>
        <w:spacing w:line="412" w:lineRule="auto"/>
        <w:ind w:left="786" w:right="750" w:firstLine="719"/>
        <w:jc w:val="both"/>
      </w:pPr>
      <w:r>
        <w:t>劳动力组织形成：以专业分为各专业施工组，组长负责，作到各尽其职、均衡施工；工作面全面展开时，人员不能满足现场要求时合理增加施工人员，以保证施工要求。</w:t>
      </w:r>
    </w:p>
    <w:p>
      <w:pPr>
        <w:pStyle w:val="BodyText"/>
        <w:spacing w:before="7"/>
        <w:ind w:left="767" w:right="761"/>
        <w:jc w:val="center"/>
      </w:pPr>
      <w:r>
        <w:t>主要施工队人员配备表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6"/>
        <w:ind w:left="786"/>
      </w:pPr>
      <w:r>
        <w:t>3、施工工期</w:t>
      </w:r>
    </w:p>
    <w:p>
      <w:pPr>
        <w:pStyle w:val="BodyText"/>
        <w:spacing w:before="18"/>
        <w:rPr>
          <w:sz w:val="25"/>
        </w:rPr>
      </w:pPr>
    </w:p>
    <w:p>
      <w:pPr>
        <w:pStyle w:val="BodyText"/>
        <w:spacing w:line="412" w:lineRule="auto"/>
        <w:ind w:left="1326" w:right="572" w:firstLine="720"/>
        <w:jc w:val="both"/>
      </w:pPr>
      <w:r>
        <w:t>根据图纸暂估工程量及施工总工期安排，本工程施工工期暂定为 82 天， 加固施工与装饰装修施工穿插进行。施工总工期包含图纸不包括的校园恢复、室外工程等。</w:t>
      </w:r>
    </w:p>
    <w:p>
      <w:pPr>
        <w:spacing w:after="0" w:line="412" w:lineRule="auto"/>
        <w:jc w:val="both"/>
        <w:sectPr>
          <w:pgSz w:w="17860" w:h="25260"/>
          <w:pgMar w:top="1800" w:right="1860" w:bottom="280" w:left="1860" w:header="708" w:footer="708"/>
          <w:pgNumType w:start="8"/>
          <w:cols w:space="708"/>
        </w:sectPr>
      </w:pPr>
    </w:p>
    <w:p>
      <w:pPr>
        <w:pStyle w:val="Heading1"/>
        <w:spacing w:line="782" w:lineRule="exact"/>
        <w:ind w:left="766"/>
      </w:pPr>
      <w:r>
        <w:t>第四章主要施工项目施工方法及技术要点</w:t>
      </w:r>
    </w:p>
    <w:p>
      <w:pPr>
        <w:pStyle w:val="Heading3"/>
        <w:spacing w:before="43" w:line="640" w:lineRule="exact"/>
        <w:ind w:left="0" w:right="10650"/>
        <w:jc w:val="right"/>
      </w:pPr>
      <w:r>
        <w:t>（一</w:t>
      </w:r>
      <w:r>
        <w:rPr>
          <w:spacing w:val="-180"/>
        </w:rPr>
        <w:t>）</w:t>
      </w:r>
      <w:r>
        <w:t>、施工准备</w:t>
      </w:r>
    </w:p>
    <w:p>
      <w:pPr>
        <w:pStyle w:val="ListParagraph"/>
        <w:numPr>
          <w:ilvl w:val="0"/>
          <w:numId w:val="14"/>
        </w:numPr>
        <w:tabs>
          <w:tab w:val="left" w:pos="613"/>
        </w:tabs>
        <w:spacing w:before="0" w:after="0" w:line="617" w:lineRule="exact"/>
        <w:ind w:left="2119" w:right="10580" w:hanging="2120"/>
        <w:jc w:val="right"/>
        <w:rPr>
          <w:sz w:val="36"/>
        </w:rPr>
      </w:pPr>
      <w:r>
        <w:rPr>
          <w:sz w:val="36"/>
        </w:rPr>
        <w:t>技术准备</w:t>
      </w:r>
    </w:p>
    <w:p>
      <w:pPr>
        <w:pStyle w:val="BodyText"/>
        <w:spacing w:before="11" w:line="223" w:lineRule="auto"/>
        <w:ind w:left="786" w:right="750" w:firstLine="719"/>
        <w:jc w:val="both"/>
      </w:pPr>
      <w:r>
        <w:t>施工前技术人员应仔细研究总包方提供的原建筑物图纸，并对现场的施工环境作详细考查，作好总包方对施工现场的交底记录。对管理人员及工人作好详细技术交底，并对工人进行专业的岗位培训、安全教育、对安全方面做出充分的考虑‘</w:t>
      </w:r>
    </w:p>
    <w:p>
      <w:pPr>
        <w:pStyle w:val="BodyText"/>
        <w:spacing w:before="1" w:line="223" w:lineRule="auto"/>
        <w:ind w:left="786" w:right="597" w:firstLine="719"/>
        <w:jc w:val="both"/>
      </w:pPr>
      <w:r>
        <w:t>施工工长在熟悉图纸、施工方案或作业指导书的前提下，明确加固的具体位置，合理地安排施工工序、劳动力，并向操作人员作好相应的技术交底，特别是对一些施工难点、特殊点，更应落实至班组每一个人，而且应让他们了解本次交</w:t>
      </w:r>
      <w:r>
        <w:rPr>
          <w:spacing w:val="-17"/>
        </w:rPr>
        <w:t xml:space="preserve">底的施工流程、施工进度，以便操作人员心里有数，从而保证操作中按要求施工， </w:t>
      </w:r>
      <w:r>
        <w:t>杜绝拆除质量问题的出现。</w:t>
      </w:r>
    </w:p>
    <w:p>
      <w:pPr>
        <w:pStyle w:val="ListParagraph"/>
        <w:numPr>
          <w:ilvl w:val="0"/>
          <w:numId w:val="14"/>
        </w:numPr>
        <w:tabs>
          <w:tab w:val="left" w:pos="2095"/>
        </w:tabs>
        <w:spacing w:before="0" w:after="0" w:line="610" w:lineRule="exact"/>
        <w:ind w:left="2094" w:right="0" w:hanging="589"/>
        <w:jc w:val="left"/>
        <w:rPr>
          <w:sz w:val="36"/>
        </w:rPr>
      </w:pPr>
      <w:r>
        <w:rPr>
          <w:sz w:val="36"/>
        </w:rPr>
        <w:t>总体部署</w:t>
      </w:r>
    </w:p>
    <w:p>
      <w:pPr>
        <w:pStyle w:val="BodyText"/>
        <w:spacing w:before="10" w:line="223" w:lineRule="auto"/>
        <w:ind w:left="786" w:right="752" w:firstLine="719"/>
      </w:pPr>
      <w:r>
        <w:t>按照图纸要求，本工程主要涉及加固工作范围如下（</w:t>
      </w:r>
      <w:r>
        <w:rPr>
          <w:spacing w:val="-2"/>
        </w:rPr>
        <w:t>具体的加固范围以最终</w:t>
      </w:r>
      <w:r>
        <w:t>确定的施工图及技术文件为准</w:t>
      </w:r>
      <w:r>
        <w:rPr>
          <w:spacing w:val="-180"/>
        </w:rPr>
        <w:t>）</w:t>
      </w:r>
      <w:r>
        <w:t>：</w:t>
      </w:r>
    </w:p>
    <w:p>
      <w:pPr>
        <w:pStyle w:val="ListParagraph"/>
        <w:numPr>
          <w:ilvl w:val="0"/>
          <w:numId w:val="13"/>
        </w:numPr>
        <w:tabs>
          <w:tab w:val="left" w:pos="1492"/>
          <w:tab w:val="left" w:pos="1493"/>
        </w:tabs>
        <w:spacing w:before="24" w:after="0" w:line="641" w:lineRule="exact"/>
        <w:ind w:left="1492" w:right="0" w:hanging="707"/>
        <w:jc w:val="left"/>
        <w:rPr>
          <w:sz w:val="36"/>
        </w:rPr>
      </w:pPr>
      <w:r>
        <w:rPr>
          <w:sz w:val="36"/>
        </w:rPr>
        <w:t>地下室、1-4</w:t>
      </w:r>
      <w:r>
        <w:rPr>
          <w:spacing w:val="-4"/>
          <w:sz w:val="36"/>
        </w:rPr>
        <w:t xml:space="preserve"> 层，需要加固墙体打孔植筋；聚合物砂浆抹灰，至基础顶面。</w:t>
      </w:r>
    </w:p>
    <w:p>
      <w:pPr>
        <w:pStyle w:val="ListParagraph"/>
        <w:numPr>
          <w:ilvl w:val="0"/>
          <w:numId w:val="13"/>
        </w:numPr>
        <w:tabs>
          <w:tab w:val="left" w:pos="1492"/>
          <w:tab w:val="left" w:pos="1493"/>
        </w:tabs>
        <w:spacing w:before="0" w:after="0" w:line="617" w:lineRule="exact"/>
        <w:ind w:left="1492" w:right="0" w:hanging="707"/>
        <w:jc w:val="left"/>
        <w:rPr>
          <w:sz w:val="36"/>
        </w:rPr>
      </w:pPr>
      <w:r>
        <w:rPr>
          <w:sz w:val="36"/>
        </w:rPr>
        <w:t>地下室基础，基础加大、增加连梁；</w:t>
      </w:r>
    </w:p>
    <w:p>
      <w:pPr>
        <w:pStyle w:val="ListParagraph"/>
        <w:numPr>
          <w:ilvl w:val="0"/>
          <w:numId w:val="13"/>
        </w:numPr>
        <w:tabs>
          <w:tab w:val="left" w:pos="1492"/>
          <w:tab w:val="left" w:pos="1493"/>
        </w:tabs>
        <w:spacing w:before="0" w:after="0" w:line="618" w:lineRule="exact"/>
        <w:ind w:left="1492" w:right="0" w:hanging="707"/>
        <w:jc w:val="left"/>
        <w:rPr>
          <w:sz w:val="36"/>
        </w:rPr>
      </w:pPr>
      <w:r>
        <w:rPr>
          <w:sz w:val="36"/>
        </w:rPr>
        <w:t>图书楼，顶板钢绞线加固，聚合物砂浆抹灰；</w:t>
      </w:r>
    </w:p>
    <w:p>
      <w:pPr>
        <w:pStyle w:val="ListParagraph"/>
        <w:numPr>
          <w:ilvl w:val="0"/>
          <w:numId w:val="13"/>
        </w:numPr>
        <w:tabs>
          <w:tab w:val="left" w:pos="1492"/>
          <w:tab w:val="left" w:pos="1493"/>
        </w:tabs>
        <w:spacing w:before="0" w:after="0" w:line="618" w:lineRule="exact"/>
        <w:ind w:left="1492" w:right="0" w:hanging="707"/>
        <w:jc w:val="left"/>
        <w:rPr>
          <w:sz w:val="36"/>
        </w:rPr>
      </w:pPr>
      <w:r>
        <w:rPr>
          <w:sz w:val="36"/>
        </w:rPr>
        <w:t>1-4</w:t>
      </w:r>
      <w:r>
        <w:rPr>
          <w:spacing w:val="-4"/>
          <w:sz w:val="36"/>
        </w:rPr>
        <w:t xml:space="preserve"> 层楼板板面，现浇叠合层施工</w:t>
      </w:r>
    </w:p>
    <w:p>
      <w:pPr>
        <w:pStyle w:val="ListParagraph"/>
        <w:numPr>
          <w:ilvl w:val="0"/>
          <w:numId w:val="13"/>
        </w:numPr>
        <w:tabs>
          <w:tab w:val="left" w:pos="1492"/>
          <w:tab w:val="left" w:pos="1493"/>
        </w:tabs>
        <w:spacing w:before="0" w:after="0" w:line="589" w:lineRule="exact"/>
        <w:ind w:left="1492" w:right="0" w:hanging="707"/>
        <w:jc w:val="left"/>
        <w:rPr>
          <w:sz w:val="36"/>
        </w:rPr>
      </w:pPr>
      <w:r>
        <w:rPr>
          <w:sz w:val="36"/>
        </w:rPr>
        <w:t>1-4</w:t>
      </w:r>
      <w:r>
        <w:rPr>
          <w:spacing w:val="-4"/>
          <w:sz w:val="36"/>
        </w:rPr>
        <w:t xml:space="preserve"> 层楼板施工，板底碳纤维粘贴加固；</w:t>
      </w:r>
    </w:p>
    <w:p>
      <w:pPr>
        <w:pStyle w:val="BodyText"/>
        <w:spacing w:line="591" w:lineRule="exact"/>
        <w:ind w:left="1506"/>
      </w:pPr>
      <w:r>
        <w:t>为保证工期进度及施工安全，施工作业应分阶段、分区域的进行施工。在现</w:t>
      </w:r>
    </w:p>
    <w:p>
      <w:pPr>
        <w:pStyle w:val="BodyText"/>
        <w:spacing w:line="617" w:lineRule="exact"/>
        <w:ind w:left="786"/>
      </w:pPr>
      <w:r>
        <w:t>场结构拆除施工作业面完全具备的情况下，开始进行加固施工。</w:t>
      </w:r>
    </w:p>
    <w:p>
      <w:pPr>
        <w:pStyle w:val="Heading3"/>
        <w:spacing w:line="617" w:lineRule="exact"/>
      </w:pPr>
      <w:r>
        <w:t>（二</w:t>
      </w:r>
      <w:r>
        <w:rPr>
          <w:spacing w:val="-180"/>
        </w:rPr>
        <w:t>）</w:t>
      </w:r>
      <w:r>
        <w:t>、加固结构植筋</w:t>
      </w:r>
    </w:p>
    <w:p>
      <w:pPr>
        <w:pStyle w:val="BodyText"/>
        <w:spacing w:line="617" w:lineRule="exact"/>
        <w:ind w:left="1268"/>
      </w:pPr>
      <w:r>
        <w:t>1、概述</w:t>
      </w:r>
    </w:p>
    <w:p>
      <w:pPr>
        <w:pStyle w:val="BodyText"/>
        <w:spacing w:before="9" w:line="223" w:lineRule="auto"/>
        <w:ind w:left="1877" w:right="1100"/>
      </w:pPr>
      <w:r>
        <w:rPr>
          <w:spacing w:val="-1"/>
        </w:rPr>
        <w:t>本工程中墙体加厚部分与原结构相连的部位按设计要求，采用植筋的方</w:t>
      </w:r>
      <w:r>
        <w:t>法。</w:t>
      </w:r>
    </w:p>
    <w:p>
      <w:pPr>
        <w:pStyle w:val="BodyText"/>
        <w:spacing w:line="610" w:lineRule="exact"/>
        <w:ind w:left="1294"/>
      </w:pPr>
      <w:r>
        <w:t>2、工艺流程</w:t>
      </w:r>
    </w:p>
    <w:p>
      <w:pPr>
        <w:pStyle w:val="BodyText"/>
        <w:spacing w:before="12" w:line="223" w:lineRule="auto"/>
        <w:ind w:left="1506" w:right="707" w:hanging="720"/>
      </w:pPr>
      <w:r>
        <w:t>基面清理——定位放线——钻孔、清孔——钢筋植筋——结构胶（M15 水泥砂浆捻实）——验收</w:t>
      </w:r>
    </w:p>
    <w:p>
      <w:pPr>
        <w:pStyle w:val="BodyText"/>
        <w:spacing w:line="607" w:lineRule="exact"/>
        <w:ind w:left="1315"/>
      </w:pPr>
      <w:r>
        <w:t>3、施工工艺及技术要点</w:t>
      </w:r>
    </w:p>
    <w:p>
      <w:pPr>
        <w:pStyle w:val="BodyText"/>
        <w:spacing w:before="9" w:line="223" w:lineRule="auto"/>
        <w:ind w:left="2262" w:right="725" w:hanging="944"/>
      </w:pPr>
      <w:r>
        <w:t>4、现场清理：根据现场施工作业面情况，接通电源并将需植筋部位的现场清理干净。</w:t>
      </w:r>
    </w:p>
    <w:p>
      <w:pPr>
        <w:pStyle w:val="BodyText"/>
        <w:spacing w:line="631" w:lineRule="exact"/>
        <w:ind w:left="1337"/>
      </w:pPr>
      <w:r>
        <w:t>5、定位放线：根据设计图纸要求在需植筋部位弹出钢筋植入位置线，并用红</w:t>
      </w:r>
    </w:p>
    <w:p>
      <w:pPr>
        <w:spacing w:after="0" w:line="631" w:lineRule="exact"/>
        <w:sectPr>
          <w:pgSz w:w="17860" w:h="25260"/>
          <w:pgMar w:top="1660" w:right="1860" w:bottom="280" w:left="1860" w:header="708" w:footer="708"/>
          <w:pgNumType w:start="9"/>
          <w:cols w:space="708"/>
        </w:sectPr>
      </w:pPr>
    </w:p>
    <w:p>
      <w:pPr>
        <w:pStyle w:val="BodyText"/>
        <w:spacing w:line="633" w:lineRule="exact"/>
        <w:ind w:left="1877"/>
      </w:pPr>
      <w:r>
        <w:t>油漆明确标识。</w:t>
      </w:r>
    </w:p>
    <w:p>
      <w:pPr>
        <w:pStyle w:val="BodyText"/>
        <w:spacing w:before="11" w:line="223" w:lineRule="auto"/>
        <w:ind w:left="1866" w:right="718" w:hanging="540"/>
      </w:pPr>
      <w:r>
        <w:t>6</w:t>
      </w:r>
      <w:r>
        <w:rPr>
          <w:spacing w:val="-1"/>
        </w:rPr>
        <w:t>、钻孔：确定植筋位置后开始钻孔，采用电锤进行打孔，如植筋部位遇到其</w:t>
      </w:r>
      <w:r>
        <w:t>他障碍物，孔位应做相应调整，以避开障碍物；如孔位偏差较大，应及时作好记录并及时联系相关单位协商解决。植筋打孔的孔径按图纸要求为60*60，植筋深度，单面加固的墙体圆Φ8</w:t>
      </w:r>
      <w:r>
        <w:rPr>
          <w:spacing w:val="7"/>
        </w:rPr>
        <w:t xml:space="preserve"> 植筋打孔深度为 </w:t>
      </w:r>
      <w:r>
        <w:t>180mm,双面加固墙体的Φ8</w:t>
      </w:r>
      <w:r>
        <w:rPr>
          <w:spacing w:val="-15"/>
        </w:rPr>
        <w:t xml:space="preserve"> 植筋打孔深度为原墙体的厚度。纵横墙螺纹 </w:t>
      </w:r>
      <w:r>
        <w:t>12</w:t>
      </w:r>
      <w:r>
        <w:rPr>
          <w:spacing w:val="-4"/>
        </w:rPr>
        <w:t xml:space="preserve"> 钢筋植筋打孔深度为为墙体厚度。</w:t>
      </w:r>
    </w:p>
    <w:p>
      <w:pPr>
        <w:pStyle w:val="BodyText"/>
        <w:spacing w:before="2" w:line="223" w:lineRule="auto"/>
        <w:ind w:left="1740" w:right="754" w:hanging="450"/>
      </w:pPr>
      <w:r>
        <w:t>7、清孔：成孔后用压缩空气吹出孔内灰尘，如孔内存有积水，然后用棉丝擦拭孔内多遍，保证孔内清洁。</w:t>
      </w:r>
    </w:p>
    <w:p>
      <w:pPr>
        <w:pStyle w:val="BodyText"/>
        <w:spacing w:before="1" w:line="223" w:lineRule="auto"/>
        <w:ind w:left="1776" w:right="597" w:hanging="540"/>
      </w:pPr>
      <w:r>
        <w:t>8</w:t>
      </w:r>
      <w:r>
        <w:rPr>
          <w:spacing w:val="-15"/>
        </w:rPr>
        <w:t xml:space="preserve">、钢筋处理：锚固用钢筋必须做好除锈处理，其除锈长度为锚固长度加 </w:t>
      </w:r>
      <w:r>
        <w:t xml:space="preserve">5 </w:t>
      </w:r>
      <w:r>
        <w:rPr>
          <w:rFonts w:ascii="幼圆" w:eastAsia="幼圆" w:hint="eastAsia"/>
        </w:rPr>
        <w:t>㎝</w:t>
      </w:r>
      <w:r>
        <w:rPr>
          <w:spacing w:val="-13"/>
        </w:rPr>
        <w:t>。</w:t>
      </w:r>
      <w:r>
        <w:t>钢筋的型号、规格严格按图纸设计要求选用。</w:t>
      </w:r>
    </w:p>
    <w:p>
      <w:pPr>
        <w:pStyle w:val="BodyText"/>
        <w:spacing w:line="609" w:lineRule="exact"/>
        <w:ind w:left="1326"/>
      </w:pPr>
      <w:r>
        <w:t>9、植筋：植筋洞口采用结构胶灌实（M15</w:t>
      </w:r>
      <w:r>
        <w:rPr>
          <w:spacing w:val="-4"/>
        </w:rPr>
        <w:t xml:space="preserve"> 水泥砂浆捻死</w:t>
      </w:r>
      <w:r>
        <w:rPr>
          <w:spacing w:val="-181"/>
        </w:rPr>
        <w:t>）</w:t>
      </w:r>
      <w:r>
        <w:t>。</w:t>
      </w:r>
    </w:p>
    <w:p>
      <w:pPr>
        <w:pStyle w:val="BodyText"/>
        <w:spacing w:line="617" w:lineRule="exact"/>
        <w:ind w:left="1326"/>
      </w:pPr>
      <w:r>
        <w:t>10、验收：按设计要求和有关规范验收，验收合格后即可进行下一道工序。</w:t>
      </w:r>
    </w:p>
    <w:p>
      <w:pPr>
        <w:spacing w:before="9" w:line="223" w:lineRule="auto"/>
        <w:ind w:left="106" w:right="9506" w:firstLine="1220"/>
        <w:jc w:val="left"/>
        <w:rPr>
          <w:b/>
          <w:sz w:val="36"/>
        </w:rPr>
      </w:pPr>
      <w:r>
        <w:rPr>
          <w:sz w:val="36"/>
        </w:rPr>
        <w:t>11、质量目标：合格三</w:t>
      </w:r>
      <w:r>
        <w:rPr>
          <w:b/>
          <w:sz w:val="36"/>
        </w:rPr>
        <w:t>、钢筋工程</w:t>
      </w:r>
    </w:p>
    <w:p>
      <w:pPr>
        <w:pStyle w:val="BodyText"/>
        <w:spacing w:before="1" w:line="223" w:lineRule="auto"/>
        <w:ind w:left="1434" w:right="783"/>
      </w:pPr>
      <w:r>
        <w:t>（一</w:t>
      </w:r>
      <w:r>
        <w:rPr>
          <w:spacing w:val="-180"/>
        </w:rPr>
        <w:t>）</w:t>
      </w:r>
      <w:r>
        <w:rPr>
          <w:spacing w:val="-13"/>
        </w:rPr>
        <w:t>、本工程钢筋工程施工采用在外委加工，现场绑扎的方法。具体施工要</w:t>
      </w:r>
      <w:r>
        <w:t>求如下：</w:t>
      </w:r>
    </w:p>
    <w:p>
      <w:pPr>
        <w:pStyle w:val="BodyText"/>
        <w:spacing w:line="611" w:lineRule="exact"/>
        <w:ind w:left="1225"/>
      </w:pPr>
      <w:r>
        <w:t>1、钢筋提料及进场</w:t>
      </w:r>
    </w:p>
    <w:p>
      <w:pPr>
        <w:pStyle w:val="BodyText"/>
        <w:spacing w:before="9" w:line="223" w:lineRule="auto"/>
        <w:ind w:left="1765" w:right="819" w:hanging="540"/>
      </w:pPr>
      <w:r>
        <w:t>2、由钢筋翻样人员依据结构图纸进行钢筋翻样工作并写好钢筋提料单，报外委加工单位，由外委单位负责钢筋下料加工。</w:t>
      </w:r>
    </w:p>
    <w:p>
      <w:pPr>
        <w:pStyle w:val="BodyText"/>
        <w:spacing w:before="1" w:line="223" w:lineRule="auto"/>
        <w:ind w:left="1927" w:right="837" w:hanging="720"/>
      </w:pPr>
      <w:r>
        <w:t>3、外委加工的每一批钢筋原材核查合格证与标牌是否相符，确认无误后，方可使用，必须由监理单位见证取样，送有资质实验室进行试验。</w:t>
      </w:r>
    </w:p>
    <w:p>
      <w:pPr>
        <w:pStyle w:val="BodyText"/>
        <w:spacing w:line="609" w:lineRule="exact"/>
        <w:ind w:left="1204"/>
      </w:pPr>
      <w:r>
        <w:t>(二)、加工成形</w:t>
      </w:r>
    </w:p>
    <w:p>
      <w:pPr>
        <w:pStyle w:val="BodyText"/>
        <w:spacing w:before="11" w:line="223" w:lineRule="auto"/>
        <w:ind w:left="1611" w:right="599" w:hanging="540"/>
      </w:pPr>
      <w:r>
        <w:t>1</w:t>
      </w:r>
      <w:r>
        <w:rPr>
          <w:spacing w:val="-22"/>
        </w:rPr>
        <w:t xml:space="preserve">、钢筋断料长度需严格按加工图纸所示下料长度。断料时必须采用切割机断料， </w:t>
      </w:r>
      <w:r>
        <w:t>不得使用电气焊。</w:t>
      </w:r>
    </w:p>
    <w:p>
      <w:pPr>
        <w:pStyle w:val="BodyText"/>
        <w:spacing w:before="1" w:line="223" w:lineRule="auto"/>
        <w:ind w:left="1611" w:right="778" w:hanging="540"/>
        <w:jc w:val="both"/>
      </w:pPr>
      <w:r>
        <w:t>2</w:t>
      </w:r>
      <w:r>
        <w:rPr>
          <w:spacing w:val="-15"/>
        </w:rPr>
        <w:t>、不同直径钢筋弯曲时需按相应的弯曲半径加工。钢筋弯曲时要保证弯曲角度</w:t>
      </w:r>
      <w:r>
        <w:rPr>
          <w:spacing w:val="1"/>
        </w:rPr>
        <w:t xml:space="preserve">和平段长度符合要求。其中箍筋端部弯钩角度必须保证 </w:t>
      </w:r>
      <w:r>
        <w:t>135</w:t>
      </w:r>
      <w:r>
        <w:rPr>
          <w:spacing w:val="3"/>
        </w:rPr>
        <w:t xml:space="preserve"> 度，平直段长</w:t>
      </w:r>
      <w:r>
        <w:rPr>
          <w:spacing w:val="-6"/>
        </w:rPr>
        <w:t xml:space="preserve">度为 </w:t>
      </w:r>
      <w:r>
        <w:t>10d。</w:t>
      </w:r>
    </w:p>
    <w:p>
      <w:pPr>
        <w:pStyle w:val="BodyText"/>
        <w:spacing w:line="223" w:lineRule="auto"/>
        <w:ind w:left="1675" w:right="736" w:hanging="540"/>
        <w:jc w:val="both"/>
      </w:pPr>
      <w:r>
        <w:t>3、所有钢筋的必须遵照GB50204-2002 来弯曲。每一捆弯好的钢筋都必须清楚的箍好标签和识别标志。</w:t>
      </w:r>
    </w:p>
    <w:p>
      <w:pPr>
        <w:pStyle w:val="BodyText"/>
        <w:spacing w:line="223" w:lineRule="auto"/>
        <w:ind w:left="1611" w:right="773" w:hanging="540"/>
        <w:jc w:val="both"/>
      </w:pPr>
      <w:r>
        <w:t>4、Ⅰ级钢筋使用在墙内做墙筋使用时末端做 180°弯钩，弯曲直径等于 2.5 倍的钢筋直径，平直段长度等于 3 倍的钢筋直径。</w:t>
      </w:r>
    </w:p>
    <w:p>
      <w:pPr>
        <w:pStyle w:val="BodyText"/>
        <w:spacing w:line="634" w:lineRule="exact"/>
        <w:ind w:left="1071"/>
        <w:jc w:val="both"/>
      </w:pPr>
      <w:r>
        <w:t>5、Ⅱ级钢筋在楼板处做穿板拉结筋使用时按照抗震要求末端做 135°弯钩，弯</w:t>
      </w:r>
    </w:p>
    <w:p>
      <w:pPr>
        <w:spacing w:after="0" w:line="634" w:lineRule="exact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https://d.book118.com/337122154021006043</w:t>
        </w:r>
      </w:hyperlink>
    </w:p>
    <w:p>
      <w:pPr>
        <w:spacing w:after="0" w:line="634" w:lineRule="exact"/>
        <w:jc w:val="both"/>
      </w:pPr>
    </w:p>
    <w:sectPr>
      <w:pgSz w:w="17860" w:h="25260"/>
      <w:pgMar w:top="1720" w:right="1860" w:bottom="280" w:left="18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013F6"/>
    <w:multiLevelType w:val="hybridMultilevel"/>
    <w:tmpl w:val="00000000"/>
    <w:lvl w:ilvl="0">
      <w:start w:val="1"/>
      <w:numFmt w:val="decimal"/>
      <w:lvlText w:val="%1"/>
      <w:lvlJc w:val="left"/>
      <w:pPr>
        <w:ind w:left="1542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2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59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9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601"/>
      </w:pPr>
      <w:rPr>
        <w:rFonts w:hint="default"/>
      </w:rPr>
    </w:lvl>
  </w:abstractNum>
  <w:abstractNum w:abstractNumId="1">
    <w:nsid w:val="0C2BF8AE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7" w:hanging="69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11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691"/>
      </w:pPr>
      <w:rPr>
        <w:rFonts w:hint="default"/>
      </w:rPr>
    </w:lvl>
  </w:abstractNum>
  <w:abstractNum w:abstractNumId="2">
    <w:nsid w:val="16A42F7B"/>
    <w:multiLevelType w:val="hybridMultilevel"/>
    <w:tmpl w:val="00000000"/>
    <w:lvl w:ilvl="0">
      <w:start w:val="2"/>
      <w:numFmt w:val="decimal"/>
      <w:lvlText w:val="%1"/>
      <w:lvlJc w:val="left"/>
      <w:pPr>
        <w:ind w:left="1168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8" w:hanging="69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55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3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7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5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691"/>
      </w:pPr>
      <w:rPr>
        <w:rFonts w:hint="default"/>
      </w:rPr>
    </w:lvl>
  </w:abstractNum>
  <w:abstractNum w:abstractNumId="3">
    <w:nsid w:val="1DBE4FC5"/>
    <w:multiLevelType w:val="hybridMultilevel"/>
    <w:tmpl w:val="00000000"/>
    <w:lvl w:ilvl="0">
      <w:start w:val="1"/>
      <w:numFmt w:val="decimal"/>
      <w:lvlText w:val="%1）"/>
      <w:lvlJc w:val="left"/>
      <w:pPr>
        <w:ind w:left="822" w:hanging="577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51" w:hanging="5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3" w:hanging="5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7" w:hanging="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1" w:hanging="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3" w:hanging="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577"/>
      </w:pPr>
      <w:rPr>
        <w:rFonts w:hint="default"/>
      </w:rPr>
    </w:lvl>
  </w:abstractNum>
  <w:abstractNum w:abstractNumId="4">
    <w:nsid w:val="1EDA187A"/>
    <w:multiLevelType w:val="hybridMultilevel"/>
    <w:tmpl w:val="00000000"/>
    <w:lvl w:ilvl="0">
      <w:start w:val="2"/>
      <w:numFmt w:val="decimal"/>
      <w:lvlText w:val="%1"/>
      <w:lvlJc w:val="left"/>
      <w:pPr>
        <w:ind w:left="1506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6" w:hanging="69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27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1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691"/>
      </w:pPr>
      <w:rPr>
        <w:rFonts w:hint="default"/>
      </w:rPr>
    </w:lvl>
  </w:abstractNum>
  <w:abstractNum w:abstractNumId="5">
    <w:nsid w:val="1F069D4D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7" w:hanging="69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11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1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691"/>
      </w:pPr>
      <w:rPr>
        <w:rFonts w:hint="default"/>
      </w:rPr>
    </w:lvl>
  </w:abstractNum>
  <w:abstractNum w:abstractNumId="6">
    <w:nsid w:val="3723F0F1"/>
    <w:multiLevelType w:val="hybridMultilevel"/>
    <w:tmpl w:val="00000000"/>
    <w:lvl w:ilvl="0">
      <w:start w:val="1"/>
      <w:numFmt w:val="decimal"/>
      <w:lvlText w:val="%1）"/>
      <w:lvlJc w:val="left"/>
      <w:pPr>
        <w:ind w:left="1360" w:hanging="574"/>
        <w:jc w:val="left"/>
      </w:pPr>
      <w:rPr>
        <w:rFonts w:ascii="微软雅黑" w:eastAsia="微软雅黑" w:hAnsi="微软雅黑" w:cs="微软雅黑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37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5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3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5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3" w:hanging="574"/>
      </w:pPr>
      <w:rPr>
        <w:rFonts w:hint="default"/>
      </w:rPr>
    </w:lvl>
  </w:abstractNum>
  <w:abstractNum w:abstractNumId="7">
    <w:nsid w:val="406CEA7D"/>
    <w:multiLevelType w:val="hybridMultilevel"/>
    <w:tmpl w:val="00000000"/>
    <w:lvl w:ilvl="0">
      <w:start w:val="1"/>
      <w:numFmt w:val="decimal"/>
      <w:lvlText w:val="%1."/>
      <w:lvlJc w:val="left"/>
      <w:pPr>
        <w:ind w:left="912" w:hanging="38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0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4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4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9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4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89" w:hanging="382"/>
      </w:pPr>
      <w:rPr>
        <w:rFonts w:hint="default"/>
      </w:rPr>
    </w:lvl>
  </w:abstractNum>
  <w:abstractNum w:abstractNumId="8">
    <w:nsid w:val="431C45A6"/>
    <w:multiLevelType w:val="hybridMultilevel"/>
    <w:tmpl w:val="00000000"/>
    <w:lvl w:ilvl="0">
      <w:start w:val="1"/>
      <w:numFmt w:val="decimal"/>
      <w:lvlText w:val="%1."/>
      <w:lvlJc w:val="left"/>
      <w:pPr>
        <w:ind w:left="1452" w:hanging="594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27" w:hanging="5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3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5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3" w:hanging="594"/>
      </w:pPr>
      <w:rPr>
        <w:rFonts w:hint="default"/>
      </w:rPr>
    </w:lvl>
  </w:abstractNum>
  <w:abstractNum w:abstractNumId="9">
    <w:nsid w:val="4D128D1B"/>
    <w:multiLevelType w:val="hybridMultilevel"/>
    <w:tmpl w:val="00000000"/>
    <w:lvl w:ilvl="0">
      <w:start w:val="5"/>
      <w:numFmt w:val="decimal"/>
      <w:lvlText w:val="%1"/>
      <w:lvlJc w:val="left"/>
      <w:pPr>
        <w:ind w:left="1506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6" w:hanging="69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27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1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691"/>
      </w:pPr>
      <w:rPr>
        <w:rFonts w:hint="default"/>
      </w:rPr>
    </w:lvl>
  </w:abstractNum>
  <w:abstractNum w:abstractNumId="10">
    <w:nsid w:val="4F2D3007"/>
    <w:multiLevelType w:val="hybridMultilevel"/>
    <w:tmpl w:val="00000000"/>
    <w:lvl w:ilvl="0">
      <w:start w:val="1"/>
      <w:numFmt w:val="decimal"/>
      <w:lvlText w:val="%1."/>
      <w:lvlJc w:val="left"/>
      <w:pPr>
        <w:ind w:left="1416" w:hanging="63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9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630"/>
      </w:pPr>
      <w:rPr>
        <w:rFonts w:hint="default"/>
      </w:rPr>
    </w:lvl>
  </w:abstractNum>
  <w:abstractNum w:abstractNumId="11">
    <w:nsid w:val="7922AFF7"/>
    <w:multiLevelType w:val="hybridMultilevel"/>
    <w:tmpl w:val="00000000"/>
    <w:lvl w:ilvl="0">
      <w:start w:val="0"/>
      <w:numFmt w:val="bullet"/>
      <w:lvlText w:val=""/>
      <w:lvlJc w:val="left"/>
      <w:pPr>
        <w:ind w:left="1492" w:hanging="70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3" w:hanging="7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7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1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3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1" w:hanging="706"/>
      </w:pPr>
      <w:rPr>
        <w:rFonts w:hint="default"/>
      </w:rPr>
    </w:lvl>
  </w:abstractNum>
  <w:abstractNum w:abstractNumId="12">
    <w:nsid w:val="7A025DC4"/>
    <w:multiLevelType w:val="hybridMultilevel"/>
    <w:tmpl w:val="00000000"/>
    <w:lvl w:ilvl="0">
      <w:start w:val="2"/>
      <w:numFmt w:val="decimal"/>
      <w:lvlText w:val="%1"/>
      <w:lvlJc w:val="left"/>
      <w:pPr>
        <w:ind w:left="1542" w:hanging="6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2" w:hanging="60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59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9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601"/>
      </w:pPr>
      <w:rPr>
        <w:rFonts w:hint="default"/>
      </w:rPr>
    </w:lvl>
  </w:abstractNum>
  <w:abstractNum w:abstractNumId="13">
    <w:nsid w:val="7BF205BE"/>
    <w:multiLevelType w:val="hybridMultilevel"/>
    <w:tmpl w:val="00000000"/>
    <w:lvl w:ilvl="0">
      <w:start w:val="1"/>
      <w:numFmt w:val="upperLetter"/>
      <w:lvlText w:val="%1."/>
      <w:lvlJc w:val="left"/>
      <w:pPr>
        <w:ind w:left="2119" w:hanging="613"/>
        <w:jc w:val="left"/>
      </w:pPr>
      <w:rPr>
        <w:rFonts w:ascii="微软雅黑" w:eastAsia="微软雅黑" w:hAnsi="微软雅黑" w:cs="微软雅黑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21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23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5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7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1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3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5" w:hanging="613"/>
      </w:pPr>
      <w:rPr>
        <w:rFonts w:hint="default"/>
      </w:rPr>
    </w:lvl>
  </w:abstractNum>
  <w:num w:numId="1">
    <w:abstractNumId w:val="10"/>
  </w:num>
  <w:num w:numId="2">
    <w:abstractNumId w:val="2"/>
  </w:num>
  <w:num w:numId="3">
    <w:abstractNumId w:val="1"/>
  </w:num>
  <w:num w:numId="4">
    <w:abstractNumId w:val="12"/>
  </w:num>
  <w:num w:numId="5">
    <w:abstractNumId w:val="0"/>
  </w:num>
  <w:num w:numId="6">
    <w:abstractNumId w:val="9"/>
  </w:num>
  <w:num w:numId="7">
    <w:abstractNumId w:val="4"/>
  </w:num>
  <w:num w:numId="8">
    <w:abstractNumId w:val="5"/>
  </w:num>
  <w:num w:numId="9">
    <w:abstractNumId w:val="6"/>
  </w:num>
  <w:num w:numId="10">
    <w:abstractNumId w:val="3"/>
  </w:num>
  <w:num w:numId="11">
    <w:abstractNumId w:val="7"/>
  </w:num>
  <w:num w:numId="12">
    <w:abstractNumId w:val="8"/>
  </w:num>
  <w:num w:numId="13">
    <w:abstractNumId w:val="11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764" w:right="762"/>
      <w:jc w:val="center"/>
      <w:outlineLvl w:val="0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764" w:right="761"/>
      <w:jc w:val="center"/>
      <w:outlineLvl w:val="1"/>
    </w:pPr>
    <w:rPr>
      <w:rFonts w:ascii="幼圆" w:eastAsia="幼圆" w:hAnsi="幼圆" w:cs="幼圆"/>
      <w:sz w:val="45"/>
      <w:szCs w:val="45"/>
    </w:rPr>
  </w:style>
  <w:style w:type="paragraph" w:styleId="Heading3">
    <w:name w:val="heading 3"/>
    <w:basedOn w:val="Normal"/>
    <w:uiPriority w:val="1"/>
    <w:qFormat/>
    <w:pPr>
      <w:ind w:left="786"/>
      <w:outlineLvl w:val="2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ind w:left="767" w:right="761"/>
      <w:jc w:val="center"/>
    </w:pPr>
    <w:rPr>
      <w:rFonts w:ascii="微软雅黑" w:eastAsia="微软雅黑" w:hAnsi="微软雅黑" w:cs="微软雅黑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542" w:hanging="756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57"/>
      <w:jc w:val="center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337122154021006043" TargetMode="Externa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2024-01-27T09:09:45Z</dcterms:created>
  <dcterms:modified xsi:type="dcterms:W3CDTF">2024-01-27T09:09:45Z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2024-01-27T00:00:00Z</vt:filetime>
  </property>
</Properties>
</file>