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color w:val="auto"/>
        </w:rPr>
      </w:pPr>
      <w:r>
        <w:rPr>
          <w:rFonts w:eastAsia="Times New Roman" w:cs="Times New Roman" w:hint="eastAsia"/>
          <w:b/>
          <w:color w:val="auto"/>
          <w:sz w:val="32"/>
        </w:rPr>
        <w:t>辽宁省锦州市2022-2023学年高二上学期期末考试数学试题含答案</w:t>
      </w:r>
      <w:bookmarkStart w:id="0" w:name="_GoBack"/>
      <w:bookmarkEnd w:id="0"/>
      <w:r>
        <w:rPr>
          <w:rFonts w:eastAsia="Times New Roman" w:cs="Times New Roman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12128500</wp:posOffset>
            </wp:positionH>
            <wp:positionV relativeFrom="topMargin">
              <wp:posOffset>11849100</wp:posOffset>
            </wp:positionV>
            <wp:extent cx="330200" cy="444500"/>
            <wp:effectExtent l="0" t="0" r="0" b="0"/>
            <wp:wrapNone/>
            <wp:docPr id="100885" name="图片 1008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85" name="图片 10088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/>
          <w:b/>
          <w:color w:val="auto"/>
          <w:sz w:val="32"/>
        </w:rPr>
        <w:t>2022</w:t>
      </w:r>
      <w:r>
        <w:rPr>
          <w:rFonts w:ascii="宋体" w:hAnsi="宋体"/>
          <w:b/>
          <w:color w:val="auto"/>
          <w:sz w:val="32"/>
        </w:rPr>
        <w:t>～</w:t>
      </w:r>
      <w:r>
        <w:rPr>
          <w:rFonts w:eastAsia="Times New Roman" w:cs="Times New Roman"/>
          <w:b/>
          <w:color w:val="auto"/>
          <w:sz w:val="32"/>
        </w:rPr>
        <w:t>2023</w:t>
      </w:r>
      <w:r>
        <w:rPr>
          <w:rFonts w:ascii="宋体" w:hAnsi="宋体"/>
          <w:b/>
          <w:color w:val="auto"/>
          <w:sz w:val="32"/>
        </w:rPr>
        <w:t>学年度第一学期期末考试</w:t>
      </w:r>
    </w:p>
    <w:p>
      <w:pPr>
        <w:spacing w:line="360" w:lineRule="auto"/>
        <w:jc w:val="center"/>
        <w:rPr>
          <w:color w:val="auto"/>
        </w:rPr>
      </w:pPr>
      <w:r>
        <w:rPr>
          <w:rFonts w:ascii="宋体" w:hAnsi="宋体"/>
          <w:b/>
          <w:color w:val="auto"/>
          <w:sz w:val="32"/>
        </w:rPr>
        <w:t>高二数学</w:t>
      </w:r>
    </w:p>
    <w:p>
      <w:pPr>
        <w:spacing w:line="360" w:lineRule="auto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注意事项：</w:t>
      </w:r>
    </w:p>
    <w:p>
      <w:pPr>
        <w:spacing w:line="360" w:lineRule="auto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1</w:t>
      </w:r>
      <w:r>
        <w:rPr>
          <w:rFonts w:ascii="宋体" w:hAnsi="宋体"/>
          <w:b/>
          <w:color w:val="auto"/>
          <w:sz w:val="24"/>
        </w:rPr>
        <w:t>．本试卷考试时间为</w:t>
      </w:r>
      <w:r>
        <w:rPr>
          <w:rFonts w:eastAsia="Times New Roman" w:cs="Times New Roman"/>
          <w:b/>
          <w:color w:val="auto"/>
          <w:sz w:val="24"/>
        </w:rPr>
        <w:t>120</w:t>
      </w:r>
      <w:r>
        <w:rPr>
          <w:rFonts w:ascii="宋体" w:hAnsi="宋体"/>
          <w:b/>
          <w:color w:val="auto"/>
          <w:sz w:val="24"/>
        </w:rPr>
        <w:t>分钟，满分</w:t>
      </w:r>
      <w:r>
        <w:rPr>
          <w:rFonts w:eastAsia="Times New Roman" w:cs="Times New Roman"/>
          <w:b/>
          <w:color w:val="auto"/>
          <w:sz w:val="24"/>
        </w:rPr>
        <w:t>150</w:t>
      </w:r>
      <w:r>
        <w:rPr>
          <w:rFonts w:ascii="宋体" w:hAnsi="宋体"/>
          <w:b/>
          <w:color w:val="auto"/>
          <w:sz w:val="24"/>
        </w:rPr>
        <w:t>分．</w:t>
      </w:r>
    </w:p>
    <w:p>
      <w:pPr>
        <w:spacing w:line="360" w:lineRule="auto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2</w:t>
      </w:r>
      <w:r>
        <w:rPr>
          <w:rFonts w:ascii="宋体" w:hAnsi="宋体"/>
          <w:b/>
          <w:color w:val="auto"/>
          <w:sz w:val="24"/>
        </w:rPr>
        <w:t>．答卷前，考生务必将自己的姓名、准考证号填写在答题卡上．</w:t>
      </w:r>
    </w:p>
    <w:p>
      <w:pPr>
        <w:spacing w:line="360" w:lineRule="auto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3</w:t>
      </w:r>
      <w:r>
        <w:rPr>
          <w:rFonts w:ascii="宋体" w:hAnsi="宋体"/>
          <w:b/>
          <w:color w:val="auto"/>
          <w:sz w:val="24"/>
        </w:rPr>
        <w:t>．答选择题时，选出每小题答案后，用</w:t>
      </w:r>
      <w:r>
        <w:rPr>
          <w:rFonts w:eastAsia="Times New Roman" w:cs="Times New Roman"/>
          <w:b/>
          <w:color w:val="auto"/>
          <w:sz w:val="24"/>
        </w:rPr>
        <w:t>2B</w:t>
      </w:r>
      <w:r>
        <w:rPr>
          <w:rFonts w:ascii="宋体" w:hAnsi="宋体"/>
          <w:b/>
          <w:color w:val="auto"/>
          <w:sz w:val="24"/>
        </w:rPr>
        <w:t>铅笔把答题卡对应题目的答案标号涂黑．如需改动，用橡皮擦干净后，再选涂其它答题标号；答非选择题时，将答案写在答题卡上相应区域内，超出答题区域或写在本试卷上无效．</w:t>
      </w:r>
    </w:p>
    <w:p>
      <w:pPr>
        <w:spacing w:line="360" w:lineRule="auto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一、选择题：本题共</w:t>
      </w:r>
      <w:r>
        <w:rPr>
          <w:rFonts w:eastAsia="Times New Roman" w:cs="Times New Roman"/>
          <w:b/>
          <w:color w:val="auto"/>
          <w:sz w:val="24"/>
        </w:rPr>
        <w:t>8</w:t>
      </w:r>
      <w:r>
        <w:rPr>
          <w:rFonts w:ascii="宋体" w:hAnsi="宋体"/>
          <w:b/>
          <w:color w:val="auto"/>
          <w:sz w:val="24"/>
        </w:rPr>
        <w:t>小题，每小题</w:t>
      </w:r>
      <w:r>
        <w:rPr>
          <w:rFonts w:eastAsia="Times New Roman" w:cs="Times New Roman"/>
          <w:b/>
          <w:color w:val="auto"/>
          <w:sz w:val="24"/>
        </w:rPr>
        <w:t>5</w:t>
      </w:r>
      <w:r>
        <w:rPr>
          <w:rFonts w:ascii="宋体" w:hAnsi="宋体"/>
          <w:b/>
          <w:color w:val="auto"/>
          <w:sz w:val="24"/>
        </w:rPr>
        <w:t>分，共</w:t>
      </w:r>
      <w:r>
        <w:rPr>
          <w:rFonts w:eastAsia="Times New Roman" w:cs="Times New Roman"/>
          <w:b/>
          <w:color w:val="auto"/>
          <w:sz w:val="24"/>
        </w:rPr>
        <w:t>40</w:t>
      </w:r>
      <w:r>
        <w:rPr>
          <w:rFonts w:ascii="宋体" w:hAnsi="宋体"/>
          <w:b/>
          <w:color w:val="auto"/>
          <w:sz w:val="24"/>
        </w:rPr>
        <w:t>分．在每小题给出的四个选项中，只有一项是符合题目要求的．</w:t>
      </w:r>
    </w:p>
    <w:p>
      <w:pPr>
        <w:spacing w:line="360" w:lineRule="auto"/>
        <w:jc w:val="left"/>
        <w:rPr>
          <w:color w:val="auto"/>
        </w:rPr>
      </w:pPr>
      <w:r>
        <w:rPr>
          <w:color w:val="auto"/>
        </w:rPr>
        <w:t xml:space="preserve">1. </w:t>
      </w:r>
      <w:r>
        <w:rPr>
          <w:rFonts w:ascii="宋体" w:hAnsi="宋体"/>
          <w:color w:val="auto"/>
        </w:rPr>
        <w:t>直线</w:t>
      </w:r>
      <w:r>
        <w:rPr>
          <w:color w:val="auto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60.75pt;height:15.75pt" o:ole="" coordsize="21600,21600" o:preferrelative="t" filled="f" stroked="f">
            <v:stroke joinstyle="miter"/>
            <v:imagedata r:id="rId7" o:title="eqIdc32c935806559b1a913a7edb3c804999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宋体" w:hAnsi="宋体"/>
          <w:color w:val="auto"/>
        </w:rPr>
        <w:t>的倾斜角为（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）度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15pt;height:14.25pt" o:ole="" coordsize="21600,21600" o:preferrelative="t" filled="f" stroked="f">
            <v:stroke joinstyle="miter"/>
            <v:imagedata r:id="rId9" o:title="eqIdb53c7539ed297ea63b9ace6f5cc58ca8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15.75pt;height:14.25pt" o:ole="" coordsize="21600,21600" o:preferrelative="t" filled="f" stroked="f">
            <v:stroke joinstyle="miter"/>
            <v:imagedata r:id="rId11" o:title="eqId5021dda43ea360fb7b1102c1a462693a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13" o:title="eqIdfacf8615bd031fdac2b764010ffa1440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15" o:title="eqId2a7afc6e67a875ed2eb889e950a77715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C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求出直线的斜率，即可得出该直线的倾斜角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将直线</w:t>
      </w:r>
      <w:r>
        <w:rPr>
          <w:color w:val="auto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60.75pt;height:15.75pt" o:ole="" coordsize="21600,21600" o:preferrelative="t" filled="f" stroked="f">
            <v:stroke joinstyle="miter"/>
            <v:imagedata r:id="rId7" o:title="eqIdc32c935806559b1a913a7edb3c804999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rPr>
          <w:rFonts w:ascii="宋体" w:hAnsi="宋体"/>
          <w:color w:val="auto"/>
        </w:rPr>
        <w:t>的方程变形为</w:t>
      </w:r>
      <w:r>
        <w:rPr>
          <w:color w:val="auto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51.75pt;height:15.75pt" o:ole="" coordsize="21600,21600" o:preferrelative="t" filled="f" stroked="f">
            <v:stroke joinstyle="miter"/>
            <v:imagedata r:id="rId18" o:title="eqId8652faaf1560a7914b30fe8c3d7a7c67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rPr>
          <w:rFonts w:ascii="宋体" w:hAnsi="宋体"/>
          <w:color w:val="auto"/>
        </w:rPr>
        <w:t>，该直线的斜率为</w:t>
      </w:r>
      <w:r>
        <w:rPr>
          <w:color w:val="auto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12pt;height:10.5pt" o:ole="" coordsize="21600,21600" o:preferrelative="t" filled="f" stroked="f">
            <v:stroke joinstyle="miter"/>
            <v:imagedata r:id="rId20" o:title="eqIdacbc6a613224461ade69362d46550474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因此，该直线的倾斜角为</w:t>
      </w:r>
      <w:r>
        <w:rPr>
          <w:color w:val="auto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13" o:title="eqIdfacf8615bd031fdac2b764010ffa1440"/>
            <o:lock v:ext="edit" aspectratio="t"/>
            <w10:anchorlock/>
          </v:shape>
          <o:OLEObject Type="Embed" ProgID="Equation.DSMT4" ShapeID="_x0000_i1033" DrawAspect="Content" ObjectID="_1468075733" r:id="rId22"/>
        </w:object>
      </w:r>
      <w:r>
        <w:rPr>
          <w:rFonts w:ascii="宋体" w:hAnsi="宋体"/>
          <w:color w:val="auto"/>
        </w:rPr>
        <w:t>度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</w:t>
      </w:r>
      <w:r>
        <w:rPr>
          <w:rFonts w:eastAsia="Times New Roman" w:cs="Times New Roman"/>
          <w:color w:val="auto"/>
        </w:rPr>
        <w:t>C.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【点睛】</w:t>
      </w:r>
      <w:r>
        <w:rPr>
          <w:rFonts w:ascii="宋体" w:hAnsi="宋体"/>
          <w:color w:val="auto"/>
        </w:rPr>
        <w:t>本题考查直线的倾斜角，解题的关键就是求出直线的斜率，利用斜率与倾斜角的关系来求解，考查计算能力，属于基础题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  <w:sectPr>
          <w:pgSz w:w="11906" w:h="16838"/>
          <w:pgMar w:top="910" w:right="1080" w:bottom="1440" w:left="1080" w:header="152" w:footer="0" w:gutter="0"/>
          <w:pgNumType w:start="1"/>
          <w:cols w:num="1" w:space="720"/>
          <w:docGrid w:type="lines" w:linePitch="312" w:charSpace="0"/>
        </w:sectPr>
      </w:pPr>
      <w:r>
        <w:rPr>
          <w:color w:val="auto"/>
        </w:rPr>
        <w:t xml:space="preserve">2. </w:t>
      </w:r>
      <w:r>
        <w:rPr>
          <w:rFonts w:ascii="宋体" w:hAnsi="宋体"/>
          <w:color w:val="auto"/>
        </w:rPr>
        <w:t>算盘是中国古代的一项重要发明，迄今已有</w:t>
      </w:r>
      <w:r>
        <w:rPr>
          <w:rFonts w:eastAsia="Times New Roman" w:cs="Times New Roman"/>
          <w:color w:val="auto"/>
        </w:rPr>
        <w:t>2600</w:t>
      </w:r>
      <w:r>
        <w:rPr>
          <w:rFonts w:ascii="宋体" w:hAnsi="宋体"/>
          <w:color w:val="auto"/>
        </w:rPr>
        <w:t>多年的历史</w:t>
      </w:r>
      <w:r>
        <w:rPr>
          <w:rFonts w:eastAsia="Times New Roman" w:cs="Times New Roman"/>
          <w:color w:val="auto"/>
        </w:rPr>
        <w:t>.</w:t>
      </w:r>
      <w:r>
        <w:rPr>
          <w:rFonts w:ascii="宋体" w:hAnsi="宋体"/>
          <w:color w:val="auto"/>
        </w:rPr>
        <w:t>现有一算盘，取其两档（如图</w:t>
      </w:r>
      <w:r>
        <w:rPr>
          <w:rFonts w:eastAsia="Times New Roman" w:cs="Times New Roman"/>
          <w:color w:val="auto"/>
        </w:rPr>
        <w:t>一</w:t>
      </w:r>
      <w:r>
        <w:rPr>
          <w:rFonts w:ascii="宋体" w:hAnsi="宋体"/>
          <w:color w:val="auto"/>
        </w:rPr>
        <w:t>），自右向左分别表示十进制数的个位和十位，中间一道横梁把算珠分为上下两部分，梁上一珠拨下，记作数字</w:t>
      </w:r>
      <w:r>
        <w:rPr>
          <w:rFonts w:eastAsia="Times New Roman" w:cs="Times New Roman"/>
          <w:color w:val="auto"/>
        </w:rPr>
        <w:t>5</w:t>
      </w:r>
      <w:r>
        <w:rPr>
          <w:rFonts w:ascii="宋体" w:hAnsi="宋体"/>
          <w:color w:val="auto"/>
        </w:rPr>
        <w:t>，梁下四珠，上拨一珠记作数字</w:t>
      </w:r>
      <w:r>
        <w:rPr>
          <w:rFonts w:eastAsia="Times New Roman" w:cs="Times New Roman"/>
          <w:color w:val="auto"/>
        </w:rPr>
        <w:t>1</w:t>
      </w:r>
      <w:r>
        <w:rPr>
          <w:rFonts w:ascii="宋体" w:hAnsi="宋体"/>
          <w:color w:val="auto"/>
        </w:rPr>
        <w:t>（如图</w:t>
      </w:r>
      <w:r>
        <w:rPr>
          <w:rFonts w:eastAsia="Times New Roman" w:cs="Times New Roman"/>
          <w:color w:val="auto"/>
        </w:rPr>
        <w:t>二</w:t>
      </w:r>
      <w:r>
        <w:rPr>
          <w:rFonts w:ascii="宋体" w:hAnsi="宋体"/>
          <w:color w:val="auto"/>
        </w:rPr>
        <w:t>算盘表示整数</w:t>
      </w:r>
      <w:r>
        <w:rPr>
          <w:rFonts w:eastAsia="Times New Roman" w:cs="Times New Roman"/>
          <w:color w:val="auto"/>
        </w:rPr>
        <w:t>51</w:t>
      </w:r>
      <w:r>
        <w:rPr>
          <w:rFonts w:ascii="宋体" w:hAnsi="宋体"/>
          <w:color w:val="auto"/>
        </w:rPr>
        <w:t>）</w:t>
      </w:r>
      <w:r>
        <w:rPr>
          <w:rFonts w:eastAsia="Times New Roman" w:cs="Times New Roman"/>
          <w:color w:val="auto"/>
        </w:rPr>
        <w:t>.</w:t>
      </w:r>
      <w:r>
        <w:rPr>
          <w:rFonts w:ascii="宋体" w:hAnsi="宋体"/>
          <w:color w:val="auto"/>
        </w:rPr>
        <w:t>若拨动图</w:t>
      </w:r>
      <w:r>
        <w:rPr>
          <w:rFonts w:eastAsia="Times New Roman" w:cs="Times New Roman"/>
          <w:color w:val="auto"/>
        </w:rPr>
        <w:t>1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的两枚算珠，则可以表示不同整数的个数为（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drawing>
          <wp:inline distT="0" distB="0" distL="0" distR="0">
            <wp:extent cx="2333625" cy="1104900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eastAsia="Times New Roman" w:cs="Times New Roman"/>
          <w:color w:val="auto"/>
        </w:rPr>
        <w:t>6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eastAsia="Times New Roman" w:cs="Times New Roman"/>
          <w:color w:val="auto"/>
        </w:rPr>
        <w:t>8</w: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eastAsia="Times New Roman" w:cs="Times New Roman"/>
          <w:color w:val="auto"/>
        </w:rPr>
        <w:t>10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eastAsia="Times New Roman" w:cs="Times New Roman"/>
          <w:color w:val="auto"/>
        </w:rPr>
        <w:t>15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根据分类加法和分步乘法计数原理即可求得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拨动两枚算珠可分为以下三类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（</w:t>
      </w:r>
      <w:r>
        <w:rPr>
          <w:rFonts w:eastAsia="Times New Roman" w:cs="Times New Roman"/>
          <w:color w:val="auto"/>
        </w:rPr>
        <w:t>1</w:t>
      </w:r>
      <w:r>
        <w:rPr>
          <w:rFonts w:ascii="宋体" w:hAnsi="宋体"/>
          <w:color w:val="auto"/>
        </w:rPr>
        <w:t>）在个位上拨动两枚，可表示</w:t>
      </w:r>
      <w:r>
        <w:rPr>
          <w:rFonts w:eastAsia="Times New Roman" w:cs="Times New Roman"/>
          <w:color w:val="auto"/>
        </w:rPr>
        <w:t>2</w:t>
      </w:r>
      <w:r>
        <w:rPr>
          <w:rFonts w:ascii="宋体" w:hAnsi="宋体"/>
          <w:color w:val="auto"/>
        </w:rPr>
        <w:t>个不同整数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（2）同理在十位上拨动两枚，可表示2个不同整数.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（3）在个位、十位上分别拨动一枚，由分步乘法计数原理易得，可表示</w:t>
      </w:r>
      <w:r>
        <w:rPr>
          <w:color w:val="auto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43.5pt;height:14.25pt" o:ole="" coordsize="21600,21600" o:preferrelative="t" filled="f" stroked="f">
            <v:stroke joinstyle="miter"/>
            <v:imagedata r:id="rId24" o:title="eqIdc32d4d257e10be792b250b9c7bd8152e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rPr>
          <w:color w:val="auto"/>
        </w:rPr>
        <w:t>个不同整数.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所以，根据分类加法计数原理，一共可表示</w:t>
      </w:r>
      <w:r>
        <w:rPr>
          <w:color w:val="auto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54.75pt;height:12.75pt" o:ole="" coordsize="21600,21600" o:preferrelative="t" filled="f" stroked="f">
            <v:stroke joinstyle="miter"/>
            <v:imagedata r:id="rId26" o:title="eqIdf398fe60cc6ae83e527d97e00595ef5b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  <w:r>
        <w:rPr>
          <w:color w:val="auto"/>
        </w:rPr>
        <w:t>个不同整数.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B.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 xml:space="preserve">3. </w:t>
      </w:r>
      <w:r>
        <w:rPr>
          <w:rFonts w:ascii="宋体" w:hAnsi="宋体"/>
          <w:color w:val="auto"/>
        </w:rPr>
        <w:t>如图，在四面体</w:t>
      </w:r>
      <w:r>
        <w:rPr>
          <w:color w:val="auto"/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35.25pt;height:14.25pt" o:ole="" coordsize="21600,21600" o:preferrelative="t" filled="f" stroked="f">
            <v:stroke joinstyle="miter"/>
            <v:imagedata r:id="rId28" o:title="eqId3241d7fedd89d85711acd7a2635298af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rPr>
          <w:rFonts w:ascii="宋体" w:hAnsi="宋体"/>
          <w:color w:val="auto"/>
        </w:rPr>
        <w:t>中，</w:t>
      </w:r>
      <w:r>
        <w:rPr>
          <w:rFonts w:eastAsia="Times New Roman" w:cs="Times New Roman"/>
          <w:i/>
          <w:color w:val="auto"/>
        </w:rPr>
        <w:t>M</w:t>
      </w:r>
      <w:r>
        <w:rPr>
          <w:rFonts w:ascii="宋体" w:hAnsi="宋体"/>
          <w:color w:val="auto"/>
        </w:rPr>
        <w:t>是棱</w:t>
      </w:r>
      <w:r>
        <w:rPr>
          <w:color w:val="auto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18.75pt;height:14.25pt" o:ole="" coordsize="21600,21600" o:preferrelative="t" filled="f" stroked="f">
            <v:stroke joinstyle="miter"/>
            <v:imagedata r:id="rId30" o:title="eqIdef4113c492885ba7c47fe42ac792578f"/>
            <o:lock v:ext="edit" aspectratio="t"/>
            <w10:anchorlock/>
          </v:shape>
          <o:OLEObject Type="Embed" ProgID="Equation.DSMT4" ShapeID="_x0000_i1037" DrawAspect="Content" ObjectID="_1468075737" r:id="rId31"/>
        </w:object>
      </w:r>
      <w:r>
        <w:rPr>
          <w:rFonts w:ascii="宋体" w:hAnsi="宋体"/>
          <w:color w:val="auto"/>
        </w:rPr>
        <w:t>上靠近</w:t>
      </w:r>
      <w:r>
        <w:rPr>
          <w:rFonts w:eastAsia="Times New Roman" w:cs="Times New Roman"/>
          <w:i/>
          <w:color w:val="auto"/>
        </w:rPr>
        <w:t>O</w:t>
      </w:r>
      <w:r>
        <w:rPr>
          <w:rFonts w:ascii="宋体" w:hAnsi="宋体"/>
          <w:color w:val="auto"/>
        </w:rPr>
        <w:t>的三等分点，</w:t>
      </w:r>
      <w:r>
        <w:rPr>
          <w:rFonts w:eastAsia="Times New Roman" w:cs="Times New Roman"/>
          <w:i/>
          <w:color w:val="auto"/>
        </w:rPr>
        <w:t>N</w:t>
      </w:r>
      <w:r>
        <w:rPr>
          <w:rFonts w:ascii="宋体" w:hAnsi="宋体"/>
          <w:color w:val="auto"/>
        </w:rPr>
        <w:t>，</w:t>
      </w:r>
      <w:r>
        <w:rPr>
          <w:rFonts w:eastAsia="Times New Roman" w:cs="Times New Roman"/>
          <w:i/>
          <w:color w:val="auto"/>
        </w:rPr>
        <w:t>P</w:t>
      </w:r>
      <w:r>
        <w:rPr>
          <w:rFonts w:ascii="宋体" w:hAnsi="宋体"/>
          <w:color w:val="auto"/>
        </w:rPr>
        <w:t>分别是</w:t>
      </w:r>
      <w:r>
        <w:rPr>
          <w:color w:val="auto"/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32" o:title="eqId0dc5c9827dfd0be5a9c85962d6ccbfb1"/>
            <o:lock v:ext="edit" aspectratio="t"/>
            <w10:anchorlock/>
          </v:shape>
          <o:OLEObject Type="Embed" ProgID="Equation.DSMT4" ShapeID="_x0000_i1038" DrawAspect="Content" ObjectID="_1468075738" r:id="rId33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23.25pt;height:14.25pt" o:ole="" coordsize="21600,21600" o:preferrelative="t" filled="f" stroked="f">
            <v:stroke joinstyle="miter"/>
            <v:imagedata r:id="rId34" o:title="eqId411461db15ee8086332c531e086c40c7"/>
            <o:lock v:ext="edit" aspectratio="t"/>
            <w10:anchorlock/>
          </v:shape>
          <o:OLEObject Type="Embed" ProgID="Equation.DSMT4" ShapeID="_x0000_i1039" DrawAspect="Content" ObjectID="_1468075739" r:id="rId35"/>
        </w:object>
      </w:r>
      <w:r>
        <w:rPr>
          <w:rFonts w:ascii="宋体" w:hAnsi="宋体"/>
          <w:color w:val="auto"/>
        </w:rPr>
        <w:t>的中点，设</w:t>
      </w:r>
      <w:r>
        <w:rPr>
          <w:color w:val="auto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33.75pt;height:16.5pt" o:ole="" coordsize="21600,21600" o:preferrelative="t" filled="f" stroked="f">
            <v:stroke joinstyle="miter"/>
            <v:imagedata r:id="rId36" o:title="eqId420ad6159fc091d6a5ffddf0676d2662"/>
            <o:lock v:ext="edit" aspectratio="t"/>
            <w10:anchorlock/>
          </v:shape>
          <o:OLEObject Type="Embed" ProgID="Equation.DSMT4" ShapeID="_x0000_i1040" DrawAspect="Content" ObjectID="_1468075740" r:id="rId37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34.5pt;height:17.25pt" o:ole="" coordsize="21600,21600" o:preferrelative="t" filled="f" stroked="f">
            <v:stroke joinstyle="miter"/>
            <v:imagedata r:id="rId38" o:title="eqId68c2e7e9fd8519fd1c293cc577408263"/>
            <o:lock v:ext="edit" aspectratio="t"/>
            <w10:anchorlock/>
          </v:shape>
          <o:OLEObject Type="Embed" ProgID="Equation.DSMT4" ShapeID="_x0000_i1041" DrawAspect="Content" ObjectID="_1468075741" r:id="rId39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34.5pt;height:15pt" o:ole="" coordsize="21600,21600" o:preferrelative="t" filled="f" stroked="f">
            <v:stroke joinstyle="miter"/>
            <v:imagedata r:id="rId40" o:title="eqIda40f8ef7e3af00c41f85a20578afdb57"/>
            <o:lock v:ext="edit" aspectratio="t"/>
            <w10:anchorlock/>
          </v:shape>
          <o:OLEObject Type="Embed" ProgID="Equation.DSMT4" ShapeID="_x0000_i1042" DrawAspect="Content" ObjectID="_1468075742" r:id="rId41"/>
        </w:object>
      </w:r>
      <w:r>
        <w:rPr>
          <w:rFonts w:ascii="宋体" w:hAnsi="宋体"/>
          <w:color w:val="auto"/>
        </w:rPr>
        <w:t>，则</w:t>
      </w:r>
      <w:r>
        <w:rPr>
          <w:color w:val="auto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26.25pt;height:15.75pt" o:ole="" coordsize="21600,21600" o:preferrelative="t" filled="f" stroked="f">
            <v:stroke joinstyle="miter"/>
            <v:imagedata r:id="rId42" o:title="eqId2dfe0e90a236b0633452290473979ebc"/>
            <o:lock v:ext="edit" aspectratio="t"/>
            <w10:anchorlock/>
          </v:shape>
          <o:OLEObject Type="Embed" ProgID="Equation.DSMT4" ShapeID="_x0000_i1043" DrawAspect="Content" ObjectID="_1468075743" r:id="rId43"/>
        </w:object>
      </w:r>
      <w:r>
        <w:rPr>
          <w:rFonts w:ascii="宋体" w:hAnsi="宋体"/>
          <w:color w:val="auto"/>
        </w:rPr>
        <w:t>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drawing>
          <wp:inline distT="0" distB="0" distL="0" distR="0">
            <wp:extent cx="1524000" cy="1419225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72.75pt;height:30.75pt" o:ole="" coordsize="21600,21600" o:preferrelative="t" filled="f" stroked="f">
            <v:stroke joinstyle="miter"/>
            <v:imagedata r:id="rId45" o:title="eqIddbd456dfdb9e2c39dd884d1e31b04086"/>
            <o:lock v:ext="edit" aspectratio="t"/>
            <w10:anchorlock/>
          </v:shape>
          <o:OLEObject Type="Embed" ProgID="Equation.DSMT4" ShapeID="_x0000_i1044" DrawAspect="Content" ObjectID="_1468075744" r:id="rId46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63pt;height:30.75pt" o:ole="" coordsize="21600,21600" o:preferrelative="t" filled="f" stroked="f">
            <v:stroke joinstyle="miter"/>
            <v:imagedata r:id="rId47" o:title="eqIda66d56231558d8860c173e9ad0af2c65"/>
            <o:lock v:ext="edit" aspectratio="t"/>
            <w10:anchorlock/>
          </v:shape>
          <o:OLEObject Type="Embed" ProgID="Equation.DSMT4" ShapeID="_x0000_i1045" DrawAspect="Content" ObjectID="_1468075745" r:id="rId48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color w:val="auto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72.75pt;height:30.75pt" o:ole="" coordsize="21600,21600" o:preferrelative="t" filled="f" stroked="f">
            <v:stroke joinstyle="miter"/>
            <v:imagedata r:id="rId49" o:title="eqId3982da019679aaaf0c8b169f10e697e6"/>
            <o:lock v:ext="edit" aspectratio="t"/>
            <w10:anchorlock/>
          </v:shape>
          <o:OLEObject Type="Embed" ProgID="Equation.DSMT4" ShapeID="_x0000_i1046" DrawAspect="Content" ObjectID="_1468075746" r:id="rId50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66.75pt;height:27.75pt" o:ole="" coordsize="21600,21600" o:preferrelative="t" filled="f" stroked="f">
            <v:stroke joinstyle="miter"/>
            <v:imagedata r:id="rId51" o:title="eqId1c58949bb4b53c81f3592e79728a79d5"/>
            <o:lock v:ext="edit" aspectratio="t"/>
            <w10:anchorlock/>
          </v:shape>
          <o:OLEObject Type="Embed" ProgID="Equation.DSMT4" ShapeID="_x0000_i1047" DrawAspect="Content" ObjectID="_1468075747" r:id="rId52"/>
        </w:object>
      </w:r>
      <w:r>
        <w:rPr>
          <w:color w:val="auto"/>
        </w:rPr>
        <w:br/>
      </w:r>
      <w:r>
        <w:rPr>
          <w:color w:val="auto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https://d.book118.com/338010114112006022</w:t>
        </w:r>
      </w:hyperlink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252D1CD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4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5.wmf" /><Relationship Id="rId14" Type="http://schemas.openxmlformats.org/officeDocument/2006/relationships/oleObject" Target="embeddings/oleObject4.bin" /><Relationship Id="rId15" Type="http://schemas.openxmlformats.org/officeDocument/2006/relationships/image" Target="media/image6.wmf" /><Relationship Id="rId16" Type="http://schemas.openxmlformats.org/officeDocument/2006/relationships/oleObject" Target="embeddings/oleObject5.bin" /><Relationship Id="rId17" Type="http://schemas.openxmlformats.org/officeDocument/2006/relationships/oleObject" Target="embeddings/oleObject6.bin" /><Relationship Id="rId18" Type="http://schemas.openxmlformats.org/officeDocument/2006/relationships/image" Target="media/image7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1" Type="http://schemas.openxmlformats.org/officeDocument/2006/relationships/oleObject" Target="embeddings/oleObject8.bin" /><Relationship Id="rId22" Type="http://schemas.openxmlformats.org/officeDocument/2006/relationships/oleObject" Target="embeddings/oleObject9.bin" /><Relationship Id="rId23" Type="http://schemas.openxmlformats.org/officeDocument/2006/relationships/image" Target="media/image9.png" /><Relationship Id="rId24" Type="http://schemas.openxmlformats.org/officeDocument/2006/relationships/image" Target="media/image10.wmf" /><Relationship Id="rId25" Type="http://schemas.openxmlformats.org/officeDocument/2006/relationships/oleObject" Target="embeddings/oleObject10.bin" /><Relationship Id="rId26" Type="http://schemas.openxmlformats.org/officeDocument/2006/relationships/image" Target="media/image11.wmf" /><Relationship Id="rId27" Type="http://schemas.openxmlformats.org/officeDocument/2006/relationships/oleObject" Target="embeddings/oleObject11.bin" /><Relationship Id="rId28" Type="http://schemas.openxmlformats.org/officeDocument/2006/relationships/image" Target="media/image12.wmf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1" Type="http://schemas.openxmlformats.org/officeDocument/2006/relationships/oleObject" Target="embeddings/oleObject13.bin" /><Relationship Id="rId32" Type="http://schemas.openxmlformats.org/officeDocument/2006/relationships/image" Target="media/image14.wmf" /><Relationship Id="rId33" Type="http://schemas.openxmlformats.org/officeDocument/2006/relationships/oleObject" Target="embeddings/oleObject14.bin" /><Relationship Id="rId34" Type="http://schemas.openxmlformats.org/officeDocument/2006/relationships/image" Target="media/image15.wmf" /><Relationship Id="rId35" Type="http://schemas.openxmlformats.org/officeDocument/2006/relationships/oleObject" Target="embeddings/oleObject15.bin" /><Relationship Id="rId36" Type="http://schemas.openxmlformats.org/officeDocument/2006/relationships/image" Target="media/image16.wmf" /><Relationship Id="rId37" Type="http://schemas.openxmlformats.org/officeDocument/2006/relationships/oleObject" Target="embeddings/oleObject16.bin" /><Relationship Id="rId38" Type="http://schemas.openxmlformats.org/officeDocument/2006/relationships/image" Target="media/image17.wmf" /><Relationship Id="rId39" Type="http://schemas.openxmlformats.org/officeDocument/2006/relationships/oleObject" Target="embeddings/oleObject17.bin" /><Relationship Id="rId4" Type="http://schemas.openxmlformats.org/officeDocument/2006/relationships/customXml" Target="../customXml/item1.xml" /><Relationship Id="rId40" Type="http://schemas.openxmlformats.org/officeDocument/2006/relationships/image" Target="media/image18.wmf" /><Relationship Id="rId41" Type="http://schemas.openxmlformats.org/officeDocument/2006/relationships/oleObject" Target="embeddings/oleObject18.bin" /><Relationship Id="rId42" Type="http://schemas.openxmlformats.org/officeDocument/2006/relationships/image" Target="media/image19.wmf" /><Relationship Id="rId43" Type="http://schemas.openxmlformats.org/officeDocument/2006/relationships/oleObject" Target="embeddings/oleObject19.bin" /><Relationship Id="rId44" Type="http://schemas.openxmlformats.org/officeDocument/2006/relationships/image" Target="media/image20.png" /><Relationship Id="rId45" Type="http://schemas.openxmlformats.org/officeDocument/2006/relationships/image" Target="media/image21.wmf" /><Relationship Id="rId46" Type="http://schemas.openxmlformats.org/officeDocument/2006/relationships/oleObject" Target="embeddings/oleObject20.bin" /><Relationship Id="rId47" Type="http://schemas.openxmlformats.org/officeDocument/2006/relationships/image" Target="media/image22.wmf" /><Relationship Id="rId48" Type="http://schemas.openxmlformats.org/officeDocument/2006/relationships/oleObject" Target="embeddings/oleObject21.bin" /><Relationship Id="rId49" Type="http://schemas.openxmlformats.org/officeDocument/2006/relationships/image" Target="media/image23.wmf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22.bin" /><Relationship Id="rId51" Type="http://schemas.openxmlformats.org/officeDocument/2006/relationships/image" Target="media/image24.wmf" /><Relationship Id="rId52" Type="http://schemas.openxmlformats.org/officeDocument/2006/relationships/oleObject" Target="embeddings/oleObject23.bin" /><Relationship Id="rId53" Type="http://schemas.openxmlformats.org/officeDocument/2006/relationships/hyperlink" Target="https://d.book118.com/338010114112006022" TargetMode="External" /><Relationship Id="rId54" Type="http://schemas.openxmlformats.org/officeDocument/2006/relationships/theme" Target="theme/theme1.xml" /><Relationship Id="rId55" Type="http://schemas.openxmlformats.org/officeDocument/2006/relationships/styles" Target="styles.xml" /><Relationship Id="rId6" Type="http://schemas.openxmlformats.org/officeDocument/2006/relationships/image" Target="media/image1.png" /><Relationship Id="rId7" Type="http://schemas.openxmlformats.org/officeDocument/2006/relationships/image" Target="media/image2.wmf" /><Relationship Id="rId8" Type="http://schemas.openxmlformats.org/officeDocument/2006/relationships/oleObject" Target="embeddings/oleObject1.bin" /><Relationship Id="rId9" Type="http://schemas.openxmlformats.org/officeDocument/2006/relationships/image" Target="media/image3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7029</Words>
  <Characters>7232</Characters>
  <Application>Microsoft Office Word</Application>
  <DocSecurity>0</DocSecurity>
  <Lines>213</Lines>
  <Paragraphs>60</Paragraphs>
  <ScaleCrop>false</ScaleCrop>
  <Company/>
  <LinksUpToDate>false</LinksUpToDate>
  <CharactersWithSpaces>7431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S1352</dc:creator>
  <cp:lastModifiedBy>S1352</cp:lastModifiedBy>
  <cp:revision>1</cp:revision>
  <dcterms:created xsi:type="dcterms:W3CDTF">2023-03-06T01:10:00Z</dcterms:created>
  <dcterms:modified xsi:type="dcterms:W3CDTF">2024-01-01T21:57:15Z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