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氢氧化铬行业相关公司设立可行性研究报告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(七)、氢氧化铬项目建设必要性分析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9" w:history="1">
        <w:r>
          <w:rPr>
            <w:rFonts w:ascii="仿宋" w:eastAsia="仿宋" w:hAnsi="仿宋" w:cs="仿宋" w:hint="eastAsia"/>
            <w:lang w:eastAsia="zh-CN"/>
          </w:rPr>
          <w:t>三、氢氧化铬项目概况</w:t>
        </w:r>
        <w:r>
          <w:tab/>
        </w:r>
        <w:r>
          <w:fldChar w:fldCharType="begin"/>
        </w:r>
        <w:r>
          <w:instrText xml:space="preserve"> PAGEREF _Toc10489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(二)、氢氧化铬项目提出的理由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(三)、氢氧化铬项目选址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(六)、氢氧化铬项目投资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(七)、氢氧化铬项目进度规划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(九)、氢氧化铬项目综合评价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_Toc22611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(一)、氢氧化铬项目选址原则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(五)、氢氧化铬项目选址综合评价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六、氢氧化铬项目风险分析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(一)、氢氧化铬项目风险分析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(二)、氢氧化铬项目风险对策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(一)、氢氧化铬项目进度安排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(二)、氢氧化铬项目实施保障措施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_Toc12223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(五)、氢氧化铬项目总投资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九、氢氧化铬项目经济效益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eastAsia="zh-CN"/>
          </w:rPr>
          <w:t>(三)、氢氧化铬项目盈利能力分析</w:t>
        </w:r>
        <w:r>
          <w:tab/>
        </w:r>
        <w:r>
          <w:fldChar w:fldCharType="begin"/>
        </w:r>
        <w:r>
          <w:instrText xml:space="preserve"> PAGEREF _Toc19780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十五、氢氧化铬项目总结分析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3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8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https://d.book118.com/338013103051006031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01310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2024-01-02T15:26:00Z</dcterms:created>
  <dcterms:modified xsi:type="dcterms:W3CDTF">2024-01-02T15:26:35Z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B9A03C56797A4C1C81D41EE599E9D426_11</vt:lpwstr>
  </property>
  <property fmtid="{D5CDD505-2E9C-101B-9397-08002B2CF9AE}" pid="3" name="KSOProductBuildVer">
    <vt:lpwstr>2052-12.1.0.16120</vt:lpwstr>
  </property>
</Properties>
</file>