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2024年桉木行业分析报告及未来五到十年行业发展趋势报告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2642" w:history="1">
        <w:r>
          <w:rPr>
            <w:rFonts w:eastAsia="微软雅黑" w:hint="eastAsia"/>
            <w:snapToGrid/>
            <w:lang w:val="en-US" w:eastAsia="en-US"/>
          </w:rPr>
          <w:t>一、关于未来5-10年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_Toc22642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93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_Toc24693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644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_Toc30644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814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_Toc28814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52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_Toc9452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297" w:history="1">
        <w:r>
          <w:rPr>
            <w:rFonts w:eastAsia="微软雅黑" w:hint="eastAsia"/>
            <w:snapToGrid/>
            <w:lang w:val="en-US" w:eastAsia="en-US"/>
          </w:rPr>
          <w:t>二、宏观经济对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_Toc23297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517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_Toc28517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80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_Toc15803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06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_Toc25064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383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_Toc29383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3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_Toc1833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85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_Toc30585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230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行业数据预测与分析</w:t>
        </w:r>
        <w:r>
          <w:tab/>
        </w:r>
        <w:r>
          <w:fldChar w:fldCharType="begin"/>
        </w:r>
        <w:r>
          <w:instrText xml:space="preserve"> PAGEREF _Toc22230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81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行业时间序列预测与分析</w:t>
        </w:r>
        <w:r>
          <w:tab/>
        </w:r>
        <w:r>
          <w:fldChar w:fldCharType="begin"/>
        </w:r>
        <w:r>
          <w:instrText xml:space="preserve"> PAGEREF _Toc15816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2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行业时间曲线预测模型分析</w:t>
        </w:r>
        <w:r>
          <w:tab/>
        </w:r>
        <w:r>
          <w:fldChar w:fldCharType="begin"/>
        </w:r>
        <w:r>
          <w:instrText xml:space="preserve"> PAGEREF _Toc30724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77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行业差分方程预测模型分析</w:t>
        </w:r>
        <w:r>
          <w:tab/>
        </w:r>
        <w:r>
          <w:fldChar w:fldCharType="begin"/>
        </w:r>
        <w:r>
          <w:instrText xml:space="preserve"> PAGEREF _Toc16775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54" w:history="1">
        <w:r>
          <w:rPr>
            <w:rFonts w:eastAsia="微软雅黑" w:hint="eastAsia"/>
            <w:snapToGrid/>
            <w:lang w:val="en-US" w:eastAsia="zh-CN"/>
          </w:rPr>
          <w:t>(四)、未来5-10年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行业预测结论</w:t>
        </w:r>
        <w:r>
          <w:tab/>
        </w:r>
        <w:r>
          <w:fldChar w:fldCharType="begin"/>
        </w:r>
        <w:r>
          <w:instrText xml:space="preserve"> PAGEREF _Toc27654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530" w:history="1">
        <w:r>
          <w:rPr>
            <w:rFonts w:eastAsia="微软雅黑" w:hint="eastAsia"/>
            <w:snapToGrid/>
            <w:lang w:val="en-US" w:eastAsia="en-US"/>
          </w:rPr>
          <w:t>五、2024-2029年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_Toc18530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14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_Toc3314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53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_Toc10953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953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_Toc25953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616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_Toc13616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99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_Toc21299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721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_Toc27721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655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_Toc13655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16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_Toc5164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4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_Toc9446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525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_Toc6525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76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_Toc31768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59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_Toc13590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85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_Toc16857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72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_Toc9672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9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_Toc1799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002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_Toc31002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7296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_Toc27296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410" w:history="1">
        <w:r>
          <w:rPr>
            <w:rFonts w:eastAsia="微软雅黑" w:hint="eastAsia"/>
            <w:snapToGrid/>
            <w:lang w:val="en-US" w:eastAsia="en-US"/>
          </w:rPr>
          <w:t>九、关于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_Toc25410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70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_Toc25707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541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_Toc26541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772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_Toc12772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25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_Toc24252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2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_Toc24424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44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_Toc2744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18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_Toc30718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1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_Toc15615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6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_Toc30767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008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_Toc22008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604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_Toc17604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085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_Toc32085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377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_Toc11377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588" w:history="1">
        <w:r>
          <w:rPr>
            <w:rFonts w:eastAsia="微软雅黑" w:hint="eastAsia"/>
            <w:snapToGrid/>
            <w:lang w:val="en-US" w:eastAsia="en-US"/>
          </w:rPr>
          <w:t>十一、2024-2029年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_Toc7588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0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_Toc29603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73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_Toc17739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4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行业市场成熟度分析</w:t>
        </w:r>
        <w:r>
          <w:tab/>
        </w:r>
        <w:r>
          <w:fldChar w:fldCharType="begin"/>
        </w:r>
        <w:r>
          <w:instrText xml:space="preserve"> PAGEREF _Toc9241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657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行业多元化趋势</w:t>
        </w:r>
        <w:r>
          <w:tab/>
        </w:r>
        <w:r>
          <w:fldChar w:fldCharType="begin"/>
        </w:r>
        <w:r>
          <w:instrText xml:space="preserve"> PAGEREF _Toc24657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95" w:history="1">
        <w:r>
          <w:rPr>
            <w:rFonts w:eastAsia="微软雅黑" w:hint="eastAsia"/>
            <w:snapToGrid/>
            <w:lang w:val="en-US" w:eastAsia="en-US"/>
          </w:rPr>
          <w:t>(一)、宏观机制升级</w:t>
        </w:r>
        <w:r>
          <w:tab/>
        </w:r>
        <w:r>
          <w:fldChar w:fldCharType="begin"/>
        </w:r>
        <w:r>
          <w:instrText xml:space="preserve"> PAGEREF _Toc26095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580" w:history="1">
        <w:r>
          <w:rPr>
            <w:rFonts w:eastAsia="微软雅黑" w:hint="eastAsia"/>
            <w:snapToGrid/>
            <w:lang w:val="en-US" w:eastAsia="zh-CN"/>
          </w:rPr>
          <w:t>(二)、服务模式多元化</w:t>
        </w:r>
        <w:r>
          <w:tab/>
        </w:r>
        <w:r>
          <w:fldChar w:fldCharType="begin"/>
        </w:r>
        <w:r>
          <w:instrText xml:space="preserve"> PAGEREF _Toc6580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690" w:history="1">
        <w:r>
          <w:rPr>
            <w:rFonts w:eastAsia="微软雅黑" w:hint="eastAsia"/>
            <w:snapToGrid/>
            <w:lang w:val="en-US" w:eastAsia="zh-CN"/>
          </w:rPr>
          <w:t>(三)、新的价格战将不可避免</w:t>
        </w:r>
        <w:r>
          <w:tab/>
        </w:r>
        <w:r>
          <w:fldChar w:fldCharType="begin"/>
        </w:r>
        <w:r>
          <w:instrText xml:space="preserve"> PAGEREF _Toc5690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44" w:history="1">
        <w:r>
          <w:rPr>
            <w:rFonts w:eastAsia="微软雅黑" w:hint="eastAsia"/>
            <w:snapToGrid/>
            <w:lang w:val="en-US" w:eastAsia="zh-CN"/>
          </w:rPr>
          <w:t>(四)、社会化特征增强</w:t>
        </w:r>
        <w:r>
          <w:tab/>
        </w:r>
        <w:r>
          <w:fldChar w:fldCharType="begin"/>
        </w:r>
        <w:r>
          <w:instrText xml:space="preserve"> PAGEREF _Toc26644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150" w:history="1">
        <w:r>
          <w:rPr>
            <w:rFonts w:eastAsia="微软雅黑" w:hint="eastAsia"/>
            <w:snapToGrid/>
            <w:lang w:val="en-US" w:eastAsia="zh-CN"/>
          </w:rPr>
          <w:t>(五)、信息化实施力度加大</w:t>
        </w:r>
        <w:r>
          <w:tab/>
        </w:r>
        <w:r>
          <w:fldChar w:fldCharType="begin"/>
        </w:r>
        <w:r>
          <w:instrText xml:space="preserve"> PAGEREF _Toc12150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481" w:history="1">
        <w:r>
          <w:rPr>
            <w:rFonts w:eastAsia="微软雅黑" w:hint="eastAsia"/>
            <w:snapToGrid/>
            <w:lang w:val="en-US" w:eastAsia="zh-CN"/>
          </w:rPr>
          <w:t>(六)、生态化建设进一步开放</w:t>
        </w:r>
        <w:r>
          <w:tab/>
        </w:r>
        <w:r>
          <w:fldChar w:fldCharType="begin"/>
        </w:r>
        <w:r>
          <w:instrText xml:space="preserve"> PAGEREF _Toc10481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02" w:history="1">
        <w:r>
          <w:rPr>
            <w:rFonts w:eastAsia="微软雅黑" w:hint="eastAsia"/>
            <w:snapToGrid/>
            <w:lang w:val="en-US" w:eastAsia="zh-CN"/>
          </w:rPr>
          <w:t>(七)、呈现集群化分布</w:t>
        </w:r>
        <w:r>
          <w:tab/>
        </w:r>
        <w:r>
          <w:fldChar w:fldCharType="begin"/>
        </w:r>
        <w:r>
          <w:instrText xml:space="preserve"> PAGEREF _Toc31302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66" w:history="1">
        <w:r>
          <w:rPr>
            <w:rFonts w:eastAsia="微软雅黑" w:hint="eastAsia"/>
            <w:snapToGrid/>
            <w:lang w:val="en-US" w:eastAsia="zh-CN"/>
          </w:rPr>
          <w:t>(八)、各信息化厂商推动</w:t>
        </w:r>
        <w:r>
          <w:rPr>
            <w:rFonts w:eastAsia="微软雅黑" w:hint="eastAsia"/>
            <w:snapToGrid/>
            <w:lang w:val="en-US" w:eastAsia="zh-CN"/>
          </w:rPr>
          <w:t>桉木</w:t>
        </w:r>
        <w:r>
          <w:rPr>
            <w:rFonts w:eastAsia="微软雅黑" w:hint="eastAsia"/>
            <w:snapToGrid/>
            <w:lang w:val="en-US" w:eastAsia="zh-CN"/>
          </w:rPr>
          <w:t>行业发展</w:t>
        </w:r>
        <w:r>
          <w:tab/>
        </w:r>
        <w:r>
          <w:fldChar w:fldCharType="begin"/>
        </w:r>
        <w:r>
          <w:instrText xml:space="preserve"> PAGEREF _Toc1766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19" w:history="1">
        <w:r>
          <w:rPr>
            <w:rFonts w:eastAsia="微软雅黑" w:hint="eastAsia"/>
            <w:snapToGrid/>
            <w:lang w:val="en-US" w:eastAsia="zh-CN"/>
          </w:rPr>
          <w:t>(九)、政府采购政策加码</w:t>
        </w:r>
        <w:r>
          <w:tab/>
        </w:r>
        <w:r>
          <w:fldChar w:fldCharType="begin"/>
        </w:r>
        <w:r>
          <w:instrText xml:space="preserve"> PAGEREF _Toc29019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72" w:history="1">
        <w:r>
          <w:rPr>
            <w:rFonts w:eastAsia="微软雅黑" w:hint="eastAsia"/>
            <w:snapToGrid/>
            <w:lang w:val="en-US" w:eastAsia="zh-CN"/>
          </w:rPr>
          <w:t>(十)、个性化定制受宠</w:t>
        </w:r>
        <w:r>
          <w:tab/>
        </w:r>
        <w:r>
          <w:fldChar w:fldCharType="begin"/>
        </w:r>
        <w:r>
          <w:instrText xml:space="preserve"> PAGEREF _Toc2672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914" w:history="1">
        <w:r>
          <w:rPr>
            <w:rFonts w:eastAsia="微软雅黑" w:hint="eastAsia"/>
            <w:snapToGrid/>
            <w:lang w:val="en-US" w:eastAsia="zh-CN"/>
          </w:rPr>
          <w:t>(十一)、品牌不断强化</w:t>
        </w:r>
        <w:r>
          <w:tab/>
        </w:r>
        <w:r>
          <w:fldChar w:fldCharType="begin"/>
        </w:r>
        <w:r>
          <w:instrText xml:space="preserve"> PAGEREF _Toc22914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260" w:history="1">
        <w:r>
          <w:rPr>
            <w:rFonts w:eastAsia="微软雅黑" w:hint="eastAsia"/>
            <w:snapToGrid/>
            <w:lang w:val="en-US" w:eastAsia="zh-CN"/>
          </w:rPr>
          <w:t>(十二)、互联网已经成为标配“风生水起“</w:t>
        </w:r>
        <w:r>
          <w:tab/>
        </w:r>
        <w:r>
          <w:fldChar w:fldCharType="begin"/>
        </w:r>
        <w:r>
          <w:instrText xml:space="preserve"> PAGEREF _Toc29260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06" w:history="1">
        <w:r>
          <w:rPr>
            <w:rFonts w:eastAsia="微软雅黑" w:hint="eastAsia"/>
            <w:snapToGrid/>
            <w:lang w:val="en-US" w:eastAsia="zh-CN"/>
          </w:rPr>
          <w:t>(十三)、一体式服务为发展趋势</w:t>
        </w:r>
        <w:r>
          <w:tab/>
        </w:r>
        <w:r>
          <w:fldChar w:fldCharType="begin"/>
        </w:r>
        <w:r>
          <w:instrText xml:space="preserve"> PAGEREF _Toc22306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003" w:history="1">
        <w:r>
          <w:rPr>
            <w:rFonts w:eastAsia="微软雅黑" w:hint="eastAsia"/>
            <w:snapToGrid/>
            <w:lang w:val="en-US" w:eastAsia="zh-CN"/>
          </w:rPr>
          <w:t>(十四)、政策手段的奖惩力度加大</w:t>
        </w:r>
        <w:r>
          <w:tab/>
        </w:r>
        <w:r>
          <w:fldChar w:fldCharType="begin"/>
        </w:r>
        <w:r>
          <w:instrText xml:space="preserve"> PAGEREF _Toc6003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686" w:history="1">
        <w:r>
          <w:rPr>
            <w:rFonts w:eastAsia="微软雅黑" w:hint="eastAsia"/>
            <w:snapToGrid/>
            <w:lang w:val="en-US" w:eastAsia="en-US"/>
          </w:rPr>
          <w:t>十三、</w:t>
        </w:r>
        <w:r>
          <w:rPr>
            <w:rFonts w:eastAsia="微软雅黑" w:hint="eastAsia"/>
            <w:snapToGrid/>
            <w:lang w:val="en-US" w:eastAsia="en-US"/>
          </w:rPr>
          <w:t>桉木</w:t>
        </w:r>
        <w:r>
          <w:rPr>
            <w:rFonts w:eastAsia="微软雅黑" w:hint="eastAsia"/>
            <w:snapToGrid/>
            <w:lang w:val="en-US" w:eastAsia="en-US"/>
          </w:rPr>
          <w:t>行业企业战略目标</w:t>
        </w:r>
        <w:r>
          <w:tab/>
        </w:r>
        <w:r>
          <w:fldChar w:fldCharType="begin"/>
        </w:r>
        <w:r>
          <w:instrText xml:space="preserve"> PAGEREF _Toc21686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  <w:r>
        <w:fldChar w:fldCharType="end"/>
      </w:r>
      <w:r>
        <w:rPr>
          <w:rFonts w:ascii="微软雅黑" w:eastAsia="微软雅黑" w:hAnsi="微软雅黑" w:cs="微软雅黑"/>
          <w:b w:val="0"/>
        </w:rPr>
        <w:br/>
      </w:r>
      <w:r>
        <w:rPr>
          <w:rFonts w:ascii="微软雅黑" w:eastAsia="微软雅黑" w:hAnsi="微软雅黑" w:cs="微软雅黑"/>
          <w:b w:val="0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https://d.book118.com/338024103064006023</w:t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33802410306400602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