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55" w:lineRule="auto"/>
        <w:rPr>
          <w:rFonts w:ascii="Arial"/>
          <w:sz w:val="21"/>
        </w:rPr>
      </w:pPr>
    </w:p>
    <w:p>
      <w:pPr>
        <w:spacing w:before="98" w:line="222" w:lineRule="auto"/>
        <w:ind w:left="3044"/>
        <w:outlineLvl w:val="0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spacing w:val="6"/>
          <w:sz w:val="30"/>
          <w:szCs w:val="30"/>
        </w:rPr>
        <w:t>光照度计型式评价大纲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75" w:line="223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2"/>
          <w:sz w:val="23"/>
          <w:szCs w:val="23"/>
        </w:rPr>
        <w:t>1</w:t>
      </w:r>
      <w:r>
        <w:rPr>
          <w:rFonts w:ascii="SimHei" w:eastAsia="SimHei" w:hAnsi="SimHei" w:cs="SimHei"/>
          <w:spacing w:val="101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3"/>
          <w:szCs w:val="23"/>
        </w:rPr>
        <w:t>范围</w:t>
      </w:r>
    </w:p>
    <w:p>
      <w:pPr>
        <w:pStyle w:val="BodyText"/>
        <w:spacing w:before="272" w:line="218" w:lineRule="auto"/>
        <w:ind w:left="490"/>
      </w:pPr>
      <w:r>
        <w:rPr>
          <w:spacing w:val="18"/>
        </w:rPr>
        <w:t>本规范适用于光照度计(以下简称照度计)的型式评价。</w:t>
      </w:r>
    </w:p>
    <w:p>
      <w:pPr>
        <w:spacing w:before="265" w:line="222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3"/>
          <w:sz w:val="23"/>
          <w:szCs w:val="23"/>
        </w:rPr>
        <w:t>2</w:t>
      </w:r>
      <w:r>
        <w:rPr>
          <w:rFonts w:ascii="SimHei" w:eastAsia="SimHei" w:hAnsi="SimHei" w:cs="SimHei"/>
          <w:spacing w:val="6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-3"/>
          <w:sz w:val="23"/>
          <w:szCs w:val="23"/>
        </w:rPr>
        <w:t>引用文件</w:t>
      </w:r>
    </w:p>
    <w:p>
      <w:pPr>
        <w:pStyle w:val="BodyText"/>
        <w:spacing w:before="276" w:line="218" w:lineRule="auto"/>
        <w:ind w:left="490"/>
      </w:pPr>
      <w:r>
        <w:t>JJG</w:t>
      </w:r>
      <w:r>
        <w:rPr>
          <w:spacing w:val="2"/>
        </w:rPr>
        <w:t xml:space="preserve"> 245—2005</w:t>
      </w:r>
      <w:r>
        <w:rPr>
          <w:spacing w:val="23"/>
        </w:rPr>
        <w:t xml:space="preserve">  </w:t>
      </w:r>
      <w:r>
        <w:rPr>
          <w:spacing w:val="2"/>
        </w:rPr>
        <w:t>光照度计</w:t>
      </w:r>
    </w:p>
    <w:p>
      <w:pPr>
        <w:pStyle w:val="BodyText"/>
        <w:spacing w:before="98" w:line="218" w:lineRule="auto"/>
        <w:ind w:left="490"/>
      </w:pPr>
      <w:r>
        <w:t>JJF</w:t>
      </w:r>
      <w:r>
        <w:rPr>
          <w:spacing w:val="6"/>
        </w:rPr>
        <w:t xml:space="preserve"> 1032—2005  光学辐射计量名词术语及定义</w:t>
      </w:r>
    </w:p>
    <w:p>
      <w:pPr>
        <w:pStyle w:val="BodyText"/>
        <w:spacing w:before="88" w:line="362" w:lineRule="exact"/>
        <w:ind w:left="490"/>
      </w:pPr>
      <w:r>
        <w:rPr>
          <w:position w:val="9"/>
        </w:rPr>
        <w:t>JJF</w:t>
      </w:r>
      <w:r>
        <w:rPr>
          <w:spacing w:val="7"/>
          <w:position w:val="9"/>
        </w:rPr>
        <w:t xml:space="preserve"> 1150—2006  光电探测器相对光谱响应度校准规范</w:t>
      </w:r>
    </w:p>
    <w:p>
      <w:pPr>
        <w:pStyle w:val="BodyText"/>
        <w:spacing w:line="219" w:lineRule="auto"/>
        <w:ind w:left="490"/>
      </w:pPr>
      <w:r>
        <w:t>GB</w:t>
      </w:r>
      <w:r>
        <w:rPr>
          <w:spacing w:val="6"/>
        </w:rPr>
        <w:t>/T11606</w:t>
      </w:r>
      <w:r>
        <w:rPr>
          <w:spacing w:val="5"/>
        </w:rPr>
        <w:t xml:space="preserve">    </w:t>
      </w:r>
      <w:r>
        <w:rPr>
          <w:spacing w:val="6"/>
        </w:rPr>
        <w:t>分析仪器环境试验方法</w:t>
      </w:r>
    </w:p>
    <w:p>
      <w:pPr>
        <w:pStyle w:val="BodyText"/>
        <w:spacing w:before="97" w:line="264" w:lineRule="auto"/>
        <w:ind w:firstLine="490"/>
      </w:pPr>
      <w:r>
        <w:t>GB</w:t>
      </w:r>
      <w:r>
        <w:rPr>
          <w:spacing w:val="10"/>
        </w:rPr>
        <w:t>/T12085.2—2010    光学和光学仪器  环境试验方法  第2部分：低温、高温、</w:t>
      </w:r>
      <w:r>
        <w:rPr>
          <w:spacing w:val="4"/>
        </w:rPr>
        <w:t xml:space="preserve"> </w:t>
      </w:r>
      <w:r>
        <w:rPr>
          <w:spacing w:val="6"/>
        </w:rPr>
        <w:t>湿热</w:t>
      </w:r>
    </w:p>
    <w:p>
      <w:pPr>
        <w:pStyle w:val="BodyText"/>
        <w:spacing w:before="61" w:line="258" w:lineRule="auto"/>
        <w:ind w:right="102" w:firstLine="490"/>
      </w:pPr>
      <w:r>
        <w:rPr>
          <w:spacing w:val="17"/>
        </w:rPr>
        <w:t>凡是注日期的引用文件，仅注日期的版本适用于本规范；凡是不注日期</w:t>
      </w:r>
      <w:r>
        <w:rPr>
          <w:spacing w:val="16"/>
        </w:rPr>
        <w:t>的引用文</w:t>
      </w:r>
      <w:r>
        <w:t xml:space="preserve"> </w:t>
      </w:r>
      <w:r>
        <w:rPr>
          <w:spacing w:val="18"/>
        </w:rPr>
        <w:t>件，其最新版本(包括所有的修改单)适用于本规范。</w:t>
      </w:r>
    </w:p>
    <w:p>
      <w:pPr>
        <w:spacing w:before="266" w:line="222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7"/>
          <w:sz w:val="23"/>
          <w:szCs w:val="23"/>
        </w:rPr>
        <w:t>3</w:t>
      </w:r>
      <w:r>
        <w:rPr>
          <w:rFonts w:ascii="SimHei" w:eastAsia="SimHei" w:hAnsi="SimHei" w:cs="SimHei"/>
          <w:spacing w:val="16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23"/>
          <w:szCs w:val="23"/>
        </w:rPr>
        <w:t>术语</w:t>
      </w:r>
    </w:p>
    <w:p>
      <w:pPr>
        <w:pStyle w:val="BodyText"/>
        <w:spacing w:before="250" w:line="212" w:lineRule="auto"/>
        <w:rPr>
          <w:rFonts w:ascii="Times New Roman" w:eastAsia="Times New Roman" w:hAnsi="Times New Roman" w:cs="Times New Roman"/>
        </w:rPr>
      </w:pPr>
      <w:r>
        <w:t xml:space="preserve">3.1  </w:t>
      </w:r>
      <w:r>
        <w:rPr>
          <w:rFonts w:ascii="Times New Roman" w:eastAsia="Times New Roman" w:hAnsi="Times New Roman" w:cs="Times New Roman"/>
        </w:rPr>
        <w:t>V(λ)</w:t>
      </w:r>
      <w:r>
        <w:rPr>
          <w:rFonts w:ascii="Times New Roman" w:eastAsia="Times New Roman" w:hAnsi="Times New Roman" w:cs="Times New Roman"/>
          <w:spacing w:val="19"/>
        </w:rPr>
        <w:t xml:space="preserve">  </w:t>
      </w:r>
      <w:r>
        <w:t xml:space="preserve">匹配误差  </w:t>
      </w:r>
      <w:r>
        <w:rPr>
          <w:rFonts w:ascii="Times New Roman" w:eastAsia="Times New Roman" w:hAnsi="Times New Roman" w:cs="Times New Roman"/>
        </w:rPr>
        <w:t>V(a)matching</w:t>
      </w:r>
      <w:r>
        <w:rPr>
          <w:rFonts w:ascii="Times New Roman" w:eastAsia="Times New Roman" w:hAnsi="Times New Roman" w:cs="Times New Roman"/>
          <w:spacing w:val="7"/>
        </w:rPr>
        <w:t xml:space="preserve">      </w:t>
      </w:r>
      <w:r>
        <w:rPr>
          <w:rFonts w:ascii="Times New Roman" w:eastAsia="Times New Roman" w:hAnsi="Times New Roman" w:cs="Times New Roman"/>
        </w:rPr>
        <w:t>error</w:t>
      </w:r>
    </w:p>
    <w:p>
      <w:pPr>
        <w:pStyle w:val="BodyText"/>
        <w:spacing w:before="107" w:line="267" w:lineRule="auto"/>
        <w:ind w:right="67" w:firstLine="490"/>
        <w:jc w:val="both"/>
      </w:pPr>
      <w:r>
        <w:rPr>
          <w:spacing w:val="13"/>
        </w:rPr>
        <w:t>理论上照度计的相对光谱响应完全符合视见函数V(λ), 而实际的光辐射探测器的</w:t>
      </w:r>
      <w:r>
        <w:rPr>
          <w:spacing w:val="17"/>
        </w:rPr>
        <w:t xml:space="preserve"> </w:t>
      </w:r>
      <w:r>
        <w:rPr>
          <w:spacing w:val="10"/>
        </w:rPr>
        <w:t>光谱响应度均与之相差甚远，必须通过矫正滤光片组来加以修正匹配。匹配后照度计探</w:t>
      </w:r>
      <w:r>
        <w:rPr>
          <w:spacing w:val="7"/>
        </w:rPr>
        <w:t xml:space="preserve"> </w:t>
      </w:r>
      <w:r>
        <w:rPr>
          <w:spacing w:val="8"/>
        </w:rPr>
        <w:t>测器的相对光谱响应与视见函数的偏离即为V(λ)匹配误差。</w:t>
      </w:r>
    </w:p>
    <w:p>
      <w:pPr>
        <w:pStyle w:val="BodyText"/>
        <w:spacing w:before="127" w:line="219" w:lineRule="auto"/>
        <w:rPr>
          <w:rFonts w:ascii="Times New Roman" w:eastAsia="Times New Roman" w:hAnsi="Times New Roman" w:cs="Times New Roman"/>
        </w:rPr>
      </w:pPr>
      <w:r>
        <w:rPr>
          <w:spacing w:val="3"/>
        </w:rPr>
        <w:t xml:space="preserve">3.2  余弦特性误差  </w:t>
      </w:r>
      <w:r>
        <w:rPr>
          <w:rFonts w:ascii="Times New Roman" w:eastAsia="Times New Roman" w:hAnsi="Times New Roman" w:cs="Times New Roman"/>
        </w:rPr>
        <w:t>cosine</w:t>
      </w:r>
      <w:r>
        <w:rPr>
          <w:rFonts w:ascii="Times New Roman" w:eastAsia="Times New Roman" w:hAnsi="Times New Roman" w:cs="Times New Roman"/>
          <w:spacing w:val="3"/>
        </w:rPr>
        <w:t xml:space="preserve">    </w:t>
      </w:r>
      <w:r>
        <w:rPr>
          <w:rFonts w:ascii="Times New Roman" w:eastAsia="Times New Roman" w:hAnsi="Times New Roman" w:cs="Times New Roman"/>
        </w:rPr>
        <w:t>characteristic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</w:rPr>
        <w:t>error</w:t>
      </w:r>
    </w:p>
    <w:p>
      <w:pPr>
        <w:pStyle w:val="BodyText"/>
        <w:spacing w:before="67" w:line="271" w:lineRule="auto"/>
        <w:ind w:right="105" w:firstLine="490"/>
        <w:jc w:val="both"/>
      </w:pPr>
      <w:r>
        <w:rPr>
          <w:spacing w:val="10"/>
        </w:rPr>
        <w:t>余弦法则表明：当光束以一定角度照射到照度计探测器光敏面时，其照度值读</w:t>
      </w:r>
      <w:r>
        <w:rPr>
          <w:spacing w:val="9"/>
        </w:rPr>
        <w:t>数应</w:t>
      </w:r>
      <w:r>
        <w:t xml:space="preserve"> </w:t>
      </w:r>
      <w:r>
        <w:rPr>
          <w:spacing w:val="17"/>
        </w:rPr>
        <w:t>为该光束正入射时的读数与该入射角的余弦之积。实际照</w:t>
      </w:r>
      <w:r>
        <w:rPr>
          <w:spacing w:val="16"/>
        </w:rPr>
        <w:t>度计不可能完全符合余弦法</w:t>
      </w:r>
      <w:r>
        <w:t xml:space="preserve"> </w:t>
      </w:r>
      <w:r>
        <w:rPr>
          <w:spacing w:val="7"/>
        </w:rPr>
        <w:t>则，它与余弦法则的偏离即为余弦特性误差。</w:t>
      </w:r>
    </w:p>
    <w:p>
      <w:pPr>
        <w:pStyle w:val="BodyText"/>
        <w:spacing w:before="61" w:line="212" w:lineRule="auto"/>
        <w:rPr>
          <w:rFonts w:ascii="Times New Roman" w:eastAsia="Times New Roman" w:hAnsi="Times New Roman" w:cs="Times New Roman"/>
        </w:rPr>
      </w:pPr>
      <w:r>
        <w:rPr>
          <w:spacing w:val="2"/>
        </w:rPr>
        <w:t xml:space="preserve">3.3  疲劳特性误差  </w:t>
      </w:r>
      <w:r>
        <w:rPr>
          <w:rFonts w:ascii="Times New Roman" w:eastAsia="Times New Roman" w:hAnsi="Times New Roman" w:cs="Times New Roman"/>
        </w:rPr>
        <w:t>fatigue</w:t>
      </w:r>
      <w:r>
        <w:rPr>
          <w:rFonts w:ascii="Times New Roman" w:eastAsia="Times New Roman" w:hAnsi="Times New Roman" w:cs="Times New Roman"/>
          <w:spacing w:val="2"/>
        </w:rPr>
        <w:t xml:space="preserve">    </w:t>
      </w:r>
      <w:r>
        <w:rPr>
          <w:rFonts w:ascii="Times New Roman" w:eastAsia="Times New Roman" w:hAnsi="Times New Roman" w:cs="Times New Roman"/>
        </w:rPr>
        <w:t>characteristic</w:t>
      </w:r>
      <w:r>
        <w:rPr>
          <w:rFonts w:ascii="Times New Roman" w:eastAsia="Times New Roman" w:hAnsi="Times New Roman" w:cs="Times New Roman"/>
          <w:spacing w:val="2"/>
        </w:rPr>
        <w:t xml:space="preserve">    </w:t>
      </w:r>
      <w:r>
        <w:rPr>
          <w:rFonts w:ascii="Times New Roman" w:eastAsia="Times New Roman" w:hAnsi="Times New Roman" w:cs="Times New Roman"/>
        </w:rPr>
        <w:t>error</w:t>
      </w:r>
    </w:p>
    <w:p>
      <w:pPr>
        <w:pStyle w:val="BodyText"/>
        <w:spacing w:before="102" w:line="262" w:lineRule="auto"/>
        <w:ind w:right="96" w:firstLine="490"/>
      </w:pPr>
      <w:r>
        <w:rPr>
          <w:spacing w:val="10"/>
        </w:rPr>
        <w:t>疲劳特性指照度计光探测器光敏面接收到较强光辐射时，探测器响应会逐步下降的</w:t>
      </w:r>
      <w:r>
        <w:rPr>
          <w:spacing w:val="7"/>
        </w:rPr>
        <w:t xml:space="preserve"> </w:t>
      </w:r>
      <w:r>
        <w:rPr>
          <w:spacing w:val="7"/>
        </w:rPr>
        <w:t>现象。其产生的误差称为疲劳特性误差。</w:t>
      </w:r>
    </w:p>
    <w:p>
      <w:pPr>
        <w:spacing w:before="252" w:line="221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5"/>
          <w:sz w:val="23"/>
          <w:szCs w:val="23"/>
        </w:rPr>
        <w:t>4</w:t>
      </w:r>
      <w:r>
        <w:rPr>
          <w:rFonts w:ascii="SimHei" w:eastAsia="SimHei" w:hAnsi="SimHei" w:cs="SimHei"/>
          <w:spacing w:val="4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3"/>
          <w:szCs w:val="23"/>
        </w:rPr>
        <w:t>概述</w:t>
      </w:r>
    </w:p>
    <w:p>
      <w:pPr>
        <w:pStyle w:val="BodyText"/>
        <w:spacing w:before="288" w:line="272" w:lineRule="auto"/>
        <w:ind w:right="104" w:firstLine="490"/>
        <w:jc w:val="both"/>
        <w:sectPr>
          <w:headerReference w:type="default" r:id="rId4"/>
          <w:footerReference w:type="default" r:id="rId5"/>
          <w:pgSz w:w="11900" w:h="16840"/>
          <w:pgMar w:top="1750" w:right="1214" w:bottom="1045" w:left="1450" w:header="1433" w:footer="896" w:gutter="0"/>
          <w:cols w:space="708"/>
        </w:sectPr>
      </w:pPr>
      <w:r>
        <w:rPr>
          <w:spacing w:val="16"/>
        </w:rPr>
        <w:t>照度计是测量光照度的计量器具，它由光度头[包括余弦修正器、V(λ)修</w:t>
      </w:r>
      <w:r>
        <w:rPr>
          <w:spacing w:val="15"/>
        </w:rPr>
        <w:t>正滤光</w:t>
      </w:r>
      <w:r>
        <w:t xml:space="preserve"> </w:t>
      </w:r>
      <w:r>
        <w:rPr>
          <w:spacing w:val="19"/>
        </w:rPr>
        <w:t>器、光电接收器]和显示器(数字式或指针式)两部分组成。当光电接收器接收到通过</w:t>
      </w:r>
      <w:r>
        <w:rPr>
          <w:spacing w:val="10"/>
        </w:rPr>
        <w:t xml:space="preserve"> </w:t>
      </w:r>
    </w:p>
    <w:p>
      <w:pPr>
        <w:pStyle w:val="BodyText"/>
        <w:spacing w:before="288" w:line="272" w:lineRule="auto"/>
        <w:ind w:right="104" w:firstLine="490"/>
        <w:jc w:val="both"/>
      </w:pPr>
      <w:r>
        <w:rPr>
          <w:spacing w:val="13"/>
        </w:rPr>
        <w:t>余弦修正器和</w:t>
      </w:r>
      <w:r>
        <w:rPr>
          <w:rFonts w:ascii="Times New Roman" w:eastAsia="Times New Roman" w:hAnsi="Times New Roman" w:cs="Times New Roman"/>
          <w:spacing w:val="13"/>
        </w:rPr>
        <w:t xml:space="preserve">V(λ)  </w:t>
      </w:r>
      <w:r>
        <w:rPr>
          <w:spacing w:val="13"/>
        </w:rPr>
        <w:t>滤光器的光辐射时，所产生的光电信号，经信号处理，在显示器上</w:t>
      </w:r>
      <w:r>
        <w:t xml:space="preserve"> </w:t>
      </w:r>
      <w:r>
        <w:rPr>
          <w:spacing w:val="4"/>
        </w:rPr>
        <w:t>显示出相应的光照度值。</w:t>
      </w:r>
    </w:p>
    <w:p>
      <w:pPr>
        <w:spacing w:line="272" w:lineRule="auto"/>
        <w:sectPr>
          <w:headerReference w:type="default" r:id="rId6"/>
          <w:footerReference w:type="default" r:id="rId7"/>
          <w:type w:val="nextPage"/>
          <w:pgSz w:w="11900" w:h="16840"/>
          <w:pgMar w:top="1750" w:right="1214" w:bottom="1045" w:left="1450" w:header="1433" w:footer="896" w:gutter="0"/>
          <w:pgNumType w:start="2"/>
          <w:cols w:space="708"/>
          <w:titlePg w:val="0"/>
        </w:sectPr>
      </w:pPr>
    </w:p>
    <w:p>
      <w:pPr>
        <w:spacing w:before="223" w:line="221" w:lineRule="auto"/>
        <w:ind w:left="397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1"/>
          <w:sz w:val="20"/>
          <w:szCs w:val="20"/>
        </w:rPr>
        <w:t>关键零部件表</w:t>
      </w:r>
    </w:p>
    <w:p>
      <w:pPr>
        <w:spacing w:line="101" w:lineRule="exact"/>
      </w:pPr>
    </w:p>
    <w:tbl>
      <w:tblPr>
        <w:tblStyle w:val="TableNormal0"/>
        <w:tblW w:w="9120" w:type="dxa"/>
        <w:tblInd w:w="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44"/>
        <w:gridCol w:w="2088"/>
        <w:gridCol w:w="4195"/>
        <w:gridCol w:w="1793"/>
      </w:tblGrid>
      <w:tr>
        <w:tblPrEx>
          <w:tblW w:w="9120" w:type="dxa"/>
          <w:tblInd w:w="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52"/>
        </w:trPr>
        <w:tc>
          <w:tcPr>
            <w:tcW w:w="1044" w:type="dxa"/>
            <w:vAlign w:val="top"/>
          </w:tcPr>
          <w:p>
            <w:pPr>
              <w:pStyle w:val="TableText"/>
              <w:spacing w:before="74" w:line="221" w:lineRule="auto"/>
              <w:ind w:left="304"/>
            </w:pPr>
            <w:r>
              <w:rPr>
                <w:spacing w:val="6"/>
              </w:rPr>
              <w:t>序号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spacing w:before="76" w:line="221" w:lineRule="auto"/>
              <w:ind w:left="821"/>
            </w:pPr>
            <w:r>
              <w:rPr>
                <w:spacing w:val="5"/>
              </w:rPr>
              <w:t>名称</w:t>
            </w:r>
          </w:p>
        </w:tc>
        <w:tc>
          <w:tcPr>
            <w:tcW w:w="4195" w:type="dxa"/>
            <w:vAlign w:val="top"/>
          </w:tcPr>
          <w:p>
            <w:pPr>
              <w:pStyle w:val="TableText"/>
              <w:spacing w:before="74" w:line="220" w:lineRule="auto"/>
              <w:ind w:left="1463"/>
            </w:pPr>
            <w:r>
              <w:rPr>
                <w:spacing w:val="-2"/>
              </w:rPr>
              <w:t>主要性能指标</w:t>
            </w:r>
          </w:p>
        </w:tc>
        <w:tc>
          <w:tcPr>
            <w:tcW w:w="1793" w:type="dxa"/>
            <w:vAlign w:val="top"/>
          </w:tcPr>
          <w:p>
            <w:pPr>
              <w:pStyle w:val="TableText"/>
              <w:spacing w:before="74" w:line="221" w:lineRule="auto"/>
              <w:ind w:left="658"/>
            </w:pPr>
            <w:r>
              <w:rPr>
                <w:spacing w:val="5"/>
              </w:rPr>
              <w:t>备注</w:t>
            </w:r>
          </w:p>
        </w:tc>
      </w:tr>
      <w:tr>
        <w:tblPrEx>
          <w:tblW w:w="9120" w:type="dxa"/>
          <w:tblInd w:w="19" w:type="dxa"/>
          <w:tblLayout w:type="fixed"/>
        </w:tblPrEx>
        <w:trPr>
          <w:trHeight w:val="356"/>
        </w:trPr>
        <w:tc>
          <w:tcPr>
            <w:tcW w:w="1044" w:type="dxa"/>
            <w:vAlign w:val="top"/>
          </w:tcPr>
          <w:p>
            <w:pPr>
              <w:pStyle w:val="TableText"/>
              <w:spacing w:before="134" w:line="184" w:lineRule="auto"/>
              <w:ind w:left="455"/>
            </w:pPr>
            <w:r>
              <w:t>1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spacing w:before="81" w:line="219" w:lineRule="auto"/>
              <w:ind w:left="511"/>
            </w:pPr>
            <w:r>
              <w:rPr>
                <w:spacing w:val="-2"/>
              </w:rPr>
              <w:t>光电接收器</w:t>
            </w:r>
          </w:p>
        </w:tc>
        <w:tc>
          <w:tcPr>
            <w:tcW w:w="4195" w:type="dxa"/>
            <w:vAlign w:val="top"/>
          </w:tcPr>
          <w:p>
            <w:pPr>
              <w:pStyle w:val="TableText"/>
              <w:spacing w:before="81" w:line="219" w:lineRule="auto"/>
              <w:ind w:left="673"/>
            </w:pPr>
            <w:r>
              <w:rPr>
                <w:spacing w:val="-1"/>
              </w:rPr>
              <w:t>光谱响应度：300 nm～1100 nm</w:t>
            </w:r>
          </w:p>
        </w:tc>
        <w:tc>
          <w:tcPr>
            <w:tcW w:w="17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20" w:type="dxa"/>
          <w:tblInd w:w="19" w:type="dxa"/>
          <w:tblLayout w:type="fixed"/>
        </w:tblPrEx>
        <w:trPr>
          <w:trHeight w:val="361"/>
        </w:trPr>
        <w:tc>
          <w:tcPr>
            <w:tcW w:w="1044" w:type="dxa"/>
            <w:vAlign w:val="top"/>
          </w:tcPr>
          <w:p>
            <w:pPr>
              <w:pStyle w:val="TableText"/>
              <w:spacing w:before="139" w:line="183" w:lineRule="auto"/>
              <w:ind w:left="455"/>
            </w:pPr>
            <w:r>
              <w:t>2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spacing w:before="85" w:line="219" w:lineRule="auto"/>
              <w:ind w:left="450"/>
            </w:pPr>
            <w:r>
              <w:rPr>
                <w:spacing w:val="-1"/>
              </w:rPr>
              <w:t>V(λ)滤光器</w:t>
            </w:r>
          </w:p>
        </w:tc>
        <w:tc>
          <w:tcPr>
            <w:tcW w:w="4195" w:type="dxa"/>
            <w:vAlign w:val="top"/>
          </w:tcPr>
          <w:p>
            <w:pPr>
              <w:pStyle w:val="TableText"/>
              <w:spacing w:before="86" w:line="220" w:lineRule="auto"/>
              <w:ind w:left="1042"/>
            </w:pPr>
            <w:r>
              <w:rPr>
                <w:spacing w:val="-1"/>
              </w:rPr>
              <w:t>波长：380 nm～780 nm</w:t>
            </w:r>
          </w:p>
        </w:tc>
        <w:tc>
          <w:tcPr>
            <w:tcW w:w="17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440" w:lineRule="auto"/>
        <w:rPr>
          <w:rFonts w:ascii="Arial"/>
          <w:sz w:val="21"/>
        </w:rPr>
      </w:pPr>
    </w:p>
    <w:p>
      <w:pPr>
        <w:spacing w:before="78" w:line="222" w:lineRule="auto"/>
        <w:ind w:left="3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8"/>
          <w:sz w:val="24"/>
          <w:szCs w:val="24"/>
        </w:rPr>
        <w:t>5</w:t>
      </w:r>
      <w:r>
        <w:rPr>
          <w:rFonts w:ascii="SimHei" w:eastAsia="SimHei" w:hAnsi="SimHei" w:cs="SimHei"/>
          <w:spacing w:val="109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4"/>
          <w:szCs w:val="24"/>
        </w:rPr>
        <w:t>法制管理要求</w:t>
      </w:r>
    </w:p>
    <w:p>
      <w:pPr>
        <w:pStyle w:val="BodyText"/>
        <w:spacing w:before="255" w:line="220" w:lineRule="auto"/>
        <w:ind w:left="29"/>
        <w:rPr>
          <w:sz w:val="24"/>
          <w:szCs w:val="24"/>
        </w:rPr>
      </w:pPr>
      <w:r>
        <w:rPr>
          <w:spacing w:val="-3"/>
          <w:sz w:val="24"/>
          <w:szCs w:val="24"/>
        </w:rPr>
        <w:t>5.1</w:t>
      </w:r>
      <w:r>
        <w:rPr>
          <w:spacing w:val="98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计量单位要求</w:t>
      </w:r>
    </w:p>
    <w:p>
      <w:pPr>
        <w:pStyle w:val="BodyText"/>
        <w:spacing w:before="82" w:line="219" w:lineRule="auto"/>
        <w:ind w:left="480"/>
        <w:rPr>
          <w:sz w:val="24"/>
          <w:szCs w:val="24"/>
        </w:rPr>
      </w:pPr>
      <w:r>
        <w:rPr>
          <w:spacing w:val="-6"/>
          <w:sz w:val="24"/>
          <w:szCs w:val="24"/>
        </w:rPr>
        <w:t>照度计单位采用法定计量单位。</w:t>
      </w:r>
    </w:p>
    <w:p>
      <w:pPr>
        <w:pStyle w:val="BodyText"/>
        <w:spacing w:before="98" w:line="220" w:lineRule="auto"/>
        <w:ind w:left="29"/>
        <w:rPr>
          <w:sz w:val="24"/>
          <w:szCs w:val="24"/>
        </w:rPr>
      </w:pPr>
      <w:r>
        <w:rPr>
          <w:spacing w:val="-2"/>
          <w:sz w:val="24"/>
          <w:szCs w:val="24"/>
        </w:rPr>
        <w:t>5.2</w:t>
      </w:r>
      <w:r>
        <w:rPr>
          <w:spacing w:val="11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计量法制标志和计量器具标识的要求</w:t>
      </w:r>
    </w:p>
    <w:p>
      <w:pPr>
        <w:pStyle w:val="BodyText"/>
        <w:spacing w:before="43" w:line="219" w:lineRule="auto"/>
        <w:ind w:left="480"/>
        <w:rPr>
          <w:sz w:val="24"/>
          <w:szCs w:val="24"/>
        </w:rPr>
      </w:pPr>
      <w:r>
        <w:rPr>
          <w:sz w:val="24"/>
          <w:szCs w:val="24"/>
        </w:rPr>
        <w:t>必须在照度计的铭牌明显部位标注计量法制标志和</w:t>
      </w:r>
      <w:r>
        <w:rPr>
          <w:spacing w:val="-1"/>
          <w:sz w:val="24"/>
          <w:szCs w:val="24"/>
        </w:rPr>
        <w:t>计量器具标识，其标志和标识必</w:t>
      </w:r>
    </w:p>
    <w:p>
      <w:pPr>
        <w:pStyle w:val="BodyText"/>
        <w:spacing w:before="116" w:line="220" w:lineRule="auto"/>
        <w:ind w:left="29"/>
        <w:rPr>
          <w:sz w:val="24"/>
          <w:szCs w:val="24"/>
        </w:rPr>
      </w:pPr>
      <w:r>
        <w:rPr>
          <w:spacing w:val="-5"/>
          <w:sz w:val="24"/>
          <w:szCs w:val="24"/>
        </w:rPr>
        <w:t>须清晰、牢固可靠。</w:t>
      </w:r>
    </w:p>
    <w:p>
      <w:pPr>
        <w:pStyle w:val="BodyText"/>
        <w:spacing w:before="63" w:line="219" w:lineRule="auto"/>
        <w:ind w:left="29"/>
        <w:rPr>
          <w:sz w:val="24"/>
          <w:szCs w:val="24"/>
        </w:rPr>
      </w:pPr>
      <w:r>
        <w:rPr>
          <w:spacing w:val="-3"/>
          <w:sz w:val="24"/>
          <w:szCs w:val="24"/>
        </w:rPr>
        <w:t>5.2.1</w:t>
      </w:r>
      <w:r>
        <w:rPr>
          <w:spacing w:val="96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计量法制标志包括以下内容：</w:t>
      </w:r>
    </w:p>
    <w:p>
      <w:pPr>
        <w:pStyle w:val="BodyText"/>
        <w:tabs>
          <w:tab w:val="left" w:pos="990"/>
        </w:tabs>
        <w:spacing w:before="84" w:line="248" w:lineRule="auto"/>
        <w:ind w:left="480" w:right="1726"/>
        <w:rPr>
          <w:sz w:val="24"/>
          <w:szCs w:val="24"/>
        </w:rPr>
      </w:pPr>
      <w:r>
        <w:rPr>
          <w:sz w:val="24"/>
          <w:szCs w:val="24"/>
          <w:u w:val="single" w:color="auto"/>
        </w:rPr>
        <w:tab/>
      </w:r>
      <w:r>
        <w:rPr>
          <w:spacing w:val="-110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制造计量器具许可证的标志和编号(试验样机留</w:t>
      </w:r>
      <w:r>
        <w:rPr>
          <w:spacing w:val="2"/>
          <w:sz w:val="24"/>
          <w:szCs w:val="24"/>
        </w:rPr>
        <w:t>出相应位置):</w:t>
      </w:r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——照度计型式批准标志和编号(试验样机留出</w:t>
      </w:r>
      <w:r>
        <w:rPr>
          <w:spacing w:val="4"/>
          <w:sz w:val="24"/>
          <w:szCs w:val="24"/>
        </w:rPr>
        <w:t>相应位置);</w:t>
      </w:r>
    </w:p>
    <w:p>
      <w:pPr>
        <w:pStyle w:val="BodyText"/>
        <w:spacing w:before="76" w:line="370" w:lineRule="exact"/>
        <w:ind w:left="480"/>
        <w:rPr>
          <w:sz w:val="24"/>
          <w:szCs w:val="24"/>
        </w:rPr>
      </w:pPr>
      <w:r>
        <w:rPr>
          <w:spacing w:val="3"/>
          <w:position w:val="9"/>
          <w:sz w:val="24"/>
          <w:szCs w:val="24"/>
        </w:rPr>
        <w:t>——产品的合格证、印章(此项可与计量器具本体</w:t>
      </w:r>
      <w:r>
        <w:rPr>
          <w:spacing w:val="2"/>
          <w:position w:val="9"/>
          <w:sz w:val="24"/>
          <w:szCs w:val="24"/>
        </w:rPr>
        <w:t>分开设置)。</w:t>
      </w:r>
    </w:p>
    <w:p>
      <w:pPr>
        <w:pStyle w:val="BodyText"/>
        <w:spacing w:before="1" w:line="219" w:lineRule="auto"/>
        <w:ind w:left="29"/>
        <w:rPr>
          <w:sz w:val="24"/>
          <w:szCs w:val="24"/>
        </w:rPr>
      </w:pPr>
      <w:r>
        <w:rPr>
          <w:spacing w:val="-4"/>
          <w:sz w:val="24"/>
          <w:szCs w:val="24"/>
        </w:rPr>
        <w:t>5.2.2  计量器具标识包括以下内容：</w:t>
      </w:r>
    </w:p>
    <w:p>
      <w:pPr>
        <w:pStyle w:val="BodyText"/>
        <w:spacing w:before="75" w:line="219" w:lineRule="auto"/>
        <w:ind w:left="480"/>
        <w:rPr>
          <w:sz w:val="24"/>
          <w:szCs w:val="24"/>
        </w:rPr>
      </w:pPr>
      <w:r>
        <w:rPr>
          <w:spacing w:val="-8"/>
          <w:sz w:val="24"/>
          <w:szCs w:val="24"/>
        </w:rPr>
        <w:t>——生产厂名；</w:t>
      </w:r>
    </w:p>
    <w:p>
      <w:pPr>
        <w:pStyle w:val="BodyText"/>
        <w:spacing w:before="75" w:line="370" w:lineRule="exact"/>
        <w:ind w:left="480"/>
        <w:rPr>
          <w:sz w:val="24"/>
          <w:szCs w:val="24"/>
        </w:rPr>
      </w:pPr>
      <w:r>
        <w:rPr>
          <w:spacing w:val="8"/>
          <w:position w:val="9"/>
          <w:sz w:val="24"/>
          <w:szCs w:val="24"/>
        </w:rPr>
        <w:t>——名称、规格(型号);</w:t>
      </w:r>
    </w:p>
    <w:p>
      <w:pPr>
        <w:pStyle w:val="BodyText"/>
        <w:spacing w:before="1" w:line="219" w:lineRule="auto"/>
        <w:ind w:left="480"/>
        <w:rPr>
          <w:sz w:val="24"/>
          <w:szCs w:val="24"/>
        </w:rPr>
      </w:pPr>
      <w:r>
        <w:rPr>
          <w:spacing w:val="-6"/>
          <w:sz w:val="24"/>
          <w:szCs w:val="24"/>
        </w:rPr>
        <w:t>——出厂编号和生产日期。</w:t>
      </w:r>
    </w:p>
    <w:p>
      <w:pPr>
        <w:spacing w:before="261" w:line="222" w:lineRule="auto"/>
        <w:ind w:left="32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11"/>
          <w:sz w:val="24"/>
          <w:szCs w:val="24"/>
        </w:rPr>
        <w:t>6</w:t>
      </w:r>
      <w:r>
        <w:rPr>
          <w:rFonts w:ascii="SimHei" w:eastAsia="SimHei" w:hAnsi="SimHei" w:cs="SimHei"/>
          <w:spacing w:val="7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11"/>
          <w:sz w:val="24"/>
          <w:szCs w:val="24"/>
        </w:rPr>
        <w:t>计量要求</w:t>
      </w:r>
    </w:p>
    <w:p>
      <w:pPr>
        <w:pStyle w:val="BodyText"/>
        <w:spacing w:before="275" w:line="219" w:lineRule="auto"/>
        <w:ind w:left="29"/>
        <w:rPr>
          <w:sz w:val="24"/>
          <w:szCs w:val="24"/>
        </w:rPr>
      </w:pPr>
      <w:r>
        <w:rPr>
          <w:spacing w:val="-3"/>
          <w:sz w:val="24"/>
          <w:szCs w:val="24"/>
        </w:rPr>
        <w:t>6.1</w:t>
      </w:r>
      <w:r>
        <w:rPr>
          <w:spacing w:val="98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相对零值误差</w:t>
      </w:r>
    </w:p>
    <w:p>
      <w:pPr>
        <w:pStyle w:val="BodyText"/>
        <w:spacing w:before="65" w:line="219" w:lineRule="auto"/>
        <w:ind w:left="480"/>
        <w:rPr>
          <w:sz w:val="24"/>
          <w:szCs w:val="24"/>
        </w:rPr>
      </w:pPr>
      <w:r>
        <w:rPr>
          <w:spacing w:val="3"/>
          <w:sz w:val="24"/>
          <w:szCs w:val="24"/>
        </w:rPr>
        <w:t>照度计的相对零值误差不得超过表1要求。</w:t>
      </w:r>
    </w:p>
    <w:p>
      <w:pPr>
        <w:spacing w:before="89" w:line="221" w:lineRule="auto"/>
        <w:ind w:left="367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1"/>
          <w:sz w:val="20"/>
          <w:szCs w:val="20"/>
        </w:rPr>
        <w:t>表</w:t>
      </w:r>
      <w:r>
        <w:rPr>
          <w:rFonts w:ascii="SimHei" w:eastAsia="SimHei" w:hAnsi="SimHei" w:cs="SimHei"/>
          <w:spacing w:val="-1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"/>
          <w:sz w:val="20"/>
          <w:szCs w:val="20"/>
        </w:rPr>
        <w:t>1</w:t>
      </w:r>
      <w:r>
        <w:rPr>
          <w:rFonts w:ascii="SimHei" w:eastAsia="SimHei" w:hAnsi="SimHei" w:cs="SimHei"/>
          <w:spacing w:val="-1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20"/>
          <w:szCs w:val="20"/>
        </w:rPr>
        <w:t>相对零值误差</w:t>
      </w:r>
    </w:p>
    <w:tbl>
      <w:tblPr>
        <w:tblStyle w:val="TableNormal0"/>
        <w:tblW w:w="9130" w:type="dxa"/>
        <w:tblInd w:w="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600"/>
        <w:gridCol w:w="4530"/>
      </w:tblGrid>
      <w:tr>
        <w:tblPrEx>
          <w:tblW w:w="9130" w:type="dxa"/>
          <w:tblInd w:w="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2"/>
        </w:trPr>
        <w:tc>
          <w:tcPr>
            <w:tcW w:w="4600" w:type="dxa"/>
            <w:vAlign w:val="top"/>
          </w:tcPr>
          <w:p>
            <w:pPr>
              <w:pStyle w:val="TableText"/>
              <w:spacing w:before="74" w:line="220" w:lineRule="auto"/>
              <w:ind w:left="2075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级别</w:t>
            </w:r>
          </w:p>
        </w:tc>
        <w:tc>
          <w:tcPr>
            <w:tcW w:w="4530" w:type="dxa"/>
            <w:vAlign w:val="top"/>
          </w:tcPr>
          <w:p>
            <w:pPr>
              <w:pStyle w:val="TableText"/>
              <w:spacing w:before="74" w:line="219" w:lineRule="auto"/>
              <w:ind w:left="148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零值误差要求/%</w:t>
            </w:r>
          </w:p>
        </w:tc>
      </w:tr>
      <w:tr>
        <w:tblPrEx>
          <w:tblW w:w="9130" w:type="dxa"/>
          <w:tblInd w:w="19" w:type="dxa"/>
          <w:tblLayout w:type="fixed"/>
        </w:tblPrEx>
        <w:trPr>
          <w:trHeight w:val="357"/>
        </w:trPr>
        <w:tc>
          <w:tcPr>
            <w:tcW w:w="4600" w:type="dxa"/>
            <w:vAlign w:val="top"/>
          </w:tcPr>
          <w:p>
            <w:pPr>
              <w:pStyle w:val="TableText"/>
              <w:spacing w:before="72" w:line="220" w:lineRule="auto"/>
              <w:ind w:left="207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标准</w:t>
            </w:r>
          </w:p>
        </w:tc>
        <w:tc>
          <w:tcPr>
            <w:tcW w:w="4530" w:type="dxa"/>
            <w:vAlign w:val="top"/>
          </w:tcPr>
          <w:p>
            <w:pPr>
              <w:pStyle w:val="TableText"/>
              <w:spacing w:before="90" w:line="215" w:lineRule="auto"/>
              <w:ind w:left="1985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±0.1</w:t>
            </w:r>
          </w:p>
        </w:tc>
      </w:tr>
      <w:tr>
        <w:tblPrEx>
          <w:tblW w:w="9130" w:type="dxa"/>
          <w:tblInd w:w="19" w:type="dxa"/>
          <w:tblLayout w:type="fixed"/>
        </w:tblPrEx>
        <w:trPr>
          <w:trHeight w:val="357"/>
        </w:trPr>
        <w:tc>
          <w:tcPr>
            <w:tcW w:w="4600" w:type="dxa"/>
            <w:vAlign w:val="top"/>
          </w:tcPr>
          <w:p>
            <w:pPr>
              <w:pStyle w:val="TableText"/>
              <w:spacing w:before="77" w:line="221" w:lineRule="auto"/>
              <w:ind w:left="2075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一级</w:t>
            </w:r>
          </w:p>
        </w:tc>
        <w:tc>
          <w:tcPr>
            <w:tcW w:w="4530" w:type="dxa"/>
            <w:vAlign w:val="top"/>
          </w:tcPr>
          <w:p>
            <w:pPr>
              <w:pStyle w:val="TableText"/>
              <w:spacing w:before="93" w:line="213" w:lineRule="auto"/>
              <w:ind w:left="1985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士0.4</w:t>
            </w:r>
          </w:p>
        </w:tc>
      </w:tr>
      <w:tr>
        <w:tblPrEx>
          <w:tblW w:w="9130" w:type="dxa"/>
          <w:tblInd w:w="19" w:type="dxa"/>
          <w:tblLayout w:type="fixed"/>
        </w:tblPrEx>
        <w:trPr>
          <w:trHeight w:val="353"/>
        </w:trPr>
        <w:tc>
          <w:tcPr>
            <w:tcW w:w="4600" w:type="dxa"/>
            <w:vAlign w:val="top"/>
          </w:tcPr>
          <w:p>
            <w:pPr>
              <w:pStyle w:val="TableText"/>
              <w:spacing w:before="80" w:line="220" w:lineRule="auto"/>
              <w:ind w:left="2075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二级</w:t>
            </w:r>
          </w:p>
        </w:tc>
        <w:tc>
          <w:tcPr>
            <w:tcW w:w="4530" w:type="dxa"/>
            <w:vAlign w:val="top"/>
          </w:tcPr>
          <w:p>
            <w:pPr>
              <w:pStyle w:val="TableText"/>
              <w:spacing w:before="96" w:line="207" w:lineRule="auto"/>
              <w:ind w:left="198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士0.8</w:t>
            </w:r>
          </w:p>
        </w:tc>
      </w:tr>
    </w:tbl>
    <w:p>
      <w:pPr>
        <w:sectPr>
          <w:headerReference w:type="default" r:id="rId8"/>
          <w:footerReference w:type="default" r:id="rId9"/>
          <w:pgSz w:w="11900" w:h="16840"/>
          <w:pgMar w:top="1740" w:right="1445" w:bottom="1092" w:left="1289" w:header="1434" w:footer="933" w:gutter="0"/>
          <w:pgNumType w:start="3"/>
          <w:cols w:space="708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79" w:line="219" w:lineRule="auto"/>
        <w:ind w:left="29"/>
        <w:rPr>
          <w:sz w:val="24"/>
          <w:szCs w:val="24"/>
        </w:rPr>
      </w:pPr>
      <w:r>
        <w:rPr>
          <w:spacing w:val="-5"/>
          <w:sz w:val="24"/>
          <w:szCs w:val="24"/>
        </w:rPr>
        <w:t>6.2  相对示值误差</w:t>
      </w:r>
    </w:p>
    <w:p>
      <w:pPr>
        <w:pStyle w:val="BodyText"/>
        <w:spacing w:before="75" w:line="219" w:lineRule="auto"/>
        <w:ind w:left="480"/>
        <w:rPr>
          <w:sz w:val="24"/>
          <w:szCs w:val="24"/>
        </w:rPr>
      </w:pPr>
      <w:r>
        <w:rPr>
          <w:spacing w:val="3"/>
          <w:sz w:val="24"/>
          <w:szCs w:val="24"/>
        </w:rPr>
        <w:t>照度计的相对示值误差不得超过表2要求。</w:t>
      </w:r>
    </w:p>
    <w:p>
      <w:pPr>
        <w:spacing w:before="89" w:line="222" w:lineRule="auto"/>
        <w:ind w:left="365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表</w:t>
      </w:r>
      <w:r>
        <w:rPr>
          <w:rFonts w:ascii="SimHei" w:eastAsia="SimHei" w:hAnsi="SimHei" w:cs="SimHei"/>
          <w:spacing w:val="-22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2</w:t>
      </w:r>
      <w:r>
        <w:rPr>
          <w:rFonts w:ascii="SimHei" w:eastAsia="SimHei" w:hAnsi="SimHei" w:cs="SimHei"/>
          <w:spacing w:val="3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相对示值误差</w:t>
      </w:r>
    </w:p>
    <w:p>
      <w:pPr>
        <w:spacing w:line="81" w:lineRule="exact"/>
      </w:pPr>
    </w:p>
    <w:tbl>
      <w:tblPr>
        <w:tblStyle w:val="TableNormal1"/>
        <w:tblW w:w="9150" w:type="dxa"/>
        <w:tblInd w:w="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600"/>
        <w:gridCol w:w="4550"/>
      </w:tblGrid>
      <w:tr>
        <w:tblPrEx>
          <w:tblW w:w="9150" w:type="dxa"/>
          <w:tblInd w:w="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2"/>
        </w:trPr>
        <w:tc>
          <w:tcPr>
            <w:tcW w:w="4600" w:type="dxa"/>
            <w:vAlign w:val="top"/>
          </w:tcPr>
          <w:p>
            <w:pPr>
              <w:pStyle w:val="TableText"/>
              <w:spacing w:before="84" w:line="220" w:lineRule="auto"/>
              <w:ind w:left="2084"/>
            </w:pPr>
            <w:r>
              <w:rPr>
                <w:spacing w:val="8"/>
              </w:rPr>
              <w:t>级别</w:t>
            </w:r>
          </w:p>
        </w:tc>
        <w:tc>
          <w:tcPr>
            <w:tcW w:w="4550" w:type="dxa"/>
            <w:vAlign w:val="top"/>
          </w:tcPr>
          <w:p>
            <w:pPr>
              <w:pStyle w:val="TableText"/>
              <w:spacing w:before="83" w:line="219" w:lineRule="auto"/>
              <w:ind w:left="1535"/>
            </w:pPr>
            <w:r>
              <w:rPr>
                <w:spacing w:val="-1"/>
              </w:rPr>
              <w:t>相对示值误差/%</w:t>
            </w:r>
          </w:p>
        </w:tc>
      </w:tr>
      <w:tr>
        <w:tblPrEx>
          <w:tblW w:w="9150" w:type="dxa"/>
          <w:tblInd w:w="9" w:type="dxa"/>
          <w:tblLayout w:type="fixed"/>
        </w:tblPrEx>
        <w:trPr>
          <w:trHeight w:val="357"/>
        </w:trPr>
        <w:tc>
          <w:tcPr>
            <w:tcW w:w="4600" w:type="dxa"/>
            <w:vAlign w:val="top"/>
          </w:tcPr>
          <w:p>
            <w:pPr>
              <w:pStyle w:val="TableText"/>
              <w:spacing w:before="82" w:line="220" w:lineRule="auto"/>
              <w:ind w:left="2084"/>
            </w:pPr>
            <w:r>
              <w:rPr>
                <w:spacing w:val="-3"/>
              </w:rPr>
              <w:t>标准</w:t>
            </w:r>
          </w:p>
        </w:tc>
        <w:tc>
          <w:tcPr>
            <w:tcW w:w="4550" w:type="dxa"/>
            <w:vAlign w:val="top"/>
          </w:tcPr>
          <w:p>
            <w:pPr>
              <w:pStyle w:val="TableText"/>
              <w:spacing w:before="99" w:line="218" w:lineRule="auto"/>
              <w:ind w:left="2005"/>
            </w:pPr>
            <w:r>
              <w:rPr>
                <w:spacing w:val="-4"/>
              </w:rPr>
              <w:t>士1.0</w:t>
            </w:r>
          </w:p>
        </w:tc>
      </w:tr>
      <w:tr>
        <w:tblPrEx>
          <w:tblW w:w="9150" w:type="dxa"/>
          <w:tblInd w:w="9" w:type="dxa"/>
          <w:tblLayout w:type="fixed"/>
        </w:tblPrEx>
        <w:trPr>
          <w:trHeight w:val="358"/>
        </w:trPr>
        <w:tc>
          <w:tcPr>
            <w:tcW w:w="4600" w:type="dxa"/>
            <w:vAlign w:val="top"/>
          </w:tcPr>
          <w:p>
            <w:pPr>
              <w:pStyle w:val="TableText"/>
              <w:spacing w:before="87" w:line="221" w:lineRule="auto"/>
              <w:ind w:left="2084"/>
            </w:pPr>
            <w:r>
              <w:rPr>
                <w:spacing w:val="12"/>
              </w:rPr>
              <w:t>一级</w:t>
            </w:r>
          </w:p>
        </w:tc>
        <w:tc>
          <w:tcPr>
            <w:tcW w:w="4550" w:type="dxa"/>
            <w:vAlign w:val="top"/>
          </w:tcPr>
          <w:p>
            <w:pPr>
              <w:pStyle w:val="TableText"/>
              <w:spacing w:before="102" w:line="216" w:lineRule="auto"/>
              <w:ind w:left="2005"/>
            </w:pPr>
            <w:r>
              <w:rPr>
                <w:spacing w:val="-7"/>
              </w:rPr>
              <w:t>±4.0</w:t>
            </w:r>
          </w:p>
        </w:tc>
      </w:tr>
      <w:tr>
        <w:tblPrEx>
          <w:tblW w:w="9150" w:type="dxa"/>
          <w:tblInd w:w="9" w:type="dxa"/>
          <w:tblLayout w:type="fixed"/>
        </w:tblPrEx>
        <w:trPr>
          <w:trHeight w:val="352"/>
        </w:trPr>
        <w:tc>
          <w:tcPr>
            <w:tcW w:w="4600" w:type="dxa"/>
            <w:vAlign w:val="top"/>
          </w:tcPr>
          <w:p>
            <w:pPr>
              <w:pStyle w:val="TableText"/>
              <w:spacing w:before="79" w:line="221" w:lineRule="auto"/>
              <w:ind w:left="2084"/>
            </w:pPr>
            <w:r>
              <w:rPr>
                <w:spacing w:val="6"/>
              </w:rPr>
              <w:t>二级</w:t>
            </w:r>
          </w:p>
        </w:tc>
        <w:tc>
          <w:tcPr>
            <w:tcW w:w="4550" w:type="dxa"/>
            <w:vAlign w:val="top"/>
          </w:tcPr>
          <w:p>
            <w:pPr>
              <w:pStyle w:val="TableText"/>
              <w:spacing w:before="97" w:line="215" w:lineRule="auto"/>
              <w:ind w:left="2005"/>
            </w:pPr>
            <w:r>
              <w:rPr>
                <w:spacing w:val="-3"/>
              </w:rPr>
              <w:t>土8.0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0"/>
          <w:footerReference w:type="default" r:id="rId11"/>
          <w:type w:val="nextPage"/>
          <w:pgSz w:w="11900" w:h="16840"/>
          <w:pgMar w:top="1740" w:right="1445" w:bottom="1092" w:left="1289" w:header="1434" w:footer="933" w:gutter="0"/>
          <w:pgNumType w:start="4"/>
          <w:cols w:space="708"/>
          <w:titlePg w:val="0"/>
        </w:sectPr>
      </w:pPr>
    </w:p>
    <w:p>
      <w:pPr>
        <w:pStyle w:val="BodyText"/>
        <w:spacing w:before="214" w:line="212" w:lineRule="auto"/>
        <w:ind w:left="49"/>
        <w:rPr>
          <w:sz w:val="22"/>
          <w:szCs w:val="22"/>
        </w:rPr>
      </w:pPr>
      <w:r>
        <w:rPr>
          <w:spacing w:val="4"/>
          <w:sz w:val="22"/>
          <w:szCs w:val="22"/>
        </w:rPr>
        <w:t>6.3</w:t>
      </w:r>
      <w:r>
        <w:rPr>
          <w:spacing w:val="47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spacing w:val="4"/>
          <w:sz w:val="22"/>
          <w:szCs w:val="22"/>
        </w:rPr>
        <w:t>V(λ)</w:t>
      </w:r>
      <w:r>
        <w:rPr>
          <w:rFonts w:ascii="Times New Roman" w:eastAsia="Times New Roman" w:hAnsi="Times New Roman" w:cs="Times New Roman"/>
          <w:spacing w:val="25"/>
          <w:sz w:val="22"/>
          <w:szCs w:val="22"/>
        </w:rPr>
        <w:t xml:space="preserve">  </w:t>
      </w:r>
      <w:r>
        <w:rPr>
          <w:spacing w:val="4"/>
          <w:sz w:val="22"/>
          <w:szCs w:val="22"/>
        </w:rPr>
        <w:t>匹配误差</w:t>
      </w:r>
    </w:p>
    <w:p>
      <w:pPr>
        <w:pStyle w:val="BodyText"/>
        <w:spacing w:before="117" w:line="212" w:lineRule="auto"/>
        <w:ind w:left="520"/>
        <w:rPr>
          <w:sz w:val="22"/>
          <w:szCs w:val="22"/>
        </w:rPr>
      </w:pPr>
      <w:r>
        <w:rPr>
          <w:spacing w:val="22"/>
          <w:sz w:val="22"/>
          <w:szCs w:val="22"/>
        </w:rPr>
        <w:t>照度计的</w:t>
      </w:r>
      <w:r>
        <w:rPr>
          <w:rFonts w:ascii="Times New Roman" w:eastAsia="Times New Roman" w:hAnsi="Times New Roman" w:cs="Times New Roman"/>
          <w:spacing w:val="22"/>
          <w:sz w:val="22"/>
          <w:szCs w:val="22"/>
        </w:rPr>
        <w:t xml:space="preserve">V(λ)  </w:t>
      </w:r>
      <w:r>
        <w:rPr>
          <w:spacing w:val="22"/>
          <w:sz w:val="22"/>
          <w:szCs w:val="22"/>
        </w:rPr>
        <w:t>匹配误差不得超过表3要求。</w:t>
      </w:r>
    </w:p>
    <w:p>
      <w:pPr>
        <w:spacing w:before="90" w:line="212" w:lineRule="auto"/>
        <w:ind w:left="366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表3</w:t>
      </w:r>
      <w:r>
        <w:rPr>
          <w:rFonts w:ascii="SimHei" w:eastAsia="SimHei" w:hAnsi="SimHei" w:cs="SimHei"/>
          <w:spacing w:val="89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2"/>
          <w:szCs w:val="22"/>
        </w:rPr>
        <w:t>V(λ)</w:t>
      </w:r>
      <w:r>
        <w:rPr>
          <w:rFonts w:ascii="Times New Roman" w:eastAsia="Times New Roman" w:hAnsi="Times New Roman" w:cs="Times New Roman"/>
          <w:b/>
          <w:bCs/>
          <w:spacing w:val="47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匹配误差</w:t>
      </w:r>
    </w:p>
    <w:p>
      <w:pPr>
        <w:spacing w:line="95" w:lineRule="exact"/>
      </w:pPr>
    </w:p>
    <w:tbl>
      <w:tblPr>
        <w:tblStyle w:val="TableNormal2"/>
        <w:tblW w:w="9150" w:type="dxa"/>
        <w:tblInd w:w="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610"/>
        <w:gridCol w:w="4540"/>
      </w:tblGrid>
      <w:tr>
        <w:tblPrEx>
          <w:tblW w:w="9150" w:type="dxa"/>
          <w:tblInd w:w="2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2"/>
        </w:trPr>
        <w:tc>
          <w:tcPr>
            <w:tcW w:w="4610" w:type="dxa"/>
            <w:vAlign w:val="top"/>
          </w:tcPr>
          <w:p>
            <w:pPr>
              <w:pStyle w:val="TableText"/>
              <w:spacing w:before="104" w:line="220" w:lineRule="auto"/>
              <w:ind w:left="2075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级别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05" w:line="221" w:lineRule="auto"/>
              <w:ind w:left="171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匹配误差/%</w:t>
            </w:r>
          </w:p>
        </w:tc>
      </w:tr>
      <w:tr>
        <w:tblPrEx>
          <w:tblW w:w="9150" w:type="dxa"/>
          <w:tblInd w:w="29" w:type="dxa"/>
          <w:tblLayout w:type="fixed"/>
        </w:tblPrEx>
        <w:trPr>
          <w:trHeight w:val="407"/>
        </w:trPr>
        <w:tc>
          <w:tcPr>
            <w:tcW w:w="4610" w:type="dxa"/>
            <w:vAlign w:val="top"/>
          </w:tcPr>
          <w:p>
            <w:pPr>
              <w:pStyle w:val="TableText"/>
              <w:spacing w:before="102" w:line="220" w:lineRule="auto"/>
              <w:ind w:left="207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标准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58" w:line="183" w:lineRule="auto"/>
              <w:ind w:left="20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3.5</w:t>
            </w:r>
          </w:p>
        </w:tc>
      </w:tr>
      <w:tr>
        <w:tblPrEx>
          <w:tblW w:w="9150" w:type="dxa"/>
          <w:tblInd w:w="29" w:type="dxa"/>
          <w:tblLayout w:type="fixed"/>
        </w:tblPrEx>
        <w:trPr>
          <w:trHeight w:val="408"/>
        </w:trPr>
        <w:tc>
          <w:tcPr>
            <w:tcW w:w="4610" w:type="dxa"/>
            <w:vAlign w:val="top"/>
          </w:tcPr>
          <w:p>
            <w:pPr>
              <w:pStyle w:val="TableText"/>
              <w:spacing w:before="107" w:line="221" w:lineRule="auto"/>
              <w:ind w:left="2075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一级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61" w:line="183" w:lineRule="auto"/>
              <w:ind w:left="20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6.0</w:t>
            </w:r>
          </w:p>
        </w:tc>
      </w:tr>
      <w:tr>
        <w:tblPrEx>
          <w:tblW w:w="9150" w:type="dxa"/>
          <w:tblInd w:w="29" w:type="dxa"/>
          <w:tblLayout w:type="fixed"/>
        </w:tblPrEx>
        <w:trPr>
          <w:trHeight w:val="412"/>
        </w:trPr>
        <w:tc>
          <w:tcPr>
            <w:tcW w:w="4610" w:type="dxa"/>
            <w:vAlign w:val="top"/>
          </w:tcPr>
          <w:p>
            <w:pPr>
              <w:pStyle w:val="TableText"/>
              <w:spacing w:before="109" w:line="221" w:lineRule="auto"/>
              <w:ind w:left="2075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二级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63" w:line="183" w:lineRule="auto"/>
              <w:ind w:left="20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8.0</w:t>
            </w:r>
          </w:p>
        </w:tc>
      </w:tr>
    </w:tbl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71" w:line="219" w:lineRule="auto"/>
        <w:ind w:left="49"/>
        <w:rPr>
          <w:sz w:val="22"/>
          <w:szCs w:val="22"/>
        </w:rPr>
      </w:pPr>
      <w:r>
        <w:rPr>
          <w:spacing w:val="30"/>
          <w:sz w:val="22"/>
          <w:szCs w:val="22"/>
        </w:rPr>
        <w:t>6.4</w:t>
      </w:r>
      <w:r>
        <w:rPr>
          <w:spacing w:val="15"/>
          <w:sz w:val="22"/>
          <w:szCs w:val="22"/>
        </w:rPr>
        <w:t xml:space="preserve">  </w:t>
      </w:r>
      <w:r>
        <w:rPr>
          <w:spacing w:val="30"/>
          <w:sz w:val="22"/>
          <w:szCs w:val="22"/>
        </w:rPr>
        <w:t>余弦特性(方向性响应)误差</w:t>
      </w:r>
    </w:p>
    <w:p>
      <w:pPr>
        <w:pStyle w:val="BodyText"/>
        <w:spacing w:before="109" w:line="219" w:lineRule="auto"/>
        <w:ind w:left="520"/>
        <w:rPr>
          <w:sz w:val="22"/>
          <w:szCs w:val="22"/>
        </w:rPr>
      </w:pPr>
      <w:r>
        <w:rPr>
          <w:spacing w:val="30"/>
          <w:sz w:val="22"/>
          <w:szCs w:val="22"/>
        </w:rPr>
        <w:t>照度计的余弦特性(方向性响应)误差不得超过表4要求。</w:t>
      </w:r>
    </w:p>
    <w:p>
      <w:pPr>
        <w:spacing w:before="83" w:line="221" w:lineRule="auto"/>
        <w:ind w:left="296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5"/>
          <w:sz w:val="22"/>
          <w:szCs w:val="22"/>
        </w:rPr>
        <w:t>表4</w:t>
      </w:r>
      <w:r>
        <w:rPr>
          <w:rFonts w:ascii="SimHei" w:eastAsia="SimHei" w:hAnsi="SimHei" w:cs="SimHei"/>
          <w:spacing w:val="106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5"/>
          <w:sz w:val="22"/>
          <w:szCs w:val="22"/>
        </w:rPr>
        <w:t>余弦特性(方向性响应)误差</w:t>
      </w:r>
    </w:p>
    <w:p>
      <w:pPr>
        <w:spacing w:line="78" w:lineRule="exact"/>
      </w:pPr>
    </w:p>
    <w:tbl>
      <w:tblPr>
        <w:tblStyle w:val="TableNormal2"/>
        <w:tblW w:w="9150" w:type="dxa"/>
        <w:tblInd w:w="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610"/>
        <w:gridCol w:w="4540"/>
      </w:tblGrid>
      <w:tr>
        <w:tblPrEx>
          <w:tblW w:w="9150" w:type="dxa"/>
          <w:tblInd w:w="2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2"/>
        </w:trPr>
        <w:tc>
          <w:tcPr>
            <w:tcW w:w="4610" w:type="dxa"/>
            <w:vAlign w:val="top"/>
          </w:tcPr>
          <w:p>
            <w:pPr>
              <w:pStyle w:val="TableText"/>
              <w:spacing w:before="104" w:line="220" w:lineRule="auto"/>
              <w:ind w:left="2084"/>
            </w:pPr>
            <w:r>
              <w:rPr>
                <w:spacing w:val="8"/>
              </w:rPr>
              <w:t>级别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04" w:line="221" w:lineRule="auto"/>
              <w:ind w:left="1424"/>
            </w:pPr>
            <w:r>
              <w:rPr>
                <w:spacing w:val="-1"/>
              </w:rPr>
              <w:t>方向性响应误差/%</w:t>
            </w:r>
          </w:p>
        </w:tc>
      </w:tr>
      <w:tr>
        <w:tblPrEx>
          <w:tblW w:w="9150" w:type="dxa"/>
          <w:tblInd w:w="29" w:type="dxa"/>
          <w:tblLayout w:type="fixed"/>
        </w:tblPrEx>
        <w:trPr>
          <w:trHeight w:val="417"/>
        </w:trPr>
        <w:tc>
          <w:tcPr>
            <w:tcW w:w="4610" w:type="dxa"/>
            <w:vAlign w:val="top"/>
          </w:tcPr>
          <w:p>
            <w:pPr>
              <w:pStyle w:val="TableText"/>
              <w:spacing w:before="112" w:line="220" w:lineRule="auto"/>
              <w:ind w:left="2084"/>
            </w:pPr>
            <w:r>
              <w:rPr>
                <w:spacing w:val="-3"/>
              </w:rPr>
              <w:t>标准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29" w:line="234" w:lineRule="auto"/>
              <w:ind w:left="1994"/>
            </w:pPr>
            <w:r>
              <w:rPr>
                <w:spacing w:val="3"/>
              </w:rPr>
              <w:t>士2.0</w:t>
            </w:r>
          </w:p>
        </w:tc>
      </w:tr>
      <w:tr>
        <w:tblPrEx>
          <w:tblW w:w="9150" w:type="dxa"/>
          <w:tblInd w:w="29" w:type="dxa"/>
          <w:tblLayout w:type="fixed"/>
        </w:tblPrEx>
        <w:trPr>
          <w:trHeight w:val="408"/>
        </w:trPr>
        <w:tc>
          <w:tcPr>
            <w:tcW w:w="4610" w:type="dxa"/>
            <w:vAlign w:val="top"/>
          </w:tcPr>
          <w:p>
            <w:pPr>
              <w:pStyle w:val="TableText"/>
              <w:spacing w:before="107" w:line="221" w:lineRule="auto"/>
              <w:ind w:left="2084"/>
            </w:pPr>
            <w:r>
              <w:rPr>
                <w:spacing w:val="12"/>
              </w:rPr>
              <w:t>一级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22" w:line="235" w:lineRule="auto"/>
              <w:ind w:left="1994"/>
            </w:pPr>
            <w:r>
              <w:rPr>
                <w:spacing w:val="-7"/>
              </w:rPr>
              <w:t>±4.0</w:t>
            </w:r>
          </w:p>
        </w:tc>
      </w:tr>
      <w:tr>
        <w:tblPrEx>
          <w:tblW w:w="9150" w:type="dxa"/>
          <w:tblInd w:w="29" w:type="dxa"/>
          <w:tblLayout w:type="fixed"/>
        </w:tblPrEx>
        <w:trPr>
          <w:trHeight w:val="412"/>
        </w:trPr>
        <w:tc>
          <w:tcPr>
            <w:tcW w:w="4610" w:type="dxa"/>
            <w:vAlign w:val="top"/>
          </w:tcPr>
          <w:p>
            <w:pPr>
              <w:pStyle w:val="TableText"/>
              <w:spacing w:before="109" w:line="221" w:lineRule="auto"/>
              <w:ind w:left="2084"/>
            </w:pPr>
            <w:r>
              <w:rPr>
                <w:spacing w:val="6"/>
              </w:rPr>
              <w:t>二级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24" w:line="235" w:lineRule="auto"/>
              <w:ind w:left="1994"/>
            </w:pPr>
            <w:r>
              <w:rPr>
                <w:spacing w:val="-7"/>
              </w:rPr>
              <w:t>±6.0</w:t>
            </w:r>
          </w:p>
        </w:tc>
      </w:tr>
    </w:tbl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71" w:line="219" w:lineRule="auto"/>
        <w:ind w:left="49"/>
        <w:rPr>
          <w:sz w:val="22"/>
          <w:szCs w:val="22"/>
        </w:rPr>
      </w:pPr>
      <w:r>
        <w:rPr>
          <w:spacing w:val="9"/>
          <w:sz w:val="22"/>
          <w:szCs w:val="22"/>
        </w:rPr>
        <w:t>6.5  换挡误差</w:t>
      </w:r>
    </w:p>
    <w:p>
      <w:pPr>
        <w:pStyle w:val="BodyText"/>
        <w:spacing w:before="109" w:line="219" w:lineRule="auto"/>
        <w:ind w:left="520"/>
        <w:rPr>
          <w:sz w:val="22"/>
          <w:szCs w:val="22"/>
        </w:rPr>
      </w:pPr>
      <w:r>
        <w:rPr>
          <w:spacing w:val="22"/>
          <w:sz w:val="22"/>
          <w:szCs w:val="22"/>
        </w:rPr>
        <w:t>照度计的换挡误差不得超过表5要求。</w:t>
      </w:r>
    </w:p>
    <w:p>
      <w:pPr>
        <w:spacing w:before="75" w:line="222" w:lineRule="auto"/>
        <w:ind w:left="389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3"/>
          <w:sz w:val="22"/>
          <w:szCs w:val="22"/>
        </w:rPr>
        <w:t>表5</w:t>
      </w:r>
      <w:r>
        <w:rPr>
          <w:rFonts w:ascii="SimHei" w:eastAsia="SimHei" w:hAnsi="SimHei" w:cs="SimHei"/>
          <w:spacing w:val="97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22"/>
          <w:szCs w:val="22"/>
        </w:rPr>
        <w:t>换挡误差</w:t>
      </w:r>
    </w:p>
    <w:p>
      <w:pPr>
        <w:spacing w:line="76" w:lineRule="exact"/>
      </w:pPr>
    </w:p>
    <w:tbl>
      <w:tblPr>
        <w:tblStyle w:val="TableNormal2"/>
        <w:tblW w:w="9150" w:type="dxa"/>
        <w:tblInd w:w="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610"/>
        <w:gridCol w:w="4540"/>
      </w:tblGrid>
      <w:tr>
        <w:tblPrEx>
          <w:tblW w:w="9150" w:type="dxa"/>
          <w:tblInd w:w="2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2"/>
        </w:trPr>
        <w:tc>
          <w:tcPr>
            <w:tcW w:w="4610" w:type="dxa"/>
            <w:vAlign w:val="top"/>
          </w:tcPr>
          <w:p>
            <w:pPr>
              <w:pStyle w:val="TableText"/>
              <w:spacing w:before="104" w:line="220" w:lineRule="auto"/>
              <w:ind w:left="2084"/>
            </w:pPr>
            <w:r>
              <w:rPr>
                <w:spacing w:val="8"/>
              </w:rPr>
              <w:t>级别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03" w:line="219" w:lineRule="auto"/>
              <w:ind w:left="1734"/>
            </w:pPr>
            <w:r>
              <w:rPr>
                <w:spacing w:val="-2"/>
              </w:rPr>
              <w:t>换挡误差/%</w:t>
            </w:r>
          </w:p>
        </w:tc>
      </w:tr>
      <w:tr>
        <w:tblPrEx>
          <w:tblW w:w="9150" w:type="dxa"/>
          <w:tblInd w:w="29" w:type="dxa"/>
          <w:tblLayout w:type="fixed"/>
        </w:tblPrEx>
        <w:trPr>
          <w:trHeight w:val="407"/>
        </w:trPr>
        <w:tc>
          <w:tcPr>
            <w:tcW w:w="4610" w:type="dxa"/>
            <w:vAlign w:val="top"/>
          </w:tcPr>
          <w:p>
            <w:pPr>
              <w:pStyle w:val="TableText"/>
              <w:spacing w:before="102" w:line="220" w:lineRule="auto"/>
              <w:ind w:left="2084"/>
            </w:pPr>
            <w:r>
              <w:rPr>
                <w:spacing w:val="-3"/>
              </w:rPr>
              <w:t>标准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19" w:line="235" w:lineRule="auto"/>
              <w:ind w:left="1994"/>
            </w:pPr>
            <w:r>
              <w:rPr>
                <w:spacing w:val="-7"/>
              </w:rPr>
              <w:t>±0.2</w:t>
            </w:r>
          </w:p>
        </w:tc>
      </w:tr>
      <w:tr>
        <w:tblPrEx>
          <w:tblW w:w="9150" w:type="dxa"/>
          <w:tblInd w:w="29" w:type="dxa"/>
          <w:tblLayout w:type="fixed"/>
        </w:tblPrEx>
        <w:trPr>
          <w:trHeight w:val="408"/>
        </w:trPr>
        <w:tc>
          <w:tcPr>
            <w:tcW w:w="4610" w:type="dxa"/>
            <w:vAlign w:val="top"/>
          </w:tcPr>
          <w:p>
            <w:pPr>
              <w:pStyle w:val="TableText"/>
              <w:spacing w:before="107" w:line="221" w:lineRule="auto"/>
              <w:ind w:left="2084"/>
            </w:pPr>
            <w:r>
              <w:rPr>
                <w:spacing w:val="12"/>
              </w:rPr>
              <w:t>一级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22" w:line="234" w:lineRule="auto"/>
              <w:ind w:left="1994"/>
            </w:pPr>
            <w:r>
              <w:rPr>
                <w:spacing w:val="3"/>
              </w:rPr>
              <w:t>士1.0</w:t>
            </w:r>
          </w:p>
        </w:tc>
      </w:tr>
      <w:tr>
        <w:tblPrEx>
          <w:tblW w:w="9150" w:type="dxa"/>
          <w:tblInd w:w="29" w:type="dxa"/>
          <w:tblLayout w:type="fixed"/>
        </w:tblPrEx>
        <w:trPr>
          <w:trHeight w:val="412"/>
        </w:trPr>
        <w:tc>
          <w:tcPr>
            <w:tcW w:w="4610" w:type="dxa"/>
            <w:vAlign w:val="top"/>
          </w:tcPr>
          <w:p>
            <w:pPr>
              <w:pStyle w:val="TableText"/>
              <w:spacing w:before="109" w:line="221" w:lineRule="auto"/>
              <w:ind w:left="2084"/>
            </w:pPr>
            <w:r>
              <w:rPr>
                <w:spacing w:val="6"/>
              </w:rPr>
              <w:t>二级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24" w:line="234" w:lineRule="auto"/>
              <w:ind w:left="1994"/>
            </w:pPr>
            <w:r>
              <w:rPr>
                <w:spacing w:val="3"/>
              </w:rPr>
              <w:t>士2.0</w:t>
            </w:r>
          </w:p>
        </w:tc>
      </w:tr>
    </w:tbl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71" w:line="219" w:lineRule="auto"/>
        <w:ind w:left="49"/>
        <w:rPr>
          <w:sz w:val="22"/>
          <w:szCs w:val="22"/>
        </w:rPr>
      </w:pPr>
      <w:r>
        <w:rPr>
          <w:spacing w:val="11"/>
          <w:sz w:val="22"/>
          <w:szCs w:val="22"/>
        </w:rPr>
        <w:t>6.6  疲劳误差</w:t>
      </w:r>
    </w:p>
    <w:p>
      <w:pPr>
        <w:pStyle w:val="BodyText"/>
        <w:spacing w:before="109" w:line="219" w:lineRule="auto"/>
        <w:ind w:left="520"/>
        <w:rPr>
          <w:sz w:val="22"/>
          <w:szCs w:val="22"/>
        </w:rPr>
      </w:pPr>
      <w:r>
        <w:rPr>
          <w:spacing w:val="23"/>
          <w:sz w:val="22"/>
          <w:szCs w:val="22"/>
        </w:rPr>
        <w:t>照度计的疲劳误差不得超过表6要求。</w:t>
      </w:r>
    </w:p>
    <w:p>
      <w:pPr>
        <w:spacing w:before="45" w:line="222" w:lineRule="auto"/>
        <w:ind w:left="3893"/>
        <w:rPr>
          <w:rFonts w:ascii="SimHei" w:eastAsia="SimHei" w:hAnsi="SimHei" w:cs="SimHei"/>
          <w:sz w:val="22"/>
          <w:szCs w:val="22"/>
        </w:rPr>
        <w:sectPr>
          <w:headerReference w:type="default" r:id="rId12"/>
          <w:footerReference w:type="default" r:id="rId13"/>
          <w:pgSz w:w="11900" w:h="16840"/>
          <w:pgMar w:top="1750" w:right="1269" w:bottom="1055" w:left="1440" w:header="1417" w:footer="906" w:gutter="0"/>
          <w:pgNumType w:start="5"/>
          <w:cols w:space="708"/>
        </w:sect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表6</w:t>
      </w:r>
      <w:r>
        <w:rPr>
          <w:rFonts w:ascii="SimHei" w:eastAsia="SimHei" w:hAnsi="SimHei" w:cs="SimHei"/>
          <w:spacing w:val="-4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疲劳误差</w:t>
      </w:r>
    </w:p>
    <w:p>
      <w:pPr>
        <w:spacing w:line="96" w:lineRule="exact"/>
      </w:pPr>
    </w:p>
    <w:tbl>
      <w:tblPr>
        <w:tblStyle w:val="TableNormal3"/>
        <w:tblW w:w="9150" w:type="dxa"/>
        <w:tblInd w:w="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610"/>
        <w:gridCol w:w="4540"/>
      </w:tblGrid>
      <w:tr>
        <w:tblPrEx>
          <w:tblW w:w="9150" w:type="dxa"/>
          <w:tblInd w:w="2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2"/>
        </w:trPr>
        <w:tc>
          <w:tcPr>
            <w:tcW w:w="4610" w:type="dxa"/>
            <w:vAlign w:val="top"/>
          </w:tcPr>
          <w:p>
            <w:pPr>
              <w:pStyle w:val="TableText"/>
              <w:spacing w:before="104" w:line="220" w:lineRule="auto"/>
              <w:ind w:left="2075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级别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04" w:line="219" w:lineRule="auto"/>
              <w:ind w:left="171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疲劳误差/%</w:t>
            </w:r>
          </w:p>
        </w:tc>
      </w:tr>
      <w:tr>
        <w:tblPrEx>
          <w:tblW w:w="9150" w:type="dxa"/>
          <w:tblInd w:w="29" w:type="dxa"/>
          <w:tblLayout w:type="fixed"/>
        </w:tblPrEx>
        <w:trPr>
          <w:trHeight w:val="408"/>
        </w:trPr>
        <w:tc>
          <w:tcPr>
            <w:tcW w:w="4610" w:type="dxa"/>
            <w:vAlign w:val="top"/>
          </w:tcPr>
          <w:p>
            <w:pPr>
              <w:pStyle w:val="TableText"/>
              <w:spacing w:before="102" w:line="220" w:lineRule="auto"/>
              <w:ind w:left="207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标准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58" w:line="183" w:lineRule="auto"/>
              <w:ind w:left="198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一0.2</w:t>
            </w:r>
          </w:p>
        </w:tc>
      </w:tr>
      <w:tr>
        <w:tblPrEx>
          <w:tblW w:w="9150" w:type="dxa"/>
          <w:tblInd w:w="29" w:type="dxa"/>
          <w:tblLayout w:type="fixed"/>
        </w:tblPrEx>
        <w:trPr>
          <w:trHeight w:val="398"/>
        </w:trPr>
        <w:tc>
          <w:tcPr>
            <w:tcW w:w="4610" w:type="dxa"/>
            <w:vAlign w:val="top"/>
          </w:tcPr>
          <w:p>
            <w:pPr>
              <w:pStyle w:val="TableText"/>
              <w:spacing w:before="97" w:line="221" w:lineRule="auto"/>
              <w:ind w:left="2075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一级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50" w:line="183" w:lineRule="auto"/>
              <w:ind w:left="198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—0.5</w:t>
            </w:r>
          </w:p>
        </w:tc>
      </w:tr>
      <w:tr>
        <w:tblPrEx>
          <w:tblW w:w="9150" w:type="dxa"/>
          <w:tblInd w:w="29" w:type="dxa"/>
          <w:tblLayout w:type="fixed"/>
        </w:tblPrEx>
        <w:trPr>
          <w:trHeight w:val="412"/>
        </w:trPr>
        <w:tc>
          <w:tcPr>
            <w:tcW w:w="4610" w:type="dxa"/>
            <w:vAlign w:val="top"/>
          </w:tcPr>
          <w:p>
            <w:pPr>
              <w:pStyle w:val="TableText"/>
              <w:spacing w:before="109" w:line="221" w:lineRule="auto"/>
              <w:ind w:left="2075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二级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61" w:line="184" w:lineRule="auto"/>
              <w:ind w:left="198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—1.0</w:t>
            </w:r>
          </w:p>
        </w:tc>
      </w:tr>
    </w:tbl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72" w:line="220" w:lineRule="auto"/>
        <w:ind w:left="49"/>
        <w:rPr>
          <w:sz w:val="22"/>
          <w:szCs w:val="22"/>
        </w:rPr>
      </w:pPr>
      <w:r>
        <w:rPr>
          <w:spacing w:val="13"/>
          <w:sz w:val="22"/>
          <w:szCs w:val="22"/>
        </w:rPr>
        <w:t>6.7  红外响应误差</w:t>
      </w:r>
    </w:p>
    <w:p>
      <w:pPr>
        <w:pStyle w:val="BodyText"/>
        <w:spacing w:before="117" w:line="219" w:lineRule="auto"/>
        <w:ind w:left="520"/>
        <w:rPr>
          <w:sz w:val="22"/>
          <w:szCs w:val="22"/>
        </w:rPr>
      </w:pPr>
      <w:r>
        <w:rPr>
          <w:spacing w:val="23"/>
          <w:sz w:val="22"/>
          <w:szCs w:val="22"/>
        </w:rPr>
        <w:t>照度计的红外响应误差不得超过表7要求。</w:t>
      </w:r>
    </w:p>
    <w:p>
      <w:pPr>
        <w:spacing w:line="219" w:lineRule="auto"/>
        <w:rPr>
          <w:sz w:val="22"/>
          <w:szCs w:val="22"/>
        </w:rPr>
        <w:sectPr>
          <w:headerReference w:type="default" r:id="rId14"/>
          <w:footerReference w:type="default" r:id="rId15"/>
          <w:type w:val="nextPage"/>
          <w:pgSz w:w="11900" w:h="16840"/>
          <w:pgMar w:top="1750" w:right="1269" w:bottom="1055" w:left="1440" w:header="1417" w:footer="906" w:gutter="0"/>
          <w:pgNumType w:start="6"/>
          <w:cols w:space="708"/>
          <w:titlePg w:val="0"/>
        </w:sectPr>
      </w:pPr>
    </w:p>
    <w:p>
      <w:pPr>
        <w:spacing w:before="233" w:line="222" w:lineRule="auto"/>
        <w:ind w:left="368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8"/>
          <w:sz w:val="19"/>
          <w:szCs w:val="19"/>
        </w:rPr>
        <w:t>表</w:t>
      </w:r>
      <w:r>
        <w:rPr>
          <w:rFonts w:ascii="SimHei" w:eastAsia="SimHei" w:hAnsi="SimHei" w:cs="SimHei"/>
          <w:spacing w:val="-14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8"/>
          <w:sz w:val="19"/>
          <w:szCs w:val="19"/>
        </w:rPr>
        <w:t>7</w:t>
      </w:r>
      <w:r>
        <w:rPr>
          <w:rFonts w:ascii="SimHei" w:eastAsia="SimHei" w:hAnsi="SimHei" w:cs="SimHei"/>
          <w:spacing w:val="14"/>
          <w:sz w:val="19"/>
          <w:szCs w:val="19"/>
        </w:rPr>
        <w:t xml:space="preserve">  </w:t>
      </w:r>
      <w:r>
        <w:rPr>
          <w:rFonts w:ascii="SimHei" w:eastAsia="SimHei" w:hAnsi="SimHei" w:cs="SimHei"/>
          <w:b/>
          <w:bCs/>
          <w:spacing w:val="8"/>
          <w:sz w:val="19"/>
          <w:szCs w:val="19"/>
        </w:rPr>
        <w:t>红外响应误差</w:t>
      </w:r>
    </w:p>
    <w:p>
      <w:pPr>
        <w:spacing w:line="102" w:lineRule="exact"/>
      </w:pPr>
    </w:p>
    <w:tbl>
      <w:tblPr>
        <w:tblStyle w:val="TableNormal4"/>
        <w:tblW w:w="9120" w:type="dxa"/>
        <w:tblInd w:w="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80"/>
        <w:gridCol w:w="4540"/>
      </w:tblGrid>
      <w:tr>
        <w:tblPrEx>
          <w:tblW w:w="9120" w:type="dxa"/>
          <w:tblInd w:w="2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2"/>
        </w:trPr>
        <w:tc>
          <w:tcPr>
            <w:tcW w:w="4580" w:type="dxa"/>
            <w:vAlign w:val="top"/>
          </w:tcPr>
          <w:p>
            <w:pPr>
              <w:pStyle w:val="TableText"/>
              <w:spacing w:before="104" w:line="220" w:lineRule="auto"/>
              <w:ind w:left="2075"/>
            </w:pPr>
            <w:r>
              <w:rPr>
                <w:spacing w:val="8"/>
              </w:rPr>
              <w:t>级别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04" w:line="220" w:lineRule="auto"/>
              <w:ind w:left="1525"/>
            </w:pPr>
            <w:r>
              <w:rPr>
                <w:spacing w:val="-2"/>
              </w:rPr>
              <w:t>红外响应误差/%</w:t>
            </w:r>
          </w:p>
        </w:tc>
      </w:tr>
      <w:tr>
        <w:tblPrEx>
          <w:tblW w:w="9120" w:type="dxa"/>
          <w:tblInd w:w="29" w:type="dxa"/>
          <w:tblLayout w:type="fixed"/>
        </w:tblPrEx>
        <w:trPr>
          <w:trHeight w:val="408"/>
        </w:trPr>
        <w:tc>
          <w:tcPr>
            <w:tcW w:w="4580" w:type="dxa"/>
            <w:vAlign w:val="top"/>
          </w:tcPr>
          <w:p>
            <w:pPr>
              <w:pStyle w:val="TableText"/>
              <w:spacing w:before="102" w:line="220" w:lineRule="auto"/>
              <w:ind w:left="2075"/>
            </w:pPr>
            <w:r>
              <w:rPr>
                <w:spacing w:val="-3"/>
              </w:rPr>
              <w:t>标准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19" w:line="234" w:lineRule="auto"/>
              <w:ind w:left="1994"/>
            </w:pPr>
            <w:r>
              <w:rPr>
                <w:spacing w:val="3"/>
              </w:rPr>
              <w:t>士1.0</w:t>
            </w:r>
          </w:p>
        </w:tc>
      </w:tr>
      <w:tr>
        <w:tblPrEx>
          <w:tblW w:w="9120" w:type="dxa"/>
          <w:tblInd w:w="29" w:type="dxa"/>
          <w:tblLayout w:type="fixed"/>
        </w:tblPrEx>
        <w:trPr>
          <w:trHeight w:val="408"/>
        </w:trPr>
        <w:tc>
          <w:tcPr>
            <w:tcW w:w="4580" w:type="dxa"/>
            <w:vAlign w:val="top"/>
          </w:tcPr>
          <w:p>
            <w:pPr>
              <w:pStyle w:val="TableText"/>
              <w:spacing w:before="106" w:line="221" w:lineRule="auto"/>
              <w:ind w:left="2075"/>
            </w:pPr>
            <w:r>
              <w:rPr>
                <w:spacing w:val="12"/>
              </w:rPr>
              <w:t>一级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21" w:line="234" w:lineRule="auto"/>
              <w:ind w:left="1994"/>
            </w:pPr>
            <w:r>
              <w:rPr>
                <w:spacing w:val="3"/>
              </w:rPr>
              <w:t>士2.0</w:t>
            </w:r>
          </w:p>
        </w:tc>
      </w:tr>
      <w:tr>
        <w:tblPrEx>
          <w:tblW w:w="9120" w:type="dxa"/>
          <w:tblInd w:w="29" w:type="dxa"/>
          <w:tblLayout w:type="fixed"/>
        </w:tblPrEx>
        <w:trPr>
          <w:trHeight w:val="412"/>
        </w:trPr>
        <w:tc>
          <w:tcPr>
            <w:tcW w:w="4580" w:type="dxa"/>
            <w:vAlign w:val="top"/>
          </w:tcPr>
          <w:p>
            <w:pPr>
              <w:pStyle w:val="TableText"/>
              <w:spacing w:before="108" w:line="221" w:lineRule="auto"/>
              <w:ind w:left="2075"/>
            </w:pPr>
            <w:r>
              <w:rPr>
                <w:spacing w:val="6"/>
              </w:rPr>
              <w:t>二级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23" w:line="234" w:lineRule="auto"/>
              <w:ind w:left="1994"/>
            </w:pPr>
            <w:r>
              <w:rPr>
                <w:spacing w:val="3"/>
              </w:rPr>
              <w:t>士4.0</w:t>
            </w:r>
          </w:p>
        </w:tc>
      </w:tr>
    </w:tbl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6.8</w:t>
      </w:r>
      <w:r>
        <w:rPr>
          <w:spacing w:val="10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紫外响应误差</w:t>
      </w:r>
    </w:p>
    <w:p>
      <w:pPr>
        <w:pStyle w:val="BodyText"/>
        <w:spacing w:before="85" w:line="219" w:lineRule="auto"/>
        <w:ind w:left="500"/>
        <w:rPr>
          <w:sz w:val="24"/>
          <w:szCs w:val="24"/>
        </w:rPr>
      </w:pPr>
      <w:r>
        <w:rPr>
          <w:spacing w:val="4"/>
          <w:sz w:val="24"/>
          <w:szCs w:val="24"/>
        </w:rPr>
        <w:t>照度计的紫外响应误差不得超过表8要求。</w:t>
      </w:r>
    </w:p>
    <w:p>
      <w:pPr>
        <w:spacing w:before="99" w:line="222" w:lineRule="auto"/>
        <w:ind w:left="369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0"/>
          <w:sz w:val="19"/>
          <w:szCs w:val="19"/>
        </w:rPr>
        <w:t>表</w:t>
      </w:r>
      <w:r>
        <w:rPr>
          <w:rFonts w:ascii="SimHei" w:eastAsia="SimHei" w:hAnsi="SimHei" w:cs="SimHei"/>
          <w:spacing w:val="-27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10"/>
          <w:sz w:val="19"/>
          <w:szCs w:val="19"/>
        </w:rPr>
        <w:t>8</w:t>
      </w:r>
      <w:r>
        <w:rPr>
          <w:rFonts w:ascii="SimHei" w:eastAsia="SimHei" w:hAnsi="SimHei" w:cs="SimHei"/>
          <w:spacing w:val="17"/>
          <w:sz w:val="19"/>
          <w:szCs w:val="19"/>
        </w:rPr>
        <w:t xml:space="preserve">  </w:t>
      </w:r>
      <w:r>
        <w:rPr>
          <w:rFonts w:ascii="SimHei" w:eastAsia="SimHei" w:hAnsi="SimHei" w:cs="SimHei"/>
          <w:b/>
          <w:bCs/>
          <w:spacing w:val="10"/>
          <w:sz w:val="19"/>
          <w:szCs w:val="19"/>
        </w:rPr>
        <w:t>紫外响应误差</w:t>
      </w:r>
    </w:p>
    <w:p>
      <w:pPr>
        <w:spacing w:line="112" w:lineRule="exact"/>
      </w:pPr>
    </w:p>
    <w:tbl>
      <w:tblPr>
        <w:tblStyle w:val="TableNormal4"/>
        <w:tblW w:w="9120" w:type="dxa"/>
        <w:tblInd w:w="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80"/>
        <w:gridCol w:w="4540"/>
      </w:tblGrid>
      <w:tr>
        <w:tblPrEx>
          <w:tblW w:w="9120" w:type="dxa"/>
          <w:tblInd w:w="2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2"/>
        </w:trPr>
        <w:tc>
          <w:tcPr>
            <w:tcW w:w="4580" w:type="dxa"/>
            <w:vAlign w:val="top"/>
          </w:tcPr>
          <w:p>
            <w:pPr>
              <w:pStyle w:val="TableText"/>
              <w:spacing w:before="104" w:line="220" w:lineRule="auto"/>
              <w:ind w:left="2075"/>
            </w:pPr>
            <w:r>
              <w:rPr>
                <w:spacing w:val="8"/>
              </w:rPr>
              <w:t>级别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03" w:line="219" w:lineRule="auto"/>
              <w:ind w:left="1525"/>
            </w:pPr>
            <w:r>
              <w:rPr>
                <w:spacing w:val="-2"/>
              </w:rPr>
              <w:t>紫外响应误差/%</w:t>
            </w:r>
          </w:p>
        </w:tc>
      </w:tr>
      <w:tr>
        <w:tblPrEx>
          <w:tblW w:w="9120" w:type="dxa"/>
          <w:tblInd w:w="29" w:type="dxa"/>
          <w:tblLayout w:type="fixed"/>
        </w:tblPrEx>
        <w:trPr>
          <w:trHeight w:val="398"/>
        </w:trPr>
        <w:tc>
          <w:tcPr>
            <w:tcW w:w="4580" w:type="dxa"/>
            <w:vAlign w:val="top"/>
          </w:tcPr>
          <w:p>
            <w:pPr>
              <w:pStyle w:val="TableText"/>
              <w:spacing w:before="102" w:line="220" w:lineRule="auto"/>
              <w:ind w:left="2075"/>
            </w:pPr>
            <w:r>
              <w:rPr>
                <w:spacing w:val="-3"/>
              </w:rPr>
              <w:t>标准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19" w:line="234" w:lineRule="auto"/>
              <w:ind w:left="1994"/>
            </w:pPr>
            <w:r>
              <w:rPr>
                <w:spacing w:val="4"/>
              </w:rPr>
              <w:t>士0.5</w:t>
            </w:r>
          </w:p>
        </w:tc>
      </w:tr>
      <w:tr>
        <w:tblPrEx>
          <w:tblW w:w="9120" w:type="dxa"/>
          <w:tblInd w:w="29" w:type="dxa"/>
          <w:tblLayout w:type="fixed"/>
        </w:tblPrEx>
        <w:trPr>
          <w:trHeight w:val="408"/>
        </w:trPr>
        <w:tc>
          <w:tcPr>
            <w:tcW w:w="4580" w:type="dxa"/>
            <w:vAlign w:val="top"/>
          </w:tcPr>
          <w:p>
            <w:pPr>
              <w:pStyle w:val="TableText"/>
              <w:spacing w:before="106" w:line="221" w:lineRule="auto"/>
              <w:ind w:left="2075"/>
            </w:pPr>
            <w:r>
              <w:rPr>
                <w:spacing w:val="12"/>
              </w:rPr>
              <w:t>一级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21" w:line="234" w:lineRule="auto"/>
              <w:ind w:left="1994"/>
            </w:pPr>
            <w:r>
              <w:rPr>
                <w:spacing w:val="4"/>
              </w:rPr>
              <w:t>士1.5</w:t>
            </w:r>
          </w:p>
        </w:tc>
      </w:tr>
      <w:tr>
        <w:tblPrEx>
          <w:tblW w:w="9120" w:type="dxa"/>
          <w:tblInd w:w="29" w:type="dxa"/>
          <w:tblLayout w:type="fixed"/>
        </w:tblPrEx>
        <w:trPr>
          <w:trHeight w:val="412"/>
        </w:trPr>
        <w:tc>
          <w:tcPr>
            <w:tcW w:w="4580" w:type="dxa"/>
            <w:vAlign w:val="top"/>
          </w:tcPr>
          <w:p>
            <w:pPr>
              <w:pStyle w:val="TableText"/>
              <w:spacing w:before="108" w:line="221" w:lineRule="auto"/>
              <w:ind w:left="2075"/>
            </w:pPr>
            <w:r>
              <w:rPr>
                <w:spacing w:val="6"/>
              </w:rPr>
              <w:t>二级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23" w:line="234" w:lineRule="auto"/>
              <w:ind w:left="1994"/>
            </w:pPr>
            <w:r>
              <w:rPr>
                <w:spacing w:val="4"/>
              </w:rPr>
              <w:t>士2.5</w:t>
            </w:r>
          </w:p>
        </w:tc>
      </w:tr>
    </w:tbl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6.9</w:t>
      </w:r>
      <w:r>
        <w:rPr>
          <w:spacing w:val="10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非线性误差</w:t>
      </w:r>
    </w:p>
    <w:p>
      <w:pPr>
        <w:pStyle w:val="BodyText"/>
        <w:spacing w:before="94" w:line="219" w:lineRule="auto"/>
        <w:ind w:left="500"/>
        <w:rPr>
          <w:sz w:val="24"/>
          <w:szCs w:val="24"/>
        </w:rPr>
      </w:pPr>
      <w:r>
        <w:rPr>
          <w:spacing w:val="3"/>
          <w:sz w:val="24"/>
          <w:szCs w:val="24"/>
        </w:rPr>
        <w:t>照度计的非线性误差不得超过表9要求。</w:t>
      </w:r>
    </w:p>
    <w:p>
      <w:pPr>
        <w:spacing w:before="87" w:line="219" w:lineRule="auto"/>
        <w:ind w:left="378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8"/>
          <w:sz w:val="19"/>
          <w:szCs w:val="19"/>
        </w:rPr>
        <w:t>表</w:t>
      </w:r>
      <w:r>
        <w:rPr>
          <w:rFonts w:ascii="SimHei" w:eastAsia="SimHei" w:hAnsi="SimHei" w:cs="SimHei"/>
          <w:spacing w:val="-10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8"/>
          <w:sz w:val="19"/>
          <w:szCs w:val="19"/>
        </w:rPr>
        <w:t>9</w:t>
      </w:r>
      <w:r>
        <w:rPr>
          <w:rFonts w:ascii="SimHei" w:eastAsia="SimHei" w:hAnsi="SimHei" w:cs="SimHei"/>
          <w:spacing w:val="12"/>
          <w:sz w:val="19"/>
          <w:szCs w:val="19"/>
        </w:rPr>
        <w:t xml:space="preserve">  </w:t>
      </w:r>
      <w:r>
        <w:rPr>
          <w:rFonts w:ascii="SimHei" w:eastAsia="SimHei" w:hAnsi="SimHei" w:cs="SimHei"/>
          <w:b/>
          <w:bCs/>
          <w:spacing w:val="8"/>
          <w:sz w:val="19"/>
          <w:szCs w:val="19"/>
        </w:rPr>
        <w:t>非线性误差</w:t>
      </w:r>
    </w:p>
    <w:p>
      <w:pPr>
        <w:spacing w:line="128" w:lineRule="exact"/>
      </w:pPr>
    </w:p>
    <w:tbl>
      <w:tblPr>
        <w:tblStyle w:val="TableNormal4"/>
        <w:tblW w:w="9120" w:type="dxa"/>
        <w:tblInd w:w="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80"/>
        <w:gridCol w:w="4540"/>
      </w:tblGrid>
      <w:tr>
        <w:tblPrEx>
          <w:tblW w:w="9120" w:type="dxa"/>
          <w:tblInd w:w="2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2"/>
        </w:trPr>
        <w:tc>
          <w:tcPr>
            <w:tcW w:w="4580" w:type="dxa"/>
            <w:vAlign w:val="top"/>
          </w:tcPr>
          <w:p>
            <w:pPr>
              <w:pStyle w:val="TableText"/>
              <w:spacing w:before="104" w:line="220" w:lineRule="auto"/>
              <w:ind w:left="2075"/>
            </w:pPr>
            <w:r>
              <w:rPr>
                <w:spacing w:val="8"/>
              </w:rPr>
              <w:t>级别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04" w:line="220" w:lineRule="auto"/>
              <w:ind w:left="1635"/>
            </w:pPr>
            <w:r>
              <w:rPr>
                <w:spacing w:val="-2"/>
              </w:rPr>
              <w:t>非线性误差/%</w:t>
            </w:r>
          </w:p>
        </w:tc>
      </w:tr>
      <w:tr>
        <w:tblPrEx>
          <w:tblW w:w="9120" w:type="dxa"/>
          <w:tblInd w:w="29" w:type="dxa"/>
          <w:tblLayout w:type="fixed"/>
        </w:tblPrEx>
        <w:trPr>
          <w:trHeight w:val="398"/>
        </w:trPr>
        <w:tc>
          <w:tcPr>
            <w:tcW w:w="4580" w:type="dxa"/>
            <w:vAlign w:val="top"/>
          </w:tcPr>
          <w:p>
            <w:pPr>
              <w:pStyle w:val="TableText"/>
              <w:spacing w:before="102" w:line="220" w:lineRule="auto"/>
              <w:ind w:left="2075"/>
            </w:pPr>
            <w:r>
              <w:rPr>
                <w:spacing w:val="-3"/>
              </w:rPr>
              <w:t>标准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19" w:line="234" w:lineRule="auto"/>
              <w:ind w:left="1994"/>
            </w:pPr>
            <w:r>
              <w:rPr>
                <w:spacing w:val="4"/>
              </w:rPr>
              <w:t>士0.3</w:t>
            </w:r>
          </w:p>
        </w:tc>
      </w:tr>
      <w:tr>
        <w:tblPrEx>
          <w:tblW w:w="9120" w:type="dxa"/>
          <w:tblInd w:w="29" w:type="dxa"/>
          <w:tblLayout w:type="fixed"/>
        </w:tblPrEx>
        <w:trPr>
          <w:trHeight w:val="418"/>
        </w:trPr>
        <w:tc>
          <w:tcPr>
            <w:tcW w:w="4580" w:type="dxa"/>
            <w:vAlign w:val="top"/>
          </w:tcPr>
          <w:p>
            <w:pPr>
              <w:pStyle w:val="TableText"/>
              <w:spacing w:before="116" w:line="221" w:lineRule="auto"/>
              <w:ind w:left="2075"/>
            </w:pPr>
            <w:r>
              <w:rPr>
                <w:spacing w:val="12"/>
              </w:rPr>
              <w:t>一级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31" w:line="234" w:lineRule="auto"/>
              <w:ind w:left="1994"/>
            </w:pPr>
            <w:r>
              <w:rPr>
                <w:spacing w:val="3"/>
              </w:rPr>
              <w:t>士1.0</w:t>
            </w:r>
          </w:p>
        </w:tc>
      </w:tr>
      <w:tr>
        <w:tblPrEx>
          <w:tblW w:w="9120" w:type="dxa"/>
          <w:tblInd w:w="29" w:type="dxa"/>
          <w:tblLayout w:type="fixed"/>
        </w:tblPrEx>
        <w:trPr>
          <w:trHeight w:val="402"/>
        </w:trPr>
        <w:tc>
          <w:tcPr>
            <w:tcW w:w="4580" w:type="dxa"/>
            <w:vAlign w:val="top"/>
          </w:tcPr>
          <w:p>
            <w:pPr>
              <w:pStyle w:val="TableText"/>
              <w:spacing w:before="108" w:line="221" w:lineRule="auto"/>
              <w:ind w:left="2075"/>
            </w:pPr>
            <w:r>
              <w:rPr>
                <w:spacing w:val="6"/>
              </w:rPr>
              <w:t>二级</w:t>
            </w:r>
          </w:p>
        </w:tc>
        <w:tc>
          <w:tcPr>
            <w:tcW w:w="4540" w:type="dxa"/>
            <w:vAlign w:val="top"/>
          </w:tcPr>
          <w:p>
            <w:pPr>
              <w:pStyle w:val="TableText"/>
              <w:spacing w:before="123" w:line="234" w:lineRule="auto"/>
              <w:ind w:left="1994"/>
            </w:pPr>
            <w:r>
              <w:rPr>
                <w:spacing w:val="4"/>
              </w:rPr>
              <w:t>士2.5</w:t>
            </w:r>
          </w:p>
        </w:tc>
      </w:tr>
    </w:tbl>
    <w:p>
      <w:pPr>
        <w:spacing w:line="440" w:lineRule="auto"/>
        <w:rPr>
          <w:rFonts w:ascii="Arial"/>
          <w:sz w:val="21"/>
        </w:rPr>
      </w:pPr>
    </w:p>
    <w:p>
      <w:pPr>
        <w:spacing w:before="78" w:line="222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13"/>
          <w:sz w:val="24"/>
          <w:szCs w:val="24"/>
        </w:rPr>
        <w:t>7</w:t>
      </w:r>
      <w:r>
        <w:rPr>
          <w:rFonts w:ascii="SimHei" w:eastAsia="SimHei" w:hAnsi="SimHei" w:cs="SimHei"/>
          <w:spacing w:val="15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13"/>
          <w:sz w:val="24"/>
          <w:szCs w:val="24"/>
        </w:rPr>
        <w:t>通用技术要求</w:t>
      </w:r>
    </w:p>
    <w:p>
      <w:pPr>
        <w:pStyle w:val="BodyText"/>
        <w:spacing w:before="256" w:line="220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7.1</w:t>
      </w:r>
      <w:r>
        <w:rPr>
          <w:spacing w:val="89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外观及结构</w:t>
      </w:r>
    </w:p>
    <w:p>
      <w:pPr>
        <w:pStyle w:val="BodyText"/>
        <w:spacing w:before="83" w:line="248" w:lineRule="auto"/>
        <w:ind w:right="65"/>
        <w:rPr>
          <w:sz w:val="24"/>
          <w:szCs w:val="24"/>
        </w:rPr>
        <w:sectPr>
          <w:headerReference w:type="default" r:id="rId16"/>
          <w:footerReference w:type="default" r:id="rId17"/>
          <w:pgSz w:w="11900" w:h="16840"/>
          <w:pgMar w:top="1740" w:right="1450" w:bottom="1105" w:left="1269" w:header="1432" w:footer="956" w:gutter="0"/>
          <w:pgNumType w:start="7"/>
          <w:cols w:space="708"/>
        </w:sectPr>
      </w:pPr>
      <w:r>
        <w:rPr>
          <w:spacing w:val="3"/>
          <w:sz w:val="24"/>
          <w:szCs w:val="24"/>
        </w:rPr>
        <w:t>7.1.1</w:t>
      </w:r>
      <w:r>
        <w:rPr>
          <w:spacing w:val="116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照度计应有清晰的铭牌，铭牌上标明设备名称、型号、规格、制造厂名、出厂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编号、生产日期以及计量器具制造许可证标志等标识。</w:t>
      </w:r>
    </w:p>
    <w:p>
      <w:pPr>
        <w:pStyle w:val="BodyText"/>
        <w:spacing w:before="85" w:line="252" w:lineRule="auto"/>
        <w:ind w:right="70"/>
        <w:rPr>
          <w:sz w:val="24"/>
          <w:szCs w:val="24"/>
        </w:rPr>
      </w:pPr>
      <w:r>
        <w:rPr>
          <w:spacing w:val="3"/>
          <w:sz w:val="24"/>
          <w:szCs w:val="24"/>
        </w:rPr>
        <w:t>7.1.2</w:t>
      </w:r>
      <w:r>
        <w:rPr>
          <w:spacing w:val="111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照度计连接线路应接触良好，光度头的余弦修正器外表面应清洁无损，不允许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有斑点等痕迹。数字式照度计数字显示应清晰、没有断笔划等现象。</w:t>
      </w:r>
    </w:p>
    <w:p>
      <w:pPr>
        <w:pStyle w:val="BodyText"/>
        <w:spacing w:before="74" w:line="219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7.1.3</w:t>
      </w:r>
      <w:r>
        <w:rPr>
          <w:spacing w:val="95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说明书</w:t>
      </w:r>
    </w:p>
    <w:p>
      <w:pPr>
        <w:pStyle w:val="BodyText"/>
        <w:spacing w:before="76" w:line="263" w:lineRule="auto"/>
        <w:ind w:right="56" w:firstLine="500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照度计使用说明书上应包括以下技术指标：仪器尺寸、测量范围、零值误差、相对</w:t>
      </w:r>
      <w:r>
        <w:rPr>
          <w:spacing w:val="18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示值误差、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>V(λ)</w:t>
      </w:r>
      <w:r>
        <w:rPr>
          <w:rFonts w:ascii="Times New Roman" w:eastAsia="Times New Roman" w:hAnsi="Times New Roman" w:cs="Times New Roman"/>
          <w:spacing w:val="53"/>
          <w:w w:val="101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匹配误差、余弦特性(方向性响应)误差、换挡误差、疲劳误</w:t>
      </w:r>
      <w:r>
        <w:rPr>
          <w:spacing w:val="9"/>
          <w:sz w:val="24"/>
          <w:szCs w:val="24"/>
        </w:rPr>
        <w:t>差、红</w:t>
      </w:r>
      <w:r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外响应误差、紫外响应误差、非线性误差。</w:t>
      </w:r>
    </w:p>
    <w:p>
      <w:pPr>
        <w:pStyle w:val="BodyText"/>
        <w:spacing w:before="76" w:line="221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7.2  电气安全性</w:t>
      </w:r>
    </w:p>
    <w:p>
      <w:pPr>
        <w:pStyle w:val="BodyText"/>
        <w:spacing w:before="82" w:line="219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7.2.1</w:t>
      </w:r>
      <w:r>
        <w:rPr>
          <w:spacing w:val="12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控制器件及仪表标识</w:t>
      </w:r>
    </w:p>
    <w:p>
      <w:pPr>
        <w:pStyle w:val="BodyText"/>
        <w:spacing w:before="85" w:line="219" w:lineRule="auto"/>
        <w:ind w:left="500"/>
        <w:rPr>
          <w:sz w:val="24"/>
          <w:szCs w:val="24"/>
        </w:rPr>
      </w:pPr>
      <w:r>
        <w:rPr>
          <w:spacing w:val="-1"/>
          <w:sz w:val="24"/>
          <w:szCs w:val="24"/>
        </w:rPr>
        <w:t>照度计的电源开关应有明确的通断标识，外接交流电源的照度计应有能显示设备已</w:t>
      </w:r>
    </w:p>
    <w:p>
      <w:pPr>
        <w:spacing w:line="219" w:lineRule="auto"/>
        <w:rPr>
          <w:sz w:val="24"/>
          <w:szCs w:val="24"/>
        </w:rPr>
        <w:sectPr>
          <w:headerReference w:type="default" r:id="rId18"/>
          <w:footerReference w:type="default" r:id="rId19"/>
          <w:type w:val="nextPage"/>
          <w:pgSz w:w="11900" w:h="16840"/>
          <w:pgMar w:top="1740" w:right="1450" w:bottom="1105" w:left="1269" w:header="1432" w:footer="956" w:gutter="0"/>
          <w:pgNumType w:start="8"/>
          <w:cols w:space="708"/>
          <w:titlePg w:val="0"/>
        </w:sectPr>
      </w:pPr>
    </w:p>
    <w:p>
      <w:pPr>
        <w:pStyle w:val="BodyText"/>
        <w:spacing w:before="220" w:line="220" w:lineRule="auto"/>
        <w:ind w:left="19"/>
        <w:rPr>
          <w:sz w:val="24"/>
          <w:szCs w:val="24"/>
        </w:rPr>
      </w:pPr>
      <w:r>
        <w:rPr>
          <w:spacing w:val="-6"/>
          <w:sz w:val="24"/>
          <w:szCs w:val="24"/>
        </w:rPr>
        <w:t>通电的指示灯。</w:t>
      </w:r>
    </w:p>
    <w:p>
      <w:pPr>
        <w:pStyle w:val="BodyText"/>
        <w:spacing w:before="73" w:line="219" w:lineRule="auto"/>
        <w:ind w:left="19"/>
        <w:rPr>
          <w:sz w:val="24"/>
          <w:szCs w:val="24"/>
        </w:rPr>
      </w:pPr>
      <w:r>
        <w:rPr>
          <w:sz w:val="24"/>
          <w:szCs w:val="24"/>
        </w:rPr>
        <w:t>7.2.2</w:t>
      </w:r>
      <w:r>
        <w:rPr>
          <w:spacing w:val="95"/>
          <w:sz w:val="24"/>
          <w:szCs w:val="24"/>
        </w:rPr>
        <w:t xml:space="preserve"> </w:t>
      </w:r>
      <w:r>
        <w:rPr>
          <w:sz w:val="24"/>
          <w:szCs w:val="24"/>
        </w:rPr>
        <w:t>保护接地端子及接地标志</w:t>
      </w:r>
    </w:p>
    <w:p>
      <w:pPr>
        <w:pStyle w:val="BodyText"/>
        <w:spacing w:before="84" w:line="362" w:lineRule="exact"/>
        <w:ind w:left="499"/>
        <w:rPr>
          <w:sz w:val="24"/>
          <w:szCs w:val="24"/>
        </w:rPr>
      </w:pPr>
      <w:r>
        <w:rPr>
          <w:spacing w:val="-1"/>
          <w:position w:val="8"/>
          <w:sz w:val="24"/>
          <w:szCs w:val="24"/>
        </w:rPr>
        <w:t>外接交流电源的照度计应有保护接地端子及清晰的接地标志。</w:t>
      </w:r>
    </w:p>
    <w:p>
      <w:pPr>
        <w:pStyle w:val="BodyText"/>
        <w:spacing w:before="1" w:line="220" w:lineRule="auto"/>
        <w:ind w:left="19"/>
        <w:rPr>
          <w:sz w:val="24"/>
          <w:szCs w:val="24"/>
        </w:rPr>
      </w:pPr>
      <w:hyperlink r:id="rId20" w:history="1">
        <w:r>
          <w:rPr>
            <w:sz w:val="24"/>
            <w:szCs w:val="24"/>
          </w:rPr>
          <w:t>7.2.2.1</w:t>
        </w:r>
      </w:hyperlink>
      <w:r>
        <w:rPr>
          <w:spacing w:val="97"/>
          <w:sz w:val="24"/>
          <w:szCs w:val="24"/>
        </w:rPr>
        <w:t xml:space="preserve"> </w:t>
      </w:r>
      <w:r>
        <w:rPr>
          <w:sz w:val="24"/>
          <w:szCs w:val="24"/>
        </w:rPr>
        <w:t>绝缘电阻</w:t>
      </w:r>
    </w:p>
    <w:p>
      <w:pPr>
        <w:pStyle w:val="BodyText"/>
        <w:spacing w:before="61" w:line="219" w:lineRule="auto"/>
        <w:ind w:left="499"/>
        <w:rPr>
          <w:sz w:val="24"/>
          <w:szCs w:val="24"/>
        </w:rPr>
      </w:pPr>
      <w:r>
        <w:rPr>
          <w:spacing w:val="14"/>
          <w:sz w:val="24"/>
          <w:szCs w:val="24"/>
        </w:rPr>
        <w:t>外接交流电源的照度计应有良好的绝缘性能，在正常条件下绝缘电阻应不小于</w:t>
      </w:r>
    </w:p>
    <w:p>
      <w:pPr>
        <w:pStyle w:val="BodyText"/>
        <w:spacing w:before="119" w:line="237" w:lineRule="auto"/>
        <w:ind w:left="19"/>
        <w:rPr>
          <w:sz w:val="24"/>
          <w:szCs w:val="24"/>
        </w:rPr>
      </w:pPr>
      <w:r>
        <w:rPr>
          <w:spacing w:val="-6"/>
          <w:sz w:val="24"/>
          <w:szCs w:val="24"/>
        </w:rPr>
        <w:t>20 MΩ。</w:t>
      </w:r>
    </w:p>
    <w:p>
      <w:pPr>
        <w:pStyle w:val="BodyText"/>
        <w:spacing w:before="26" w:line="219" w:lineRule="auto"/>
        <w:ind w:left="19"/>
        <w:rPr>
          <w:sz w:val="24"/>
          <w:szCs w:val="24"/>
        </w:rPr>
      </w:pPr>
      <w:hyperlink r:id="rId21" w:history="1">
        <w:r>
          <w:rPr>
            <w:sz w:val="24"/>
            <w:szCs w:val="24"/>
          </w:rPr>
          <w:t>7.2.2.2</w:t>
        </w:r>
      </w:hyperlink>
      <w:r>
        <w:rPr>
          <w:spacing w:val="103"/>
          <w:sz w:val="24"/>
          <w:szCs w:val="24"/>
        </w:rPr>
        <w:t xml:space="preserve"> </w:t>
      </w:r>
      <w:r>
        <w:rPr>
          <w:sz w:val="24"/>
          <w:szCs w:val="24"/>
        </w:rPr>
        <w:t>介电强度</w:t>
      </w:r>
    </w:p>
    <w:p>
      <w:pPr>
        <w:pStyle w:val="BodyText"/>
        <w:spacing w:before="67" w:line="246" w:lineRule="auto"/>
        <w:ind w:left="19" w:right="110" w:firstLine="479"/>
        <w:rPr>
          <w:sz w:val="24"/>
          <w:szCs w:val="24"/>
        </w:rPr>
      </w:pPr>
      <w:r>
        <w:rPr>
          <w:spacing w:val="5"/>
          <w:sz w:val="24"/>
          <w:szCs w:val="24"/>
        </w:rPr>
        <w:t>外接交流电源的照度计的电源插头的相中联线</w:t>
      </w:r>
      <w:r>
        <w:rPr>
          <w:spacing w:val="4"/>
          <w:sz w:val="24"/>
          <w:szCs w:val="24"/>
        </w:rPr>
        <w:t>和接地端施加1500</w:t>
      </w:r>
      <w:r>
        <w:rPr>
          <w:spacing w:val="-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交流电压，击</w:t>
      </w:r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穿电流设定为5</w:t>
      </w:r>
      <w:r>
        <w:rPr>
          <w:spacing w:val="-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,   </w:t>
      </w:r>
      <w:r>
        <w:rPr>
          <w:spacing w:val="5"/>
          <w:sz w:val="24"/>
          <w:szCs w:val="24"/>
        </w:rPr>
        <w:t>持续60</w:t>
      </w:r>
      <w:r>
        <w:rPr>
          <w:spacing w:val="-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进行试验，仪器不</w:t>
      </w:r>
      <w:r>
        <w:rPr>
          <w:spacing w:val="4"/>
          <w:sz w:val="24"/>
          <w:szCs w:val="24"/>
        </w:rPr>
        <w:t>应出现击穿或飞弧现象。</w:t>
      </w:r>
    </w:p>
    <w:p>
      <w:pPr>
        <w:pStyle w:val="BodyText"/>
        <w:spacing w:before="101" w:line="220" w:lineRule="auto"/>
        <w:ind w:left="19"/>
        <w:rPr>
          <w:sz w:val="24"/>
          <w:szCs w:val="24"/>
        </w:rPr>
      </w:pPr>
      <w:r>
        <w:rPr>
          <w:spacing w:val="-3"/>
          <w:sz w:val="24"/>
          <w:szCs w:val="24"/>
        </w:rPr>
        <w:t>7.3</w:t>
      </w:r>
      <w:r>
        <w:rPr>
          <w:spacing w:val="105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环境适应性</w:t>
      </w:r>
    </w:p>
    <w:p>
      <w:pPr>
        <w:pStyle w:val="BodyText"/>
        <w:spacing w:before="94" w:line="219" w:lineRule="auto"/>
        <w:ind w:left="19"/>
        <w:rPr>
          <w:sz w:val="24"/>
          <w:szCs w:val="24"/>
        </w:rPr>
      </w:pPr>
      <w:r>
        <w:rPr>
          <w:spacing w:val="-2"/>
          <w:sz w:val="24"/>
          <w:szCs w:val="24"/>
        </w:rPr>
        <w:t>7.3.1</w:t>
      </w:r>
      <w:r>
        <w:rPr>
          <w:spacing w:val="9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气候环境适应性</w:t>
      </w:r>
    </w:p>
    <w:p>
      <w:pPr>
        <w:pStyle w:val="BodyText"/>
        <w:spacing w:before="65" w:line="219" w:lineRule="auto"/>
        <w:ind w:left="23"/>
        <w:rPr>
          <w:sz w:val="24"/>
          <w:szCs w:val="24"/>
        </w:rPr>
      </w:pPr>
      <w:hyperlink r:id="rId22" w:history="1">
        <w:r>
          <w:rPr>
            <w:b/>
            <w:bCs/>
            <w:spacing w:val="-4"/>
            <w:sz w:val="24"/>
            <w:szCs w:val="24"/>
          </w:rPr>
          <w:t>7.3.1.1</w:t>
        </w:r>
      </w:hyperlink>
      <w:r>
        <w:rPr>
          <w:spacing w:val="103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高温适应性</w:t>
      </w:r>
    </w:p>
    <w:p>
      <w:pPr>
        <w:pStyle w:val="BodyText"/>
        <w:spacing w:before="85" w:line="252" w:lineRule="auto"/>
        <w:ind w:left="19" w:right="107" w:firstLine="479"/>
        <w:rPr>
          <w:sz w:val="24"/>
          <w:szCs w:val="24"/>
        </w:rPr>
      </w:pPr>
      <w:r>
        <w:rPr>
          <w:spacing w:val="3"/>
          <w:sz w:val="24"/>
          <w:szCs w:val="24"/>
        </w:rPr>
        <w:t>照度计处在高温(40±2)℃状态及经受高温后，能正常工作，且相对示值误差应能</w:t>
      </w:r>
      <w:r>
        <w:rPr>
          <w:spacing w:val="7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符合6.2的要求。</w:t>
      </w:r>
    </w:p>
    <w:p>
      <w:pPr>
        <w:pStyle w:val="BodyText"/>
        <w:spacing w:before="76" w:line="221" w:lineRule="auto"/>
        <w:ind w:left="23"/>
        <w:rPr>
          <w:sz w:val="24"/>
          <w:szCs w:val="24"/>
        </w:rPr>
      </w:pPr>
      <w:hyperlink r:id="rId23" w:history="1">
        <w:r>
          <w:rPr>
            <w:b/>
            <w:bCs/>
            <w:spacing w:val="-4"/>
            <w:sz w:val="24"/>
            <w:szCs w:val="24"/>
          </w:rPr>
          <w:t>7.3.1.2</w:t>
        </w:r>
      </w:hyperlink>
      <w:r>
        <w:rPr>
          <w:spacing w:val="99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低温适应性</w:t>
      </w:r>
    </w:p>
    <w:p>
      <w:pPr>
        <w:pStyle w:val="BodyText"/>
        <w:spacing w:before="36" w:line="258" w:lineRule="auto"/>
        <w:ind w:left="19" w:right="107" w:firstLine="479"/>
        <w:rPr>
          <w:sz w:val="24"/>
          <w:szCs w:val="24"/>
        </w:rPr>
      </w:pPr>
      <w:r>
        <w:rPr>
          <w:spacing w:val="3"/>
          <w:sz w:val="24"/>
          <w:szCs w:val="24"/>
        </w:rPr>
        <w:t xml:space="preserve">照度计处在低温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(O±3)℃  </w:t>
      </w:r>
      <w:r>
        <w:rPr>
          <w:spacing w:val="3"/>
          <w:sz w:val="24"/>
          <w:szCs w:val="24"/>
        </w:rPr>
        <w:t>状态及经受低温后，能正常工作，且相对示值误差应能</w:t>
      </w:r>
      <w:r>
        <w:rPr>
          <w:spacing w:val="10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符合6.2的要求。</w:t>
      </w:r>
    </w:p>
    <w:p>
      <w:pPr>
        <w:pStyle w:val="BodyText"/>
        <w:spacing w:before="86" w:line="220" w:lineRule="auto"/>
        <w:ind w:left="23"/>
        <w:rPr>
          <w:sz w:val="24"/>
          <w:szCs w:val="24"/>
        </w:rPr>
      </w:pPr>
      <w:hyperlink r:id="rId24" w:history="1">
        <w:r>
          <w:rPr>
            <w:b/>
            <w:bCs/>
            <w:spacing w:val="-3"/>
            <w:sz w:val="24"/>
            <w:szCs w:val="24"/>
          </w:rPr>
          <w:t>7.3.1.3</w:t>
        </w:r>
      </w:hyperlink>
      <w:r>
        <w:rPr>
          <w:spacing w:val="94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恒定湿热适应性</w:t>
      </w:r>
    </w:p>
    <w:p>
      <w:pPr>
        <w:pStyle w:val="BodyText"/>
        <w:spacing w:before="42" w:line="260" w:lineRule="auto"/>
        <w:ind w:left="19" w:right="106" w:firstLine="479"/>
        <w:rPr>
          <w:sz w:val="24"/>
          <w:szCs w:val="24"/>
        </w:rPr>
      </w:pPr>
      <w:r>
        <w:rPr>
          <w:spacing w:val="22"/>
          <w:sz w:val="24"/>
          <w:szCs w:val="24"/>
        </w:rPr>
        <w:t>照度计处在恒定湿热状态(40℃±2℃、相对湿度90%～95%)及经受恒定湿热</w:t>
      </w:r>
      <w:r>
        <w:rPr>
          <w:spacing w:val="6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状态后，能正常工作，且相对示值误差应能符合6.2的要求。</w:t>
      </w:r>
    </w:p>
    <w:p>
      <w:pPr>
        <w:pStyle w:val="BodyText"/>
        <w:spacing w:before="95" w:line="219" w:lineRule="auto"/>
        <w:ind w:left="19"/>
        <w:rPr>
          <w:sz w:val="24"/>
          <w:szCs w:val="24"/>
        </w:rPr>
      </w:pPr>
      <w:hyperlink r:id="rId25" w:history="1">
        <w:r>
          <w:rPr>
            <w:spacing w:val="-3"/>
            <w:sz w:val="24"/>
            <w:szCs w:val="24"/>
          </w:rPr>
          <w:t>7.3.1.4</w:t>
        </w:r>
      </w:hyperlink>
      <w:r>
        <w:rPr>
          <w:spacing w:val="107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高温贮存适应性</w:t>
      </w:r>
    </w:p>
    <w:p>
      <w:pPr>
        <w:pStyle w:val="BodyText"/>
        <w:spacing w:before="55" w:line="252" w:lineRule="auto"/>
        <w:ind w:left="19" w:right="106" w:firstLine="479"/>
        <w:rPr>
          <w:sz w:val="24"/>
          <w:szCs w:val="24"/>
        </w:rPr>
      </w:pPr>
      <w:r>
        <w:rPr>
          <w:spacing w:val="9"/>
          <w:sz w:val="24"/>
          <w:szCs w:val="24"/>
        </w:rPr>
        <w:t>完整包装的照度计经过高温(56</w:t>
      </w:r>
      <w:r>
        <w:rPr>
          <w:spacing w:val="48"/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>℃)环境条件下运输、运</w:t>
      </w:r>
      <w:r>
        <w:rPr>
          <w:spacing w:val="8"/>
          <w:sz w:val="24"/>
          <w:szCs w:val="24"/>
        </w:rPr>
        <w:t>输贮存以后，能正常工</w:t>
      </w:r>
      <w:r>
        <w:rPr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作，且相对示值误差应能符合6.2的要求。</w:t>
      </w:r>
    </w:p>
    <w:p>
      <w:pPr>
        <w:pStyle w:val="BodyText"/>
        <w:spacing w:before="85" w:line="219" w:lineRule="auto"/>
        <w:ind w:left="19"/>
        <w:rPr>
          <w:sz w:val="24"/>
          <w:szCs w:val="24"/>
        </w:rPr>
      </w:pPr>
      <w:hyperlink r:id="rId26" w:history="1">
        <w:r>
          <w:rPr>
            <w:spacing w:val="-2"/>
            <w:sz w:val="24"/>
            <w:szCs w:val="24"/>
          </w:rPr>
          <w:t>7.3.1.5</w:t>
        </w:r>
      </w:hyperlink>
      <w:r>
        <w:rPr>
          <w:spacing w:val="8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低温贮存适应性</w:t>
      </w:r>
    </w:p>
    <w:p>
      <w:pPr>
        <w:pStyle w:val="BodyText"/>
        <w:spacing w:before="62" w:line="219" w:lineRule="auto"/>
        <w:ind w:left="503"/>
        <w:rPr>
          <w:sz w:val="24"/>
          <w:szCs w:val="24"/>
        </w:rPr>
      </w:pPr>
      <w:r>
        <w:rPr>
          <w:b/>
          <w:bCs/>
          <w:spacing w:val="6"/>
          <w:sz w:val="24"/>
          <w:szCs w:val="24"/>
        </w:rPr>
        <w:t>完整包装的照度计经过低温(一20</w:t>
      </w:r>
      <w:r>
        <w:rPr>
          <w:spacing w:val="48"/>
          <w:sz w:val="24"/>
          <w:szCs w:val="24"/>
        </w:rPr>
        <w:t xml:space="preserve"> </w:t>
      </w:r>
      <w:r>
        <w:rPr>
          <w:b/>
          <w:bCs/>
          <w:spacing w:val="6"/>
          <w:sz w:val="24"/>
          <w:szCs w:val="24"/>
        </w:rPr>
        <w:t>℃)环境条件下运输、运输贮存以后，能正常</w:t>
      </w:r>
    </w:p>
    <w:p>
      <w:pPr>
        <w:pStyle w:val="BodyText"/>
        <w:spacing w:before="89" w:line="219" w:lineRule="auto"/>
        <w:ind w:left="19"/>
        <w:rPr>
          <w:sz w:val="24"/>
          <w:szCs w:val="24"/>
        </w:rPr>
      </w:pPr>
      <w:r>
        <w:rPr>
          <w:spacing w:val="3"/>
          <w:sz w:val="24"/>
          <w:szCs w:val="24"/>
        </w:rPr>
        <w:t>工作，且相对示值误差应能符合6.2的要求。</w:t>
      </w:r>
    </w:p>
    <w:p>
      <w:pPr>
        <w:pStyle w:val="BodyText"/>
        <w:spacing w:before="76" w:line="220" w:lineRule="auto"/>
        <w:ind w:left="19"/>
        <w:rPr>
          <w:sz w:val="24"/>
          <w:szCs w:val="24"/>
        </w:rPr>
      </w:pPr>
      <w:hyperlink r:id="rId27" w:history="1">
        <w:r>
          <w:rPr>
            <w:spacing w:val="-2"/>
            <w:sz w:val="24"/>
            <w:szCs w:val="24"/>
          </w:rPr>
          <w:t>7.3.1.6</w:t>
        </w:r>
      </w:hyperlink>
      <w:r>
        <w:rPr>
          <w:spacing w:val="9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温度突变适应性</w:t>
      </w:r>
    </w:p>
    <w:p>
      <w:pPr>
        <w:pStyle w:val="BodyText"/>
        <w:spacing w:before="57" w:line="258" w:lineRule="auto"/>
        <w:ind w:left="19" w:firstLine="479"/>
        <w:rPr>
          <w:sz w:val="24"/>
          <w:szCs w:val="24"/>
        </w:rPr>
      </w:pPr>
      <w:r>
        <w:rPr>
          <w:spacing w:val="10"/>
          <w:sz w:val="24"/>
          <w:szCs w:val="24"/>
        </w:rPr>
        <w:t>照度计处在高温40℃状态下保持10</w:t>
      </w:r>
      <w:r>
        <w:rPr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s,   </w:t>
      </w:r>
      <w:r>
        <w:rPr>
          <w:spacing w:val="10"/>
          <w:sz w:val="24"/>
          <w:szCs w:val="24"/>
        </w:rPr>
        <w:t>降温至一25℃状态下保持10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s,  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>反复5次。</w:t>
      </w:r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在经受高低温突变试验后，能正常工作，且相对示值误差应能符合6.2的要求。</w:t>
      </w:r>
    </w:p>
    <w:p>
      <w:pPr>
        <w:pStyle w:val="BodyText"/>
        <w:spacing w:before="84" w:line="219" w:lineRule="auto"/>
        <w:ind w:left="19"/>
        <w:rPr>
          <w:sz w:val="24"/>
          <w:szCs w:val="24"/>
        </w:rPr>
      </w:pPr>
      <w:r>
        <w:rPr>
          <w:spacing w:val="-2"/>
          <w:sz w:val="24"/>
          <w:szCs w:val="24"/>
        </w:rPr>
        <w:t>7.3.2</w:t>
      </w:r>
      <w:r>
        <w:rPr>
          <w:spacing w:val="9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机械环境适应性</w:t>
      </w:r>
    </w:p>
    <w:p>
      <w:pPr>
        <w:pStyle w:val="BodyText"/>
        <w:spacing w:before="88" w:line="221" w:lineRule="auto"/>
        <w:ind w:left="19"/>
        <w:rPr>
          <w:sz w:val="24"/>
          <w:szCs w:val="24"/>
        </w:rPr>
        <w:sectPr>
          <w:headerReference w:type="default" r:id="rId28"/>
          <w:footerReference w:type="default" r:id="rId29"/>
          <w:pgSz w:w="11900" w:h="16840"/>
          <w:pgMar w:top="1770" w:right="1220" w:bottom="1024" w:left="1430" w:header="1475" w:footer="876" w:gutter="0"/>
          <w:pgNumType w:start="9"/>
          <w:cols w:space="708"/>
        </w:sectPr>
      </w:pPr>
      <w:hyperlink r:id="rId30" w:history="1">
        <w:r>
          <w:rPr>
            <w:spacing w:val="-2"/>
            <w:sz w:val="24"/>
            <w:szCs w:val="24"/>
          </w:rPr>
          <w:t>7.3.2.1</w:t>
        </w:r>
      </w:hyperlink>
      <w:r>
        <w:rPr>
          <w:spacing w:val="9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碰撞适应性</w:t>
      </w:r>
    </w:p>
    <w:p>
      <w:pPr>
        <w:pStyle w:val="BodyText"/>
        <w:spacing w:before="61" w:line="219" w:lineRule="auto"/>
        <w:ind w:left="499"/>
        <w:rPr>
          <w:sz w:val="24"/>
          <w:szCs w:val="24"/>
        </w:rPr>
      </w:pPr>
      <w:r>
        <w:rPr>
          <w:spacing w:val="3"/>
          <w:sz w:val="24"/>
          <w:szCs w:val="24"/>
        </w:rPr>
        <w:t>完整包装的照度计经碰撞试验后，相对示值误差应能符合6.2的要求。</w:t>
      </w:r>
    </w:p>
    <w:p>
      <w:pPr>
        <w:pStyle w:val="BodyText"/>
        <w:spacing w:before="77" w:line="221" w:lineRule="auto"/>
        <w:ind w:left="19"/>
        <w:rPr>
          <w:sz w:val="24"/>
          <w:szCs w:val="24"/>
        </w:rPr>
      </w:pPr>
      <w:hyperlink r:id="rId31" w:history="1">
        <w:r>
          <w:rPr>
            <w:spacing w:val="-3"/>
            <w:sz w:val="24"/>
            <w:szCs w:val="24"/>
          </w:rPr>
          <w:t>7.3.2.2</w:t>
        </w:r>
      </w:hyperlink>
      <w:r>
        <w:rPr>
          <w:spacing w:val="105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跌落适应性</w:t>
      </w:r>
    </w:p>
    <w:p>
      <w:pPr>
        <w:pStyle w:val="BodyText"/>
        <w:spacing w:before="61" w:line="252" w:lineRule="auto"/>
        <w:ind w:left="19" w:right="89" w:firstLine="479"/>
        <w:rPr>
          <w:sz w:val="24"/>
          <w:szCs w:val="24"/>
        </w:rPr>
      </w:pPr>
      <w:r>
        <w:rPr>
          <w:spacing w:val="5"/>
          <w:sz w:val="24"/>
          <w:szCs w:val="24"/>
        </w:rPr>
        <w:t xml:space="preserve">完整包装的照度计经过离地高250 </w:t>
      </w:r>
      <w:r>
        <w:rPr>
          <w:sz w:val="24"/>
          <w:szCs w:val="24"/>
        </w:rPr>
        <w:t>mm</w:t>
      </w:r>
      <w:r>
        <w:rPr>
          <w:spacing w:val="83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垂直自由跌落4次后，能正常工作</w:t>
      </w:r>
      <w:r>
        <w:rPr>
          <w:spacing w:val="4"/>
          <w:sz w:val="24"/>
          <w:szCs w:val="24"/>
        </w:rPr>
        <w:t>，且相对</w:t>
      </w:r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示值误差应能符合6.2的要求。</w:t>
      </w:r>
    </w:p>
    <w:p>
      <w:pPr>
        <w:pStyle w:val="BodyText"/>
        <w:spacing w:before="76" w:line="220" w:lineRule="auto"/>
        <w:ind w:left="19"/>
        <w:rPr>
          <w:sz w:val="24"/>
          <w:szCs w:val="24"/>
        </w:rPr>
      </w:pPr>
      <w:r>
        <w:rPr>
          <w:spacing w:val="-4"/>
          <w:sz w:val="24"/>
          <w:szCs w:val="24"/>
        </w:rPr>
        <w:t>7.3.3  电源环境适应性</w:t>
      </w:r>
    </w:p>
    <w:p>
      <w:pPr>
        <w:pStyle w:val="BodyText"/>
        <w:spacing w:before="74" w:line="220" w:lineRule="auto"/>
        <w:ind w:left="19"/>
        <w:rPr>
          <w:sz w:val="24"/>
          <w:szCs w:val="24"/>
        </w:rPr>
      </w:pPr>
      <w:hyperlink r:id="rId32" w:history="1">
        <w:r>
          <w:rPr>
            <w:spacing w:val="5"/>
            <w:sz w:val="24"/>
            <w:szCs w:val="24"/>
          </w:rPr>
          <w:t>7.3.3.1</w:t>
        </w:r>
      </w:hyperlink>
      <w:r>
        <w:rPr>
          <w:spacing w:val="5"/>
          <w:sz w:val="24"/>
          <w:szCs w:val="24"/>
        </w:rPr>
        <w:t xml:space="preserve">  电源电压变化适应性(适用于外接电源的</w:t>
      </w:r>
      <w:r>
        <w:rPr>
          <w:spacing w:val="4"/>
          <w:sz w:val="24"/>
          <w:szCs w:val="24"/>
        </w:rPr>
        <w:t>照度计)</w:t>
      </w:r>
    </w:p>
    <w:p>
      <w:pPr>
        <w:pStyle w:val="BodyText"/>
        <w:spacing w:before="73" w:line="219" w:lineRule="auto"/>
        <w:ind w:left="499"/>
        <w:rPr>
          <w:sz w:val="24"/>
          <w:szCs w:val="24"/>
        </w:rPr>
      </w:pPr>
      <w:r>
        <w:rPr>
          <w:spacing w:val="10"/>
          <w:sz w:val="24"/>
          <w:szCs w:val="24"/>
        </w:rPr>
        <w:t>照度计在电源频率不变、电压变化(198～242)</w:t>
      </w:r>
      <w:r>
        <w:rPr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38"/>
          <w:w w:val="101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条件</w:t>
      </w:r>
      <w:r>
        <w:rPr>
          <w:spacing w:val="9"/>
          <w:sz w:val="24"/>
          <w:szCs w:val="24"/>
        </w:rPr>
        <w:t>下能正常工作，且相对示</w:t>
      </w:r>
    </w:p>
    <w:p>
      <w:pPr>
        <w:spacing w:line="219" w:lineRule="auto"/>
        <w:rPr>
          <w:sz w:val="24"/>
          <w:szCs w:val="24"/>
        </w:rPr>
        <w:sectPr>
          <w:headerReference w:type="default" r:id="rId33"/>
          <w:footerReference w:type="default" r:id="rId34"/>
          <w:type w:val="nextPage"/>
          <w:pgSz w:w="11900" w:h="16840"/>
          <w:pgMar w:top="1770" w:right="1220" w:bottom="1024" w:left="1430" w:header="1475" w:footer="876" w:gutter="0"/>
          <w:pgNumType w:start="10"/>
          <w:cols w:space="708"/>
          <w:titlePg w:val="0"/>
        </w:sectPr>
      </w:pPr>
    </w:p>
    <w:p>
      <w:pPr>
        <w:pStyle w:val="BodyText"/>
        <w:spacing w:before="249" w:line="219" w:lineRule="auto"/>
        <w:ind w:left="19"/>
      </w:pPr>
      <w:r>
        <w:rPr>
          <w:spacing w:val="14"/>
        </w:rPr>
        <w:t>值误差应能符合6.2的要求。</w:t>
      </w:r>
    </w:p>
    <w:p>
      <w:pPr>
        <w:pStyle w:val="BodyText"/>
        <w:spacing w:before="77" w:line="219" w:lineRule="auto"/>
        <w:ind w:left="23"/>
      </w:pPr>
      <w:hyperlink r:id="rId35" w:history="1">
        <w:r>
          <w:rPr>
            <w:b/>
            <w:bCs/>
            <w:spacing w:val="12"/>
          </w:rPr>
          <w:t>7.3.3.2</w:t>
        </w:r>
      </w:hyperlink>
      <w:r>
        <w:rPr>
          <w:spacing w:val="12"/>
        </w:rPr>
        <w:t xml:space="preserve">  电源频率变化适应性(适用于外接电源的照度计)</w:t>
      </w:r>
    </w:p>
    <w:p>
      <w:pPr>
        <w:pStyle w:val="BodyText"/>
        <w:spacing w:before="87" w:line="262" w:lineRule="auto"/>
        <w:ind w:left="19" w:right="31" w:firstLine="500"/>
      </w:pPr>
      <w:r>
        <w:rPr>
          <w:spacing w:val="16"/>
        </w:rPr>
        <w:t>照度计在电源电压不变、频率变化(49～51)</w:t>
      </w:r>
      <w:r>
        <w:rPr>
          <w:spacing w:val="-18"/>
        </w:rPr>
        <w:t xml:space="preserve"> </w:t>
      </w:r>
      <w:r>
        <w:rPr>
          <w:rFonts w:ascii="Times New Roman" w:eastAsia="Times New Roman" w:hAnsi="Times New Roman" w:cs="Times New Roman"/>
        </w:rPr>
        <w:t>Hz</w:t>
      </w:r>
      <w:r>
        <w:rPr>
          <w:rFonts w:ascii="Times New Roman" w:eastAsia="Times New Roman" w:hAnsi="Times New Roman" w:cs="Times New Roman"/>
          <w:spacing w:val="29"/>
        </w:rPr>
        <w:t xml:space="preserve"> </w:t>
      </w:r>
      <w:r>
        <w:rPr>
          <w:spacing w:val="16"/>
        </w:rPr>
        <w:t>条件下能正常工作，且相对示值</w:t>
      </w:r>
      <w:r>
        <w:t xml:space="preserve"> </w:t>
      </w:r>
      <w:r>
        <w:rPr>
          <w:spacing w:val="13"/>
        </w:rPr>
        <w:t>误差应能符合6.2的要求。</w:t>
      </w:r>
    </w:p>
    <w:p>
      <w:pPr>
        <w:spacing w:before="252" w:line="222" w:lineRule="auto"/>
        <w:ind w:left="2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z w:val="23"/>
          <w:szCs w:val="23"/>
        </w:rPr>
        <w:t>8</w:t>
      </w:r>
      <w:r>
        <w:rPr>
          <w:rFonts w:ascii="SimHei" w:eastAsia="SimHei" w:hAnsi="SimHei" w:cs="SimHei"/>
          <w:spacing w:val="18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z w:val="23"/>
          <w:szCs w:val="23"/>
        </w:rPr>
        <w:t>型式评价项目表</w:t>
      </w:r>
    </w:p>
    <w:p>
      <w:pPr>
        <w:spacing w:before="233" w:line="222" w:lineRule="auto"/>
        <w:ind w:left="320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6"/>
          <w:sz w:val="23"/>
          <w:szCs w:val="23"/>
        </w:rPr>
        <w:t>表10</w:t>
      </w:r>
      <w:r>
        <w:rPr>
          <w:rFonts w:ascii="SimHei" w:eastAsia="SimHei" w:hAnsi="SimHei" w:cs="SimHei"/>
          <w:spacing w:val="-16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-16"/>
          <w:sz w:val="23"/>
          <w:szCs w:val="23"/>
        </w:rPr>
        <w:t>照度计型式评价项目表</w:t>
      </w:r>
    </w:p>
    <w:tbl>
      <w:tblPr>
        <w:tblStyle w:val="TableNormal5"/>
        <w:tblW w:w="9110" w:type="dxa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14"/>
        <w:gridCol w:w="619"/>
        <w:gridCol w:w="1049"/>
        <w:gridCol w:w="1039"/>
        <w:gridCol w:w="3776"/>
        <w:gridCol w:w="1049"/>
        <w:gridCol w:w="964"/>
      </w:tblGrid>
      <w:tr>
        <w:tblPrEx>
          <w:tblW w:w="9110" w:type="dxa"/>
          <w:tblInd w:w="3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24"/>
        </w:trPr>
        <w:tc>
          <w:tcPr>
            <w:tcW w:w="614" w:type="dxa"/>
            <w:vAlign w:val="top"/>
          </w:tcPr>
          <w:p>
            <w:pPr>
              <w:pStyle w:val="TableText"/>
              <w:spacing w:before="264" w:line="221" w:lineRule="auto"/>
              <w:ind w:left="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序号</w:t>
            </w:r>
          </w:p>
        </w:tc>
        <w:tc>
          <w:tcPr>
            <w:tcW w:w="619" w:type="dxa"/>
            <w:vAlign w:val="top"/>
          </w:tcPr>
          <w:p>
            <w:pPr>
              <w:pStyle w:val="TableText"/>
              <w:spacing w:before="101" w:line="264" w:lineRule="auto"/>
              <w:ind w:left="101" w:right="11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评价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方式</w:t>
            </w:r>
          </w:p>
        </w:tc>
        <w:tc>
          <w:tcPr>
            <w:tcW w:w="5864" w:type="dxa"/>
            <w:gridSpan w:val="3"/>
            <w:vAlign w:val="top"/>
          </w:tcPr>
          <w:p>
            <w:pPr>
              <w:pStyle w:val="TableText"/>
              <w:spacing w:before="261" w:line="218" w:lineRule="auto"/>
              <w:ind w:left="232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型式评价项目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263" w:line="219" w:lineRule="auto"/>
              <w:ind w:left="11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技术要求</w:t>
            </w:r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261" w:line="218" w:lineRule="auto"/>
              <w:ind w:left="6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评价方法</w:t>
            </w:r>
          </w:p>
        </w:tc>
      </w:tr>
      <w:tr>
        <w:tblPrEx>
          <w:tblW w:w="9110" w:type="dxa"/>
          <w:tblInd w:w="39" w:type="dxa"/>
          <w:tblLayout w:type="fixed"/>
        </w:tblPrEx>
        <w:trPr>
          <w:trHeight w:val="419"/>
        </w:trPr>
        <w:tc>
          <w:tcPr>
            <w:tcW w:w="6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1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观察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50" w:lineRule="auto"/>
              <w:ind w:left="312" w:right="135" w:hanging="20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法制管理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要求</w:t>
            </w: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1" w:lineRule="auto"/>
              <w:ind w:left="3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计量</w:t>
            </w:r>
          </w:p>
          <w:p>
            <w:pPr>
              <w:pStyle w:val="TableText"/>
              <w:spacing w:before="100" w:line="220" w:lineRule="auto"/>
              <w:ind w:left="11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法制标志</w:t>
            </w: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09" w:line="219" w:lineRule="auto"/>
              <w:ind w:left="1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制造计量器具许可证的标志和编号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4" w:lineRule="auto"/>
              <w:ind w:left="26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5.2.1</w:t>
            </w:r>
          </w:p>
        </w:tc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10" w:type="dxa"/>
          <w:tblInd w:w="39" w:type="dxa"/>
          <w:tblLayout w:type="fixed"/>
        </w:tblPrEx>
        <w:trPr>
          <w:trHeight w:val="409"/>
        </w:trPr>
        <w:tc>
          <w:tcPr>
            <w:tcW w:w="614" w:type="dxa"/>
            <w:vAlign w:val="top"/>
          </w:tcPr>
          <w:p>
            <w:pPr>
              <w:pStyle w:val="TableText"/>
              <w:spacing w:before="161" w:line="183" w:lineRule="auto"/>
              <w:ind w:left="2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10" w:line="219" w:lineRule="auto"/>
              <w:ind w:left="12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型式批准标志和编号</w:t>
            </w: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10" w:type="dxa"/>
          <w:tblInd w:w="39" w:type="dxa"/>
          <w:tblLayout w:type="fixed"/>
        </w:tblPrEx>
        <w:trPr>
          <w:trHeight w:val="409"/>
        </w:trPr>
        <w:tc>
          <w:tcPr>
            <w:tcW w:w="614" w:type="dxa"/>
            <w:vAlign w:val="top"/>
          </w:tcPr>
          <w:p>
            <w:pPr>
              <w:pStyle w:val="TableText"/>
              <w:spacing w:before="162" w:line="183" w:lineRule="auto"/>
              <w:ind w:left="2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09" w:line="219" w:lineRule="auto"/>
              <w:ind w:left="12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产品的合格证、印章</w:t>
            </w:r>
          </w:p>
        </w:tc>
        <w:tc>
          <w:tcPr>
            <w:tcW w:w="10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10" w:type="dxa"/>
          <w:tblInd w:w="39" w:type="dxa"/>
          <w:tblLayout w:type="fixed"/>
        </w:tblPrEx>
        <w:trPr>
          <w:trHeight w:val="410"/>
        </w:trPr>
        <w:tc>
          <w:tcPr>
            <w:tcW w:w="614" w:type="dxa"/>
            <w:vAlign w:val="top"/>
          </w:tcPr>
          <w:p>
            <w:pPr>
              <w:pStyle w:val="TableText"/>
              <w:spacing w:before="163" w:line="183" w:lineRule="auto"/>
              <w:ind w:left="2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1" w:lineRule="auto"/>
              <w:ind w:left="3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计量</w:t>
            </w:r>
          </w:p>
          <w:p>
            <w:pPr>
              <w:pStyle w:val="TableText"/>
              <w:spacing w:before="80" w:line="220" w:lineRule="auto"/>
              <w:ind w:left="1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器具标识</w:t>
            </w: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12" w:line="219" w:lineRule="auto"/>
              <w:ind w:left="1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产品名称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26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5.2.2</w:t>
            </w:r>
          </w:p>
        </w:tc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10" w:type="dxa"/>
          <w:tblInd w:w="39" w:type="dxa"/>
          <w:tblLayout w:type="fixed"/>
        </w:tblPrEx>
        <w:trPr>
          <w:trHeight w:val="410"/>
        </w:trPr>
        <w:tc>
          <w:tcPr>
            <w:tcW w:w="614" w:type="dxa"/>
            <w:vAlign w:val="top"/>
          </w:tcPr>
          <w:p>
            <w:pPr>
              <w:pStyle w:val="TableText"/>
              <w:spacing w:before="164" w:line="182" w:lineRule="auto"/>
              <w:ind w:left="2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12" w:line="219" w:lineRule="auto"/>
              <w:ind w:left="12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型号、规格</w:t>
            </w: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10" w:type="dxa"/>
          <w:tblInd w:w="39" w:type="dxa"/>
          <w:tblLayout w:type="fixed"/>
        </w:tblPrEx>
        <w:trPr>
          <w:trHeight w:val="410"/>
        </w:trPr>
        <w:tc>
          <w:tcPr>
            <w:tcW w:w="614" w:type="dxa"/>
            <w:vAlign w:val="top"/>
          </w:tcPr>
          <w:p>
            <w:pPr>
              <w:pStyle w:val="TableText"/>
              <w:spacing w:before="163" w:line="183" w:lineRule="auto"/>
              <w:ind w:left="2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12" w:line="219" w:lineRule="auto"/>
              <w:ind w:left="12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出厂日期、编号</w:t>
            </w: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10" w:type="dxa"/>
          <w:tblInd w:w="39" w:type="dxa"/>
          <w:tblLayout w:type="fixed"/>
        </w:tblPrEx>
        <w:trPr>
          <w:trHeight w:val="410"/>
        </w:trPr>
        <w:tc>
          <w:tcPr>
            <w:tcW w:w="614" w:type="dxa"/>
            <w:vAlign w:val="top"/>
          </w:tcPr>
          <w:p>
            <w:pPr>
              <w:pStyle w:val="TableText"/>
              <w:spacing w:before="164" w:line="182" w:lineRule="auto"/>
              <w:ind w:left="2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12" w:line="220" w:lineRule="auto"/>
              <w:ind w:left="1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制造厂商名称</w:t>
            </w: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10" w:type="dxa"/>
          <w:tblInd w:w="39" w:type="dxa"/>
          <w:tblLayout w:type="fixed"/>
        </w:tblPrEx>
        <w:trPr>
          <w:trHeight w:val="410"/>
        </w:trPr>
        <w:tc>
          <w:tcPr>
            <w:tcW w:w="614" w:type="dxa"/>
            <w:vAlign w:val="top"/>
          </w:tcPr>
          <w:p>
            <w:pPr>
              <w:pStyle w:val="TableText"/>
              <w:spacing w:before="163" w:line="183" w:lineRule="auto"/>
              <w:ind w:left="2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12" w:line="219" w:lineRule="auto"/>
              <w:ind w:left="12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其他主要技术指标</w:t>
            </w:r>
          </w:p>
        </w:tc>
        <w:tc>
          <w:tcPr>
            <w:tcW w:w="10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10" w:type="dxa"/>
          <w:tblInd w:w="39" w:type="dxa"/>
          <w:tblLayout w:type="fixed"/>
        </w:tblPrEx>
        <w:trPr>
          <w:trHeight w:val="419"/>
        </w:trPr>
        <w:tc>
          <w:tcPr>
            <w:tcW w:w="614" w:type="dxa"/>
            <w:vAlign w:val="top"/>
          </w:tcPr>
          <w:p>
            <w:pPr>
              <w:pStyle w:val="TableText"/>
              <w:spacing w:before="163" w:line="183" w:lineRule="auto"/>
              <w:ind w:left="2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66" w:lineRule="auto"/>
              <w:ind w:left="112" w:right="135" w:firstLine="200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通用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3"/>
                <w:sz w:val="20"/>
                <w:szCs w:val="20"/>
              </w:rPr>
              <w:t>技术要求</w:t>
            </w: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0" w:lineRule="auto"/>
              <w:ind w:left="21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外观及</w:t>
            </w:r>
          </w:p>
          <w:p>
            <w:pPr>
              <w:pStyle w:val="TableText"/>
              <w:spacing w:before="71" w:line="220" w:lineRule="auto"/>
              <w:ind w:left="31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结构</w:t>
            </w: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12" w:line="219" w:lineRule="auto"/>
              <w:ind w:left="1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清晰的铭牌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62" w:line="184" w:lineRule="auto"/>
              <w:ind w:left="2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7.1.1</w:t>
            </w:r>
          </w:p>
        </w:tc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10" w:type="dxa"/>
          <w:tblInd w:w="39" w:type="dxa"/>
          <w:tblLayout w:type="fixed"/>
        </w:tblPrEx>
        <w:trPr>
          <w:trHeight w:val="409"/>
        </w:trPr>
        <w:tc>
          <w:tcPr>
            <w:tcW w:w="614" w:type="dxa"/>
            <w:vAlign w:val="top"/>
          </w:tcPr>
          <w:p>
            <w:pPr>
              <w:pStyle w:val="TableText"/>
              <w:spacing w:before="163" w:line="184" w:lineRule="auto"/>
              <w:ind w:left="19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13" w:line="219" w:lineRule="auto"/>
              <w:ind w:left="1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显示要求、余弦修正器要求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63" w:line="184" w:lineRule="auto"/>
              <w:ind w:left="2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7.1.2</w:t>
            </w:r>
          </w:p>
        </w:tc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10" w:type="dxa"/>
          <w:tblInd w:w="39" w:type="dxa"/>
          <w:tblLayout w:type="fixed"/>
        </w:tblPrEx>
        <w:trPr>
          <w:trHeight w:val="410"/>
        </w:trPr>
        <w:tc>
          <w:tcPr>
            <w:tcW w:w="614" w:type="dxa"/>
            <w:vAlign w:val="top"/>
          </w:tcPr>
          <w:p>
            <w:pPr>
              <w:pStyle w:val="TableText"/>
              <w:spacing w:before="164" w:line="184" w:lineRule="auto"/>
              <w:ind w:left="19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11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12" w:line="219" w:lineRule="auto"/>
              <w:ind w:left="1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说明书指标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64" w:line="184" w:lineRule="auto"/>
              <w:ind w:left="2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7.1.3</w:t>
            </w:r>
          </w:p>
        </w:tc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10" w:type="dxa"/>
          <w:tblInd w:w="39" w:type="dxa"/>
          <w:tblLayout w:type="fixed"/>
        </w:tblPrEx>
        <w:trPr>
          <w:trHeight w:val="409"/>
        </w:trPr>
        <w:tc>
          <w:tcPr>
            <w:tcW w:w="614" w:type="dxa"/>
            <w:vAlign w:val="top"/>
          </w:tcPr>
          <w:p>
            <w:pPr>
              <w:pStyle w:val="TableText"/>
              <w:spacing w:before="164" w:line="184" w:lineRule="auto"/>
              <w:ind w:left="19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12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55" w:line="221" w:lineRule="auto"/>
              <w:ind w:left="21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电气安</w:t>
            </w:r>
          </w:p>
          <w:p>
            <w:pPr>
              <w:pStyle w:val="TableText"/>
              <w:spacing w:before="80" w:line="221" w:lineRule="auto"/>
              <w:ind w:left="3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全性</w:t>
            </w: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14" w:line="219" w:lineRule="auto"/>
              <w:ind w:left="12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控制器件及仪表标识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64" w:line="184" w:lineRule="auto"/>
              <w:ind w:left="2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7.2.1</w:t>
            </w:r>
          </w:p>
        </w:tc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10" w:type="dxa"/>
          <w:tblInd w:w="39" w:type="dxa"/>
          <w:tblLayout w:type="fixed"/>
        </w:tblPrEx>
        <w:trPr>
          <w:trHeight w:val="409"/>
        </w:trPr>
        <w:tc>
          <w:tcPr>
            <w:tcW w:w="614" w:type="dxa"/>
            <w:vAlign w:val="top"/>
          </w:tcPr>
          <w:p>
            <w:pPr>
              <w:pStyle w:val="TableText"/>
              <w:spacing w:before="165" w:line="184" w:lineRule="auto"/>
              <w:ind w:left="19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13</w:t>
            </w:r>
          </w:p>
        </w:tc>
        <w:tc>
          <w:tcPr>
            <w:tcW w:w="6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15" w:line="219" w:lineRule="auto"/>
              <w:ind w:left="12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保护接地端子及接地标志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66" w:line="183" w:lineRule="auto"/>
              <w:ind w:left="2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7.2.2</w:t>
            </w:r>
          </w:p>
        </w:tc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10" w:type="dxa"/>
          <w:tblInd w:w="39" w:type="dxa"/>
          <w:tblLayout w:type="fixed"/>
        </w:tblPrEx>
        <w:trPr>
          <w:trHeight w:val="410"/>
        </w:trPr>
        <w:tc>
          <w:tcPr>
            <w:tcW w:w="614" w:type="dxa"/>
            <w:vAlign w:val="top"/>
          </w:tcPr>
          <w:p>
            <w:pPr>
              <w:pStyle w:val="TableText"/>
              <w:spacing w:before="166" w:line="184" w:lineRule="auto"/>
              <w:ind w:left="19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14</w:t>
            </w:r>
          </w:p>
        </w:tc>
        <w:tc>
          <w:tcPr>
            <w:tcW w:w="619" w:type="dxa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</w:tc>
        <w:tc>
          <w:tcPr>
            <w:tcW w:w="1049" w:type="dxa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</w:tc>
        <w:tc>
          <w:tcPr>
            <w:tcW w:w="1039" w:type="dxa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16" w:line="219" w:lineRule="auto"/>
              <w:ind w:left="1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零值误差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66" w:line="184" w:lineRule="auto"/>
              <w:ind w:left="3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6.1</w:t>
            </w:r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166" w:line="184" w:lineRule="auto"/>
              <w:ind w:left="69"/>
              <w:rPr>
                <w:sz w:val="20"/>
                <w:szCs w:val="20"/>
              </w:rPr>
            </w:pPr>
            <w:hyperlink r:id="rId36" w:history="1">
              <w:r>
                <w:rPr>
                  <w:spacing w:val="-3"/>
                  <w:sz w:val="20"/>
                  <w:szCs w:val="20"/>
                </w:rPr>
                <w:t>10.1.2.1</w:t>
              </w:r>
            </w:hyperlink>
          </w:p>
        </w:tc>
      </w:tr>
    </w:tbl>
    <w:p>
      <w:pPr>
        <w:sectPr>
          <w:headerReference w:type="default" r:id="rId37"/>
          <w:footerReference w:type="default" r:id="rId38"/>
          <w:pgSz w:w="11900" w:h="16840"/>
          <w:pgMar w:top="1779" w:right="1460" w:bottom="1045" w:left="1269" w:header="1449" w:footer="896" w:gutter="0"/>
          <w:pgNumType w:start="11"/>
          <w:cols w:space="708"/>
        </w:sectPr>
      </w:pPr>
    </w:p>
    <w:tbl>
      <w:tblPr>
        <w:tblStyle w:val="TableNormal6"/>
        <w:tblW w:w="9110" w:type="dxa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14"/>
        <w:gridCol w:w="619"/>
        <w:gridCol w:w="1049"/>
        <w:gridCol w:w="1039"/>
        <w:gridCol w:w="3776"/>
        <w:gridCol w:w="1049"/>
        <w:gridCol w:w="964"/>
      </w:tblGrid>
      <w:tr>
        <w:tblPrEx>
          <w:tblW w:w="9110" w:type="dxa"/>
          <w:tblInd w:w="3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0"/>
        </w:trPr>
        <w:tc>
          <w:tcPr>
            <w:tcW w:w="614" w:type="dxa"/>
            <w:vAlign w:val="top"/>
          </w:tcPr>
          <w:p/>
        </w:tc>
        <w:tc>
          <w:tcPr>
            <w:tcW w:w="619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1" w:lineRule="auto"/>
              <w:ind w:left="1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试验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1" w:lineRule="auto"/>
              <w:ind w:left="1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计量要求</w:t>
            </w: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65" w:line="258" w:lineRule="auto"/>
              <w:ind w:left="312" w:right="123" w:hanging="2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计量性能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要求</w:t>
            </w:r>
          </w:p>
        </w:tc>
        <w:tc>
          <w:tcPr>
            <w:tcW w:w="3776" w:type="dxa"/>
            <w:vAlign w:val="top"/>
          </w:tcPr>
          <w:p/>
        </w:tc>
        <w:tc>
          <w:tcPr>
            <w:tcW w:w="1049" w:type="dxa"/>
            <w:vAlign w:val="top"/>
          </w:tcPr>
          <w:p/>
        </w:tc>
        <w:tc>
          <w:tcPr>
            <w:tcW w:w="964" w:type="dxa"/>
            <w:vAlign w:val="top"/>
          </w:tcPr>
          <w:p/>
        </w:tc>
      </w:tr>
      <w:tr>
        <w:tblPrEx>
          <w:tblW w:w="9110" w:type="dxa"/>
          <w:tblInd w:w="39" w:type="dxa"/>
          <w:tblLayout w:type="fixed"/>
        </w:tblPrEx>
        <w:trPr>
          <w:trHeight w:val="410"/>
        </w:trPr>
        <w:tc>
          <w:tcPr>
            <w:tcW w:w="614" w:type="dxa"/>
            <w:vAlign w:val="top"/>
          </w:tcPr>
          <w:p>
            <w:pPr>
              <w:pStyle w:val="TableText"/>
              <w:spacing w:before="166" w:line="184" w:lineRule="auto"/>
              <w:ind w:left="19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15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16" w:line="219" w:lineRule="auto"/>
              <w:ind w:left="1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相对示值误差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67" w:line="183" w:lineRule="auto"/>
              <w:ind w:left="3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6.2</w:t>
            </w:r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166" w:line="184" w:lineRule="auto"/>
              <w:ind w:left="139"/>
              <w:rPr>
                <w:sz w:val="20"/>
                <w:szCs w:val="20"/>
              </w:rPr>
            </w:pPr>
            <w:hyperlink r:id="rId39" w:history="1">
              <w:r>
                <w:rPr>
                  <w:spacing w:val="-3"/>
                  <w:sz w:val="20"/>
                  <w:szCs w:val="20"/>
                </w:rPr>
                <w:t>10.1.2.2</w:t>
              </w:r>
            </w:hyperlink>
          </w:p>
        </w:tc>
      </w:tr>
      <w:tr>
        <w:tblPrEx>
          <w:tblW w:w="9110" w:type="dxa"/>
          <w:tblInd w:w="39" w:type="dxa"/>
          <w:tblLayout w:type="fixed"/>
        </w:tblPrEx>
        <w:trPr>
          <w:trHeight w:val="410"/>
        </w:trPr>
        <w:tc>
          <w:tcPr>
            <w:tcW w:w="614" w:type="dxa"/>
            <w:vAlign w:val="top"/>
          </w:tcPr>
          <w:p>
            <w:pPr>
              <w:pStyle w:val="TableText"/>
              <w:spacing w:before="166" w:line="184" w:lineRule="auto"/>
              <w:ind w:left="19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16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17" w:line="221" w:lineRule="auto"/>
              <w:ind w:left="12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V(a)匹配误差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67" w:line="183" w:lineRule="auto"/>
              <w:ind w:left="3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6.3</w:t>
            </w:r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166" w:line="184" w:lineRule="auto"/>
              <w:ind w:left="139"/>
              <w:rPr>
                <w:sz w:val="20"/>
                <w:szCs w:val="20"/>
              </w:rPr>
            </w:pPr>
            <w:hyperlink r:id="rId40" w:history="1">
              <w:r>
                <w:rPr>
                  <w:spacing w:val="-3"/>
                  <w:sz w:val="20"/>
                  <w:szCs w:val="20"/>
                </w:rPr>
                <w:t>10.1.2.3</w:t>
              </w:r>
            </w:hyperlink>
          </w:p>
        </w:tc>
      </w:tr>
      <w:tr>
        <w:tblPrEx>
          <w:tblW w:w="9110" w:type="dxa"/>
          <w:tblInd w:w="39" w:type="dxa"/>
          <w:tblLayout w:type="fixed"/>
        </w:tblPrEx>
        <w:trPr>
          <w:trHeight w:val="409"/>
        </w:trPr>
        <w:tc>
          <w:tcPr>
            <w:tcW w:w="614" w:type="dxa"/>
            <w:vAlign w:val="top"/>
          </w:tcPr>
          <w:p>
            <w:pPr>
              <w:pStyle w:val="TableText"/>
              <w:spacing w:before="166" w:line="184" w:lineRule="auto"/>
              <w:ind w:left="19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17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16" w:line="219" w:lineRule="auto"/>
              <w:ind w:left="1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余弦特性误差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67" w:line="183" w:lineRule="auto"/>
              <w:ind w:left="3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6.4</w:t>
            </w:r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166" w:line="184" w:lineRule="auto"/>
              <w:ind w:left="139"/>
              <w:rPr>
                <w:sz w:val="20"/>
                <w:szCs w:val="20"/>
              </w:rPr>
            </w:pPr>
            <w:hyperlink r:id="rId41" w:history="1">
              <w:r>
                <w:rPr>
                  <w:spacing w:val="-3"/>
                  <w:sz w:val="20"/>
                  <w:szCs w:val="20"/>
                </w:rPr>
                <w:t>10.1.2.4</w:t>
              </w:r>
            </w:hyperlink>
          </w:p>
        </w:tc>
      </w:tr>
      <w:tr>
        <w:tblPrEx>
          <w:tblW w:w="9110" w:type="dxa"/>
          <w:tblInd w:w="39" w:type="dxa"/>
          <w:tblLayout w:type="fixed"/>
        </w:tblPrEx>
        <w:trPr>
          <w:trHeight w:val="410"/>
        </w:trPr>
        <w:tc>
          <w:tcPr>
            <w:tcW w:w="614" w:type="dxa"/>
            <w:vAlign w:val="top"/>
          </w:tcPr>
          <w:p>
            <w:pPr>
              <w:pStyle w:val="TableText"/>
              <w:spacing w:before="167" w:line="184" w:lineRule="auto"/>
              <w:ind w:left="19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18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17" w:line="219" w:lineRule="auto"/>
              <w:ind w:left="12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换挡误差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68" w:line="183" w:lineRule="auto"/>
              <w:ind w:left="3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6.5</w:t>
            </w:r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167" w:line="184" w:lineRule="auto"/>
              <w:ind w:left="139"/>
              <w:rPr>
                <w:sz w:val="20"/>
                <w:szCs w:val="20"/>
              </w:rPr>
            </w:pPr>
            <w:hyperlink r:id="rId42" w:history="1">
              <w:r>
                <w:rPr>
                  <w:spacing w:val="-3"/>
                  <w:sz w:val="20"/>
                  <w:szCs w:val="20"/>
                </w:rPr>
                <w:t>10.1.2.5</w:t>
              </w:r>
            </w:hyperlink>
          </w:p>
        </w:tc>
      </w:tr>
      <w:tr>
        <w:tblPrEx>
          <w:tblW w:w="9110" w:type="dxa"/>
          <w:tblInd w:w="39" w:type="dxa"/>
          <w:tblLayout w:type="fixed"/>
        </w:tblPrEx>
        <w:trPr>
          <w:trHeight w:val="399"/>
        </w:trPr>
        <w:tc>
          <w:tcPr>
            <w:tcW w:w="614" w:type="dxa"/>
            <w:vAlign w:val="top"/>
          </w:tcPr>
          <w:p>
            <w:pPr>
              <w:pStyle w:val="TableText"/>
              <w:spacing w:before="157" w:line="184" w:lineRule="auto"/>
              <w:ind w:left="19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19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07" w:line="219" w:lineRule="auto"/>
              <w:ind w:left="1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疲劳误差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58" w:line="183" w:lineRule="auto"/>
              <w:ind w:left="3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6.6</w:t>
            </w:r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157" w:line="184" w:lineRule="auto"/>
              <w:ind w:left="139"/>
              <w:rPr>
                <w:sz w:val="20"/>
                <w:szCs w:val="20"/>
              </w:rPr>
            </w:pPr>
            <w:hyperlink r:id="rId43" w:history="1">
              <w:r>
                <w:rPr>
                  <w:spacing w:val="-3"/>
                  <w:sz w:val="20"/>
                  <w:szCs w:val="20"/>
                </w:rPr>
                <w:t>10.1.2.6</w:t>
              </w:r>
            </w:hyperlink>
          </w:p>
        </w:tc>
      </w:tr>
      <w:tr>
        <w:tblPrEx>
          <w:tblW w:w="9110" w:type="dxa"/>
          <w:tblInd w:w="39" w:type="dxa"/>
          <w:tblLayout w:type="fixed"/>
        </w:tblPrEx>
        <w:trPr>
          <w:trHeight w:val="409"/>
        </w:trPr>
        <w:tc>
          <w:tcPr>
            <w:tcW w:w="614" w:type="dxa"/>
            <w:vAlign w:val="top"/>
          </w:tcPr>
          <w:p>
            <w:pPr>
              <w:pStyle w:val="TableText"/>
              <w:spacing w:before="169" w:line="183" w:lineRule="auto"/>
              <w:ind w:left="19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18" w:line="220" w:lineRule="auto"/>
              <w:ind w:left="12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红外响应误差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69" w:line="183" w:lineRule="auto"/>
              <w:ind w:left="3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6.7</w:t>
            </w:r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168" w:line="184" w:lineRule="auto"/>
              <w:ind w:left="79"/>
              <w:rPr>
                <w:sz w:val="20"/>
                <w:szCs w:val="20"/>
              </w:rPr>
            </w:pPr>
            <w:hyperlink r:id="rId44" w:history="1">
              <w:r>
                <w:rPr>
                  <w:spacing w:val="-3"/>
                  <w:sz w:val="20"/>
                  <w:szCs w:val="20"/>
                </w:rPr>
                <w:t>10.1.2.7</w:t>
              </w:r>
            </w:hyperlink>
          </w:p>
        </w:tc>
      </w:tr>
      <w:tr>
        <w:tblPrEx>
          <w:tblW w:w="9110" w:type="dxa"/>
          <w:tblInd w:w="39" w:type="dxa"/>
          <w:tblLayout w:type="fixed"/>
        </w:tblPrEx>
        <w:trPr>
          <w:trHeight w:val="410"/>
        </w:trPr>
        <w:tc>
          <w:tcPr>
            <w:tcW w:w="614" w:type="dxa"/>
            <w:vAlign w:val="top"/>
          </w:tcPr>
          <w:p>
            <w:pPr>
              <w:pStyle w:val="TableText"/>
              <w:spacing w:before="169" w:line="184" w:lineRule="auto"/>
              <w:ind w:left="19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21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19" w:line="219" w:lineRule="auto"/>
              <w:ind w:left="12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紫外响应误差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70" w:line="183" w:lineRule="auto"/>
              <w:ind w:left="3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6.8</w:t>
            </w:r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169" w:line="184" w:lineRule="auto"/>
              <w:ind w:left="139"/>
              <w:rPr>
                <w:sz w:val="20"/>
                <w:szCs w:val="20"/>
              </w:rPr>
            </w:pPr>
            <w:hyperlink r:id="rId45" w:history="1">
              <w:r>
                <w:rPr>
                  <w:spacing w:val="-3"/>
                  <w:sz w:val="20"/>
                  <w:szCs w:val="20"/>
                </w:rPr>
                <w:t>10.1.2.8</w:t>
              </w:r>
            </w:hyperlink>
          </w:p>
        </w:tc>
      </w:tr>
      <w:tr>
        <w:tblPrEx>
          <w:tblW w:w="9110" w:type="dxa"/>
          <w:tblInd w:w="39" w:type="dxa"/>
          <w:tblLayout w:type="fixed"/>
        </w:tblPrEx>
        <w:trPr>
          <w:trHeight w:val="405"/>
        </w:trPr>
        <w:tc>
          <w:tcPr>
            <w:tcW w:w="614" w:type="dxa"/>
            <w:vAlign w:val="top"/>
          </w:tcPr>
          <w:p>
            <w:pPr>
              <w:pStyle w:val="TableText"/>
              <w:spacing w:before="160" w:line="183" w:lineRule="auto"/>
              <w:ind w:left="19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22</w:t>
            </w:r>
          </w:p>
        </w:tc>
        <w:tc>
          <w:tcPr>
            <w:tcW w:w="6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6" w:type="dxa"/>
            <w:vAlign w:val="top"/>
          </w:tcPr>
          <w:p>
            <w:pPr>
              <w:pStyle w:val="TableText"/>
              <w:spacing w:before="109" w:line="220" w:lineRule="auto"/>
              <w:ind w:left="12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非线性误差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60" w:line="183" w:lineRule="auto"/>
              <w:ind w:left="3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6.9</w:t>
            </w:r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159" w:line="184" w:lineRule="auto"/>
              <w:ind w:left="79"/>
              <w:rPr>
                <w:sz w:val="20"/>
                <w:szCs w:val="20"/>
              </w:rPr>
            </w:pPr>
            <w:hyperlink r:id="rId46" w:history="1">
              <w:r>
                <w:rPr>
                  <w:spacing w:val="-3"/>
                  <w:sz w:val="20"/>
                  <w:szCs w:val="20"/>
                </w:rPr>
                <w:t>10.1.2.9</w:t>
              </w:r>
            </w:hyperlink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47"/>
          <w:footerReference w:type="default" r:id="rId48"/>
          <w:type w:val="nextPage"/>
          <w:pgSz w:w="11900" w:h="16840"/>
          <w:pgMar w:top="1779" w:right="1460" w:bottom="1045" w:left="1269" w:header="1449" w:footer="896" w:gutter="0"/>
          <w:pgNumType w:start="12"/>
          <w:cols w:space="708"/>
          <w:titlePg w:val="0"/>
        </w:sectPr>
      </w:pPr>
    </w:p>
    <w:p>
      <w:pPr>
        <w:spacing w:before="228" w:line="223" w:lineRule="auto"/>
        <w:ind w:left="411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17"/>
          <w:w w:val="113"/>
          <w:sz w:val="20"/>
          <w:szCs w:val="20"/>
        </w:rPr>
        <w:t>表10(续)</w:t>
      </w:r>
    </w:p>
    <w:p>
      <w:pPr>
        <w:spacing w:line="84" w:lineRule="exact"/>
      </w:pPr>
    </w:p>
    <w:tbl>
      <w:tblPr>
        <w:tblStyle w:val="TableNormal7"/>
        <w:tblW w:w="9130" w:type="dxa"/>
        <w:tblInd w:w="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24"/>
        <w:gridCol w:w="619"/>
        <w:gridCol w:w="1039"/>
        <w:gridCol w:w="1049"/>
        <w:gridCol w:w="1688"/>
        <w:gridCol w:w="2098"/>
        <w:gridCol w:w="1049"/>
        <w:gridCol w:w="964"/>
      </w:tblGrid>
      <w:tr>
        <w:tblPrEx>
          <w:tblW w:w="9130" w:type="dxa"/>
          <w:tblInd w:w="2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34"/>
        </w:trPr>
        <w:tc>
          <w:tcPr>
            <w:tcW w:w="624" w:type="dxa"/>
            <w:vAlign w:val="top"/>
          </w:tcPr>
          <w:p>
            <w:pPr>
              <w:pStyle w:val="TableText"/>
              <w:spacing w:before="264" w:line="221" w:lineRule="auto"/>
              <w:ind w:left="94"/>
            </w:pPr>
            <w:r>
              <w:rPr>
                <w:spacing w:val="6"/>
              </w:rPr>
              <w:t>序号</w:t>
            </w:r>
          </w:p>
        </w:tc>
        <w:tc>
          <w:tcPr>
            <w:tcW w:w="619" w:type="dxa"/>
            <w:vAlign w:val="top"/>
          </w:tcPr>
          <w:p>
            <w:pPr>
              <w:pStyle w:val="TableText"/>
              <w:spacing w:before="92" w:line="261" w:lineRule="auto"/>
              <w:ind w:left="90" w:right="105"/>
            </w:pPr>
            <w:r>
              <w:rPr>
                <w:spacing w:val="-4"/>
              </w:rPr>
              <w:t>评价</w:t>
            </w:r>
            <w:r>
              <w:t xml:space="preserve"> </w:t>
            </w:r>
            <w:r>
              <w:rPr>
                <w:spacing w:val="-5"/>
              </w:rPr>
              <w:t>方式</w:t>
            </w:r>
          </w:p>
        </w:tc>
        <w:tc>
          <w:tcPr>
            <w:tcW w:w="5874" w:type="dxa"/>
            <w:gridSpan w:val="4"/>
            <w:vAlign w:val="top"/>
          </w:tcPr>
          <w:p>
            <w:pPr>
              <w:pStyle w:val="TableText"/>
              <w:spacing w:before="261" w:line="218" w:lineRule="auto"/>
              <w:ind w:left="2312"/>
            </w:pPr>
            <w:r>
              <w:rPr>
                <w:spacing w:val="6"/>
              </w:rPr>
              <w:t>型式评价项目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263" w:line="219" w:lineRule="auto"/>
              <w:ind w:left="97"/>
            </w:pPr>
            <w:r>
              <w:rPr>
                <w:spacing w:val="-2"/>
              </w:rPr>
              <w:t>技术要求</w:t>
            </w:r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261" w:line="218" w:lineRule="auto"/>
              <w:ind w:left="59"/>
            </w:pPr>
            <w:r>
              <w:rPr>
                <w:spacing w:val="-2"/>
              </w:rPr>
              <w:t>评价方法</w:t>
            </w:r>
          </w:p>
        </w:tc>
      </w:tr>
      <w:tr>
        <w:tblPrEx>
          <w:tblW w:w="9130" w:type="dxa"/>
          <w:tblInd w:w="29" w:type="dxa"/>
          <w:tblLayout w:type="fixed"/>
        </w:tblPrEx>
        <w:trPr>
          <w:trHeight w:val="409"/>
        </w:trPr>
        <w:tc>
          <w:tcPr>
            <w:tcW w:w="624" w:type="dxa"/>
            <w:vAlign w:val="top"/>
          </w:tcPr>
          <w:p>
            <w:pPr>
              <w:pStyle w:val="TableText"/>
              <w:spacing w:before="153" w:line="183" w:lineRule="auto"/>
              <w:ind w:left="195"/>
            </w:pPr>
            <w:r>
              <w:rPr>
                <w:spacing w:val="-3"/>
              </w:rPr>
              <w:t>23</w:t>
            </w:r>
          </w:p>
        </w:tc>
        <w:tc>
          <w:tcPr>
            <w:tcW w:w="619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90"/>
            </w:pPr>
            <w:r>
              <w:rPr>
                <w:spacing w:val="-3"/>
              </w:rPr>
              <w:t>试验</w:t>
            </w: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54" w:lineRule="auto"/>
              <w:ind w:left="91" w:right="106" w:firstLine="210"/>
            </w:pPr>
            <w:r>
              <w:rPr>
                <w:spacing w:val="12"/>
              </w:rPr>
              <w:t>通用</w:t>
            </w:r>
            <w:r>
              <w:t xml:space="preserve">  </w:t>
            </w:r>
            <w:r>
              <w:rPr>
                <w:spacing w:val="-3"/>
              </w:rPr>
              <w:t>技术要求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61" w:line="251" w:lineRule="auto"/>
              <w:ind w:left="302" w:right="193" w:hanging="100"/>
            </w:pPr>
            <w:r>
              <w:rPr>
                <w:spacing w:val="4"/>
              </w:rPr>
              <w:t>电气安</w:t>
            </w:r>
            <w:r>
              <w:t xml:space="preserve"> </w:t>
            </w:r>
            <w:r>
              <w:rPr>
                <w:spacing w:val="-3"/>
              </w:rPr>
              <w:t>全性</w:t>
            </w:r>
          </w:p>
        </w:tc>
        <w:tc>
          <w:tcPr>
            <w:tcW w:w="3786" w:type="dxa"/>
            <w:gridSpan w:val="2"/>
            <w:vAlign w:val="top"/>
          </w:tcPr>
          <w:p>
            <w:pPr>
              <w:pStyle w:val="TableText"/>
              <w:spacing w:before="100" w:line="221" w:lineRule="auto"/>
              <w:ind w:left="134"/>
            </w:pPr>
            <w:r>
              <w:rPr>
                <w:spacing w:val="-2"/>
              </w:rPr>
              <w:t>绝缘电阻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52" w:line="184" w:lineRule="auto"/>
              <w:ind w:left="147"/>
            </w:pPr>
            <w:hyperlink r:id="rId20" w:history="1">
              <w:r>
                <w:rPr>
                  <w:spacing w:val="-2"/>
                </w:rPr>
                <w:t>7.2.2.1</w:t>
              </w:r>
            </w:hyperlink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152" w:line="184" w:lineRule="auto"/>
              <w:ind w:left="59"/>
            </w:pPr>
            <w:hyperlink r:id="rId49" w:history="1">
              <w:r>
                <w:rPr>
                  <w:spacing w:val="-3"/>
                </w:rPr>
                <w:t>10.2.1.1</w:t>
              </w:r>
            </w:hyperlink>
          </w:p>
        </w:tc>
      </w:tr>
      <w:tr>
        <w:tblPrEx>
          <w:tblW w:w="9130" w:type="dxa"/>
          <w:tblInd w:w="29" w:type="dxa"/>
          <w:tblLayout w:type="fixed"/>
        </w:tblPrEx>
        <w:trPr>
          <w:trHeight w:val="409"/>
        </w:trPr>
        <w:tc>
          <w:tcPr>
            <w:tcW w:w="624" w:type="dxa"/>
            <w:vAlign w:val="top"/>
          </w:tcPr>
          <w:p>
            <w:pPr>
              <w:pStyle w:val="TableText"/>
              <w:spacing w:before="154" w:line="183" w:lineRule="auto"/>
              <w:ind w:left="195"/>
            </w:pPr>
            <w:r>
              <w:rPr>
                <w:spacing w:val="-3"/>
              </w:rPr>
              <w:t>24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86" w:type="dxa"/>
            <w:gridSpan w:val="2"/>
            <w:vAlign w:val="top"/>
          </w:tcPr>
          <w:p>
            <w:pPr>
              <w:pStyle w:val="TableText"/>
              <w:spacing w:before="101" w:line="220" w:lineRule="auto"/>
              <w:ind w:left="134"/>
            </w:pPr>
            <w:r>
              <w:rPr>
                <w:spacing w:val="3"/>
              </w:rPr>
              <w:t>绝缘强度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54" w:line="183" w:lineRule="auto"/>
              <w:ind w:left="147"/>
            </w:pPr>
            <w:hyperlink r:id="rId21" w:history="1">
              <w:r>
                <w:rPr>
                  <w:spacing w:val="-2"/>
                </w:rPr>
                <w:t>7.2.2.2</w:t>
              </w:r>
            </w:hyperlink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153" w:line="184" w:lineRule="auto"/>
              <w:ind w:left="59"/>
            </w:pPr>
            <w:hyperlink r:id="rId50" w:history="1">
              <w:r>
                <w:rPr>
                  <w:spacing w:val="-3"/>
                </w:rPr>
                <w:t>10.2.1.2</w:t>
              </w:r>
            </w:hyperlink>
          </w:p>
        </w:tc>
      </w:tr>
      <w:tr>
        <w:tblPrEx>
          <w:tblW w:w="9130" w:type="dxa"/>
          <w:tblInd w:w="29" w:type="dxa"/>
          <w:tblLayout w:type="fixed"/>
        </w:tblPrEx>
        <w:trPr>
          <w:trHeight w:val="400"/>
        </w:trPr>
        <w:tc>
          <w:tcPr>
            <w:tcW w:w="624" w:type="dxa"/>
            <w:vAlign w:val="top"/>
          </w:tcPr>
          <w:p>
            <w:pPr>
              <w:pStyle w:val="TableText"/>
              <w:spacing w:before="155" w:line="183" w:lineRule="auto"/>
              <w:ind w:left="195"/>
            </w:pPr>
            <w:r>
              <w:rPr>
                <w:spacing w:val="-3"/>
              </w:rPr>
              <w:t>25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321" w:lineRule="exact"/>
              <w:ind w:left="202"/>
            </w:pPr>
            <w:r>
              <w:rPr>
                <w:spacing w:val="-2"/>
                <w:position w:val="8"/>
              </w:rPr>
              <w:t>环境适</w:t>
            </w:r>
          </w:p>
          <w:p>
            <w:pPr>
              <w:pStyle w:val="TableText"/>
              <w:spacing w:line="220" w:lineRule="auto"/>
              <w:ind w:left="303"/>
            </w:pPr>
            <w:r>
              <w:rPr>
                <w:spacing w:val="-3"/>
              </w:rPr>
              <w:t>应性</w:t>
            </w:r>
          </w:p>
        </w:tc>
        <w:tc>
          <w:tcPr>
            <w:tcW w:w="1688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19" w:lineRule="auto"/>
              <w:ind w:left="414"/>
            </w:pPr>
            <w:r>
              <w:rPr>
                <w:spacing w:val="-2"/>
              </w:rPr>
              <w:t>气候环境</w:t>
            </w:r>
          </w:p>
        </w:tc>
        <w:tc>
          <w:tcPr>
            <w:tcW w:w="2098" w:type="dxa"/>
            <w:vAlign w:val="top"/>
          </w:tcPr>
          <w:p>
            <w:pPr>
              <w:pStyle w:val="TableText"/>
              <w:spacing w:before="101" w:line="219" w:lineRule="auto"/>
              <w:ind w:left="125"/>
            </w:pPr>
            <w:r>
              <w:rPr>
                <w:spacing w:val="3"/>
              </w:rPr>
              <w:t>高温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54" w:line="184" w:lineRule="auto"/>
              <w:ind w:left="147"/>
            </w:pPr>
            <w:hyperlink r:id="rId22" w:history="1">
              <w:r>
                <w:rPr>
                  <w:spacing w:val="-2"/>
                </w:rPr>
                <w:t>7.3.1.1</w:t>
              </w:r>
            </w:hyperlink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154" w:line="184" w:lineRule="auto"/>
              <w:ind w:left="59"/>
            </w:pPr>
            <w:hyperlink r:id="rId51" w:history="1">
              <w:r>
                <w:rPr>
                  <w:spacing w:val="-3"/>
                </w:rPr>
                <w:t>10.2.2.1</w:t>
              </w:r>
            </w:hyperlink>
          </w:p>
        </w:tc>
      </w:tr>
      <w:tr>
        <w:tblPrEx>
          <w:tblW w:w="9130" w:type="dxa"/>
          <w:tblInd w:w="29" w:type="dxa"/>
          <w:tblLayout w:type="fixed"/>
        </w:tblPrEx>
        <w:trPr>
          <w:trHeight w:val="419"/>
        </w:trPr>
        <w:tc>
          <w:tcPr>
            <w:tcW w:w="624" w:type="dxa"/>
            <w:vAlign w:val="top"/>
          </w:tcPr>
          <w:p>
            <w:pPr>
              <w:pStyle w:val="TableText"/>
              <w:spacing w:before="165" w:line="183" w:lineRule="auto"/>
              <w:ind w:left="195"/>
            </w:pPr>
            <w:r>
              <w:rPr>
                <w:spacing w:val="-3"/>
              </w:rPr>
              <w:t>26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8" w:type="dxa"/>
            <w:vAlign w:val="top"/>
          </w:tcPr>
          <w:p>
            <w:pPr>
              <w:pStyle w:val="TableText"/>
              <w:spacing w:before="112" w:line="221" w:lineRule="auto"/>
              <w:ind w:left="125"/>
            </w:pPr>
            <w:r>
              <w:rPr>
                <w:spacing w:val="-2"/>
              </w:rPr>
              <w:t>低温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64" w:line="184" w:lineRule="auto"/>
              <w:ind w:left="147"/>
            </w:pPr>
            <w:hyperlink r:id="rId23" w:history="1">
              <w:r>
                <w:rPr>
                  <w:spacing w:val="-2"/>
                </w:rPr>
                <w:t>7.3.1.2</w:t>
              </w:r>
            </w:hyperlink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164" w:line="184" w:lineRule="auto"/>
              <w:ind w:left="59"/>
            </w:pPr>
            <w:hyperlink r:id="rId52" w:history="1">
              <w:r>
                <w:rPr>
                  <w:spacing w:val="-3"/>
                </w:rPr>
                <w:t>10.2.2.2</w:t>
              </w:r>
            </w:hyperlink>
          </w:p>
        </w:tc>
      </w:tr>
      <w:tr>
        <w:tblPrEx>
          <w:tblW w:w="9130" w:type="dxa"/>
          <w:tblInd w:w="29" w:type="dxa"/>
          <w:tblLayout w:type="fixed"/>
        </w:tblPrEx>
        <w:trPr>
          <w:trHeight w:val="409"/>
        </w:trPr>
        <w:tc>
          <w:tcPr>
            <w:tcW w:w="624" w:type="dxa"/>
            <w:vAlign w:val="top"/>
          </w:tcPr>
          <w:p>
            <w:pPr>
              <w:pStyle w:val="TableText"/>
              <w:spacing w:before="156" w:line="183" w:lineRule="auto"/>
              <w:ind w:left="195"/>
            </w:pPr>
            <w:r>
              <w:rPr>
                <w:spacing w:val="-3"/>
              </w:rPr>
              <w:t>27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8" w:type="dxa"/>
            <w:vAlign w:val="top"/>
          </w:tcPr>
          <w:p>
            <w:pPr>
              <w:pStyle w:val="TableText"/>
              <w:spacing w:before="103" w:line="220" w:lineRule="auto"/>
              <w:ind w:left="125"/>
            </w:pPr>
            <w:r>
              <w:rPr>
                <w:spacing w:val="-2"/>
              </w:rPr>
              <w:t>恒定湿热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55" w:line="184" w:lineRule="auto"/>
              <w:ind w:left="147"/>
            </w:pPr>
            <w:hyperlink r:id="rId24" w:history="1">
              <w:r>
                <w:rPr>
                  <w:spacing w:val="-2"/>
                </w:rPr>
                <w:t>7.3.1.3</w:t>
              </w:r>
            </w:hyperlink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155" w:line="184" w:lineRule="auto"/>
              <w:ind w:left="59"/>
            </w:pPr>
            <w:hyperlink r:id="rId53" w:history="1">
              <w:r>
                <w:rPr>
                  <w:spacing w:val="-3"/>
                </w:rPr>
                <w:t>10.2.2.3</w:t>
              </w:r>
            </w:hyperlink>
          </w:p>
        </w:tc>
      </w:tr>
      <w:tr>
        <w:tblPrEx>
          <w:tblW w:w="9130" w:type="dxa"/>
          <w:tblInd w:w="29" w:type="dxa"/>
          <w:tblLayout w:type="fixed"/>
        </w:tblPrEx>
        <w:trPr>
          <w:trHeight w:val="420"/>
        </w:trPr>
        <w:tc>
          <w:tcPr>
            <w:tcW w:w="624" w:type="dxa"/>
            <w:vAlign w:val="top"/>
          </w:tcPr>
          <w:p>
            <w:pPr>
              <w:pStyle w:val="TableText"/>
              <w:spacing w:before="167" w:line="183" w:lineRule="auto"/>
              <w:ind w:left="195"/>
            </w:pPr>
            <w:r>
              <w:rPr>
                <w:spacing w:val="-3"/>
              </w:rPr>
              <w:t>28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8" w:type="dxa"/>
            <w:vAlign w:val="top"/>
          </w:tcPr>
          <w:p>
            <w:pPr>
              <w:pStyle w:val="TableText"/>
              <w:spacing w:before="113" w:line="219" w:lineRule="auto"/>
              <w:ind w:left="125"/>
            </w:pPr>
            <w:r>
              <w:rPr>
                <w:spacing w:val="2"/>
              </w:rPr>
              <w:t>高温贮存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66" w:line="184" w:lineRule="auto"/>
              <w:ind w:left="147"/>
            </w:pPr>
            <w:hyperlink r:id="rId25" w:history="1">
              <w:r>
                <w:rPr>
                  <w:spacing w:val="-2"/>
                </w:rPr>
                <w:t>7.3.1.4</w:t>
              </w:r>
            </w:hyperlink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166" w:line="184" w:lineRule="auto"/>
              <w:ind w:left="59"/>
            </w:pPr>
            <w:hyperlink r:id="rId54" w:history="1">
              <w:r>
                <w:rPr>
                  <w:spacing w:val="-3"/>
                </w:rPr>
                <w:t>10.2.2.4</w:t>
              </w:r>
            </w:hyperlink>
          </w:p>
        </w:tc>
      </w:tr>
      <w:tr>
        <w:tblPrEx>
          <w:tblW w:w="9130" w:type="dxa"/>
          <w:tblInd w:w="29" w:type="dxa"/>
          <w:tblLayout w:type="fixed"/>
        </w:tblPrEx>
        <w:trPr>
          <w:trHeight w:val="409"/>
        </w:trPr>
        <w:tc>
          <w:tcPr>
            <w:tcW w:w="624" w:type="dxa"/>
            <w:vAlign w:val="top"/>
          </w:tcPr>
          <w:p>
            <w:pPr>
              <w:pStyle w:val="TableText"/>
              <w:spacing w:before="157" w:line="183" w:lineRule="auto"/>
              <w:ind w:left="195"/>
            </w:pPr>
            <w:r>
              <w:rPr>
                <w:spacing w:val="-3"/>
              </w:rPr>
              <w:t>29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8" w:type="dxa"/>
            <w:vAlign w:val="top"/>
          </w:tcPr>
          <w:p>
            <w:pPr>
              <w:pStyle w:val="TableText"/>
              <w:spacing w:before="103" w:line="219" w:lineRule="auto"/>
              <w:ind w:left="125"/>
            </w:pPr>
            <w:r>
              <w:rPr>
                <w:spacing w:val="-2"/>
              </w:rPr>
              <w:t>低温贮存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56" w:line="184" w:lineRule="auto"/>
              <w:ind w:left="147"/>
            </w:pPr>
            <w:hyperlink r:id="rId26" w:history="1">
              <w:r>
                <w:rPr>
                  <w:spacing w:val="-2"/>
                </w:rPr>
                <w:t>7.3.1.5</w:t>
              </w:r>
            </w:hyperlink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156" w:line="184" w:lineRule="auto"/>
              <w:ind w:left="59"/>
            </w:pPr>
            <w:hyperlink r:id="rId55" w:history="1">
              <w:r>
                <w:rPr>
                  <w:spacing w:val="-3"/>
                </w:rPr>
                <w:t>10.2.2.5</w:t>
              </w:r>
            </w:hyperlink>
          </w:p>
        </w:tc>
      </w:tr>
      <w:tr>
        <w:tblPrEx>
          <w:tblW w:w="9130" w:type="dxa"/>
          <w:tblInd w:w="29" w:type="dxa"/>
          <w:tblLayout w:type="fixed"/>
        </w:tblPrEx>
        <w:trPr>
          <w:trHeight w:val="409"/>
        </w:trPr>
        <w:tc>
          <w:tcPr>
            <w:tcW w:w="624" w:type="dxa"/>
            <w:vAlign w:val="top"/>
          </w:tcPr>
          <w:p>
            <w:pPr>
              <w:pStyle w:val="TableText"/>
              <w:spacing w:before="158" w:line="183" w:lineRule="auto"/>
              <w:ind w:left="195"/>
            </w:pPr>
            <w:r>
              <w:rPr>
                <w:spacing w:val="-4"/>
              </w:rPr>
              <w:t>30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8" w:type="dxa"/>
            <w:vAlign w:val="top"/>
          </w:tcPr>
          <w:p>
            <w:pPr>
              <w:pStyle w:val="TableText"/>
              <w:spacing w:before="104" w:line="219" w:lineRule="auto"/>
              <w:ind w:left="125"/>
            </w:pPr>
            <w:r>
              <w:rPr>
                <w:spacing w:val="1"/>
              </w:rPr>
              <w:t>高低温突变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57" w:line="184" w:lineRule="auto"/>
              <w:ind w:left="147"/>
            </w:pPr>
            <w:hyperlink r:id="rId27" w:history="1">
              <w:r>
                <w:rPr>
                  <w:spacing w:val="-2"/>
                </w:rPr>
                <w:t>7.3.1.6</w:t>
              </w:r>
            </w:hyperlink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157" w:line="184" w:lineRule="auto"/>
              <w:ind w:left="59"/>
            </w:pPr>
            <w:hyperlink r:id="rId56" w:history="1">
              <w:r>
                <w:rPr>
                  <w:spacing w:val="-3"/>
                </w:rPr>
                <w:t>10.2.2.6</w:t>
              </w:r>
            </w:hyperlink>
          </w:p>
        </w:tc>
      </w:tr>
      <w:tr>
        <w:tblPrEx>
          <w:tblW w:w="9130" w:type="dxa"/>
          <w:tblInd w:w="29" w:type="dxa"/>
          <w:tblLayout w:type="fixed"/>
        </w:tblPrEx>
        <w:trPr>
          <w:trHeight w:val="409"/>
        </w:trPr>
        <w:tc>
          <w:tcPr>
            <w:tcW w:w="624" w:type="dxa"/>
            <w:vAlign w:val="top"/>
          </w:tcPr>
          <w:p>
            <w:pPr>
              <w:pStyle w:val="TableText"/>
              <w:spacing w:before="158" w:line="184" w:lineRule="auto"/>
              <w:ind w:left="195"/>
            </w:pPr>
            <w:r>
              <w:rPr>
                <w:spacing w:val="-4"/>
              </w:rPr>
              <w:t>31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414"/>
            </w:pPr>
            <w:r>
              <w:rPr>
                <w:spacing w:val="-2"/>
              </w:rPr>
              <w:t>机械环境</w:t>
            </w:r>
          </w:p>
        </w:tc>
        <w:tc>
          <w:tcPr>
            <w:tcW w:w="2098" w:type="dxa"/>
            <w:vAlign w:val="top"/>
          </w:tcPr>
          <w:p>
            <w:pPr>
              <w:pStyle w:val="TableText"/>
              <w:spacing w:before="108" w:line="221" w:lineRule="auto"/>
              <w:ind w:left="125"/>
            </w:pPr>
            <w:r>
              <w:rPr>
                <w:spacing w:val="-2"/>
              </w:rPr>
              <w:t>碰撞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58" w:line="184" w:lineRule="auto"/>
              <w:ind w:left="147"/>
            </w:pPr>
            <w:hyperlink r:id="rId30" w:history="1">
              <w:r>
                <w:rPr>
                  <w:spacing w:val="-2"/>
                </w:rPr>
                <w:t>7.3.2.1</w:t>
              </w:r>
            </w:hyperlink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158" w:line="184" w:lineRule="auto"/>
              <w:ind w:left="59"/>
            </w:pPr>
            <w:hyperlink r:id="rId57" w:history="1">
              <w:r>
                <w:rPr>
                  <w:spacing w:val="-3"/>
                </w:rPr>
                <w:t>10.2.2.7</w:t>
              </w:r>
            </w:hyperlink>
          </w:p>
        </w:tc>
      </w:tr>
      <w:tr>
        <w:tblPrEx>
          <w:tblW w:w="9130" w:type="dxa"/>
          <w:tblInd w:w="29" w:type="dxa"/>
          <w:tblLayout w:type="fixed"/>
        </w:tblPrEx>
        <w:trPr>
          <w:trHeight w:val="409"/>
        </w:trPr>
        <w:tc>
          <w:tcPr>
            <w:tcW w:w="624" w:type="dxa"/>
            <w:vAlign w:val="top"/>
          </w:tcPr>
          <w:p>
            <w:pPr>
              <w:pStyle w:val="TableText"/>
              <w:spacing w:before="160" w:line="183" w:lineRule="auto"/>
              <w:ind w:left="195"/>
            </w:pPr>
            <w:r>
              <w:rPr>
                <w:spacing w:val="-4"/>
              </w:rPr>
              <w:t>32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8" w:type="dxa"/>
            <w:vAlign w:val="top"/>
          </w:tcPr>
          <w:p>
            <w:pPr>
              <w:pStyle w:val="TableText"/>
              <w:spacing w:before="107" w:line="221" w:lineRule="auto"/>
              <w:ind w:left="125"/>
            </w:pPr>
            <w:r>
              <w:rPr>
                <w:spacing w:val="-3"/>
              </w:rPr>
              <w:t>跌落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60" w:line="183" w:lineRule="auto"/>
              <w:ind w:left="147"/>
            </w:pPr>
            <w:hyperlink r:id="rId31" w:history="1">
              <w:r>
                <w:rPr>
                  <w:spacing w:val="-2"/>
                </w:rPr>
                <w:t>7.3.2.2</w:t>
              </w:r>
            </w:hyperlink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159" w:line="184" w:lineRule="auto"/>
              <w:ind w:left="59"/>
            </w:pPr>
            <w:hyperlink r:id="rId58" w:history="1">
              <w:r>
                <w:rPr>
                  <w:spacing w:val="-3"/>
                </w:rPr>
                <w:t>10.2.2.8</w:t>
              </w:r>
            </w:hyperlink>
          </w:p>
        </w:tc>
      </w:tr>
      <w:tr>
        <w:tblPrEx>
          <w:tblW w:w="9130" w:type="dxa"/>
          <w:tblInd w:w="29" w:type="dxa"/>
          <w:tblLayout w:type="fixed"/>
        </w:tblPrEx>
        <w:trPr>
          <w:trHeight w:val="420"/>
        </w:trPr>
        <w:tc>
          <w:tcPr>
            <w:tcW w:w="624" w:type="dxa"/>
            <w:vAlign w:val="top"/>
          </w:tcPr>
          <w:p>
            <w:pPr>
              <w:pStyle w:val="TableText"/>
              <w:spacing w:before="171" w:line="183" w:lineRule="auto"/>
              <w:ind w:left="195"/>
            </w:pPr>
            <w:r>
              <w:rPr>
                <w:spacing w:val="-4"/>
              </w:rPr>
              <w:t>33</w:t>
            </w:r>
          </w:p>
        </w:tc>
        <w:tc>
          <w:tcPr>
            <w:tcW w:w="6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414"/>
            </w:pPr>
            <w:r>
              <w:rPr>
                <w:spacing w:val="2"/>
              </w:rPr>
              <w:t>电源环境</w:t>
            </w:r>
          </w:p>
        </w:tc>
        <w:tc>
          <w:tcPr>
            <w:tcW w:w="2098" w:type="dxa"/>
            <w:vAlign w:val="top"/>
          </w:tcPr>
          <w:p>
            <w:pPr>
              <w:pStyle w:val="TableText"/>
              <w:spacing w:before="118" w:line="221" w:lineRule="auto"/>
              <w:ind w:left="125"/>
            </w:pPr>
            <w:r>
              <w:rPr>
                <w:spacing w:val="2"/>
              </w:rPr>
              <w:t>电压变化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70" w:line="184" w:lineRule="auto"/>
              <w:ind w:left="147"/>
            </w:pPr>
            <w:hyperlink r:id="rId32" w:history="1">
              <w:r>
                <w:rPr>
                  <w:spacing w:val="-2"/>
                </w:rPr>
                <w:t>7.3.3.1</w:t>
              </w:r>
            </w:hyperlink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170" w:line="184" w:lineRule="auto"/>
              <w:ind w:left="59"/>
            </w:pPr>
            <w:hyperlink r:id="rId59" w:history="1">
              <w:r>
                <w:rPr>
                  <w:spacing w:val="-3"/>
                </w:rPr>
                <w:t>10.2.3.1</w:t>
              </w:r>
            </w:hyperlink>
          </w:p>
        </w:tc>
      </w:tr>
      <w:tr>
        <w:tblPrEx>
          <w:tblW w:w="9130" w:type="dxa"/>
          <w:tblInd w:w="29" w:type="dxa"/>
          <w:tblLayout w:type="fixed"/>
        </w:tblPrEx>
        <w:trPr>
          <w:trHeight w:val="414"/>
        </w:trPr>
        <w:tc>
          <w:tcPr>
            <w:tcW w:w="624" w:type="dxa"/>
            <w:vAlign w:val="top"/>
          </w:tcPr>
          <w:p>
            <w:pPr>
              <w:pStyle w:val="TableText"/>
              <w:spacing w:before="161" w:line="183" w:lineRule="auto"/>
              <w:ind w:left="195"/>
            </w:pPr>
            <w:r>
              <w:rPr>
                <w:spacing w:val="-4"/>
              </w:rPr>
              <w:t>34</w:t>
            </w:r>
          </w:p>
        </w:tc>
        <w:tc>
          <w:tcPr>
            <w:tcW w:w="6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8" w:type="dxa"/>
            <w:vAlign w:val="top"/>
          </w:tcPr>
          <w:p>
            <w:pPr>
              <w:pStyle w:val="TableText"/>
              <w:spacing w:before="107" w:line="219" w:lineRule="auto"/>
              <w:ind w:left="125"/>
            </w:pPr>
            <w:r>
              <w:rPr>
                <w:spacing w:val="-2"/>
              </w:rPr>
              <w:t>频率变化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61" w:line="183" w:lineRule="auto"/>
              <w:ind w:left="147"/>
            </w:pPr>
            <w:hyperlink r:id="rId35" w:history="1">
              <w:r>
                <w:rPr>
                  <w:spacing w:val="-2"/>
                </w:rPr>
                <w:t>7.3.3.2</w:t>
              </w:r>
            </w:hyperlink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160" w:line="184" w:lineRule="auto"/>
              <w:ind w:left="59"/>
            </w:pPr>
            <w:hyperlink r:id="rId59" w:history="1">
              <w:r>
                <w:rPr>
                  <w:spacing w:val="-3"/>
                </w:rPr>
                <w:t>10.2.3.1</w:t>
              </w:r>
            </w:hyperlink>
          </w:p>
        </w:tc>
      </w:tr>
    </w:tbl>
    <w:p>
      <w:pPr>
        <w:spacing w:line="428" w:lineRule="auto"/>
        <w:rPr>
          <w:rFonts w:ascii="Arial"/>
          <w:sz w:val="21"/>
        </w:rPr>
      </w:pPr>
    </w:p>
    <w:p>
      <w:pPr>
        <w:spacing w:before="78" w:line="221" w:lineRule="auto"/>
        <w:ind w:left="2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4"/>
          <w:sz w:val="24"/>
          <w:szCs w:val="24"/>
        </w:rPr>
        <w:t>9</w:t>
      </w:r>
      <w:r>
        <w:rPr>
          <w:rFonts w:ascii="SimHei" w:eastAsia="SimHei" w:hAnsi="SimHei" w:cs="SimHei"/>
          <w:spacing w:val="105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4"/>
          <w:szCs w:val="24"/>
        </w:rPr>
        <w:t>提供样机的数量及样机的使用方式</w:t>
      </w:r>
    </w:p>
    <w:p>
      <w:pPr>
        <w:pStyle w:val="BodyText"/>
        <w:spacing w:before="276" w:line="219" w:lineRule="auto"/>
        <w:ind w:left="19"/>
        <w:rPr>
          <w:sz w:val="24"/>
          <w:szCs w:val="24"/>
        </w:rPr>
      </w:pPr>
      <w:r>
        <w:rPr>
          <w:spacing w:val="2"/>
          <w:sz w:val="24"/>
          <w:szCs w:val="24"/>
        </w:rPr>
        <w:t>9.1</w:t>
      </w:r>
      <w:r>
        <w:rPr>
          <w:spacing w:val="8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试验样机</w:t>
      </w:r>
    </w:p>
    <w:p>
      <w:pPr>
        <w:pStyle w:val="BodyText"/>
        <w:spacing w:before="86" w:line="219" w:lineRule="auto"/>
        <w:ind w:left="510"/>
        <w:rPr>
          <w:sz w:val="24"/>
          <w:szCs w:val="24"/>
        </w:rPr>
      </w:pPr>
      <w:r>
        <w:rPr>
          <w:spacing w:val="-4"/>
          <w:sz w:val="24"/>
          <w:szCs w:val="24"/>
        </w:rPr>
        <w:t>申请单位应按下列原则提供试验样机：</w:t>
      </w:r>
    </w:p>
    <w:p>
      <w:pPr>
        <w:pStyle w:val="BodyText"/>
        <w:spacing w:before="39" w:line="212" w:lineRule="auto"/>
        <w:ind w:left="51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a)</w:t>
      </w:r>
      <w:r>
        <w:rPr>
          <w:rFonts w:ascii="Times New Roman" w:eastAsia="Times New Roman" w:hAnsi="Times New Roman" w:cs="Times New Roman"/>
          <w:spacing w:val="46"/>
          <w:w w:val="101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按单一产品申请的，样机数量为3台；</w:t>
      </w:r>
    </w:p>
    <w:p>
      <w:pPr>
        <w:pStyle w:val="BodyText"/>
        <w:spacing w:before="94" w:line="258" w:lineRule="auto"/>
        <w:ind w:left="19" w:right="19" w:firstLine="49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b)</w:t>
      </w:r>
      <w:r>
        <w:rPr>
          <w:rFonts w:ascii="Times New Roman" w:eastAsia="Times New Roman" w:hAnsi="Times New Roman" w:cs="Times New Roman"/>
          <w:spacing w:val="40"/>
          <w:w w:val="101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按系列产品申请的，每个系列产品中抽</w:t>
      </w:r>
      <w:r>
        <w:rPr>
          <w:spacing w:val="5"/>
          <w:sz w:val="24"/>
          <w:szCs w:val="24"/>
        </w:rPr>
        <w:t>取三分之一具有代表性的规格产品；每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种规格的样机数量，按单一产品的原则执行。</w:t>
      </w:r>
    </w:p>
    <w:p>
      <w:pPr>
        <w:pStyle w:val="BodyText"/>
        <w:spacing w:before="86" w:line="219" w:lineRule="auto"/>
        <w:ind w:left="19"/>
        <w:rPr>
          <w:sz w:val="24"/>
          <w:szCs w:val="24"/>
        </w:rPr>
      </w:pPr>
      <w:r>
        <w:rPr>
          <w:spacing w:val="-4"/>
          <w:sz w:val="24"/>
          <w:szCs w:val="24"/>
        </w:rPr>
        <w:t>9.2  样机的使用方式</w:t>
      </w:r>
    </w:p>
    <w:p>
      <w:pPr>
        <w:pStyle w:val="BodyText"/>
        <w:spacing w:before="75" w:line="404" w:lineRule="exact"/>
        <w:ind w:right="17"/>
        <w:jc w:val="right"/>
        <w:rPr>
          <w:sz w:val="24"/>
          <w:szCs w:val="24"/>
        </w:rPr>
      </w:pPr>
      <w:r>
        <w:rPr>
          <w:spacing w:val="1"/>
          <w:position w:val="12"/>
          <w:sz w:val="24"/>
          <w:szCs w:val="24"/>
        </w:rPr>
        <w:t>所有试验项目应在同一台计量器具上进行，且不</w:t>
      </w:r>
      <w:r>
        <w:rPr>
          <w:position w:val="12"/>
          <w:sz w:val="24"/>
          <w:szCs w:val="24"/>
        </w:rPr>
        <w:t>得在试验期间或试验中对样机进行</w:t>
      </w:r>
    </w:p>
    <w:p>
      <w:pPr>
        <w:pStyle w:val="BodyText"/>
        <w:spacing w:before="1" w:line="221" w:lineRule="auto"/>
        <w:ind w:left="19"/>
        <w:rPr>
          <w:sz w:val="24"/>
          <w:szCs w:val="24"/>
        </w:rPr>
      </w:pPr>
      <w:r>
        <w:rPr>
          <w:spacing w:val="-11"/>
          <w:sz w:val="24"/>
          <w:szCs w:val="24"/>
        </w:rPr>
        <w:t>调整。</w:t>
      </w:r>
    </w:p>
    <w:p>
      <w:pPr>
        <w:spacing w:before="223" w:line="221" w:lineRule="auto"/>
        <w:ind w:left="22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4"/>
          <w:sz w:val="24"/>
          <w:szCs w:val="24"/>
        </w:rPr>
        <w:t>10</w:t>
      </w:r>
      <w:r>
        <w:rPr>
          <w:rFonts w:ascii="SimHei" w:eastAsia="SimHei" w:hAnsi="SimHei" w:cs="SimHei"/>
          <w:spacing w:val="-4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4"/>
          <w:szCs w:val="24"/>
        </w:rPr>
        <w:t>试验项目的试验条件和方法以及数据处理和合格判据</w:t>
      </w:r>
    </w:p>
    <w:p>
      <w:pPr>
        <w:pStyle w:val="BodyText"/>
        <w:spacing w:before="280" w:line="221" w:lineRule="auto"/>
        <w:ind w:left="19"/>
        <w:rPr>
          <w:sz w:val="24"/>
          <w:szCs w:val="24"/>
        </w:rPr>
        <w:sectPr>
          <w:headerReference w:type="default" r:id="rId60"/>
          <w:footerReference w:type="default" r:id="rId61"/>
          <w:pgSz w:w="11900" w:h="16840"/>
          <w:pgMar w:top="1789" w:right="1279" w:bottom="997" w:left="1430" w:header="1464" w:footer="859" w:gutter="0"/>
          <w:pgNumType w:start="13"/>
          <w:cols w:space="708"/>
        </w:sectPr>
      </w:pPr>
      <w:r>
        <w:rPr>
          <w:spacing w:val="-5"/>
          <w:sz w:val="24"/>
          <w:szCs w:val="24"/>
        </w:rPr>
        <w:t>10.1</w:t>
      </w:r>
      <w:r>
        <w:rPr>
          <w:spacing w:val="11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计量要求</w:t>
      </w:r>
    </w:p>
    <w:p>
      <w:pPr>
        <w:pStyle w:val="BodyText"/>
        <w:spacing w:before="62" w:line="219" w:lineRule="auto"/>
        <w:ind w:left="19"/>
        <w:rPr>
          <w:sz w:val="24"/>
          <w:szCs w:val="24"/>
        </w:rPr>
      </w:pPr>
      <w:r>
        <w:rPr>
          <w:spacing w:val="-4"/>
          <w:sz w:val="24"/>
          <w:szCs w:val="24"/>
        </w:rPr>
        <w:t>10.1.1</w:t>
      </w:r>
      <w:r>
        <w:rPr>
          <w:spacing w:val="111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试验条件</w:t>
      </w:r>
    </w:p>
    <w:p>
      <w:pPr>
        <w:pStyle w:val="BodyText"/>
        <w:spacing w:before="86" w:line="220" w:lineRule="auto"/>
        <w:ind w:left="19"/>
        <w:rPr>
          <w:sz w:val="24"/>
          <w:szCs w:val="24"/>
        </w:rPr>
      </w:pPr>
      <w:hyperlink r:id="rId62" w:history="1">
        <w:r>
          <w:rPr>
            <w:spacing w:val="-3"/>
            <w:sz w:val="24"/>
            <w:szCs w:val="24"/>
          </w:rPr>
          <w:t>10.1.1.1</w:t>
        </w:r>
      </w:hyperlink>
      <w:r>
        <w:rPr>
          <w:spacing w:val="97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试验环境</w:t>
      </w:r>
    </w:p>
    <w:p>
      <w:pPr>
        <w:pStyle w:val="BodyText"/>
        <w:spacing w:before="42" w:line="257" w:lineRule="auto"/>
        <w:ind w:left="19" w:right="19" w:firstLine="490"/>
        <w:rPr>
          <w:sz w:val="24"/>
          <w:szCs w:val="24"/>
        </w:rPr>
      </w:pPr>
      <w:r>
        <w:rPr>
          <w:spacing w:val="4"/>
          <w:sz w:val="24"/>
          <w:szCs w:val="24"/>
        </w:rPr>
        <w:t>测光系统所在房间应为暗室，温度应保持在(23±5)</w:t>
      </w:r>
      <w:r>
        <w:rPr>
          <w:spacing w:val="3"/>
          <w:sz w:val="24"/>
          <w:szCs w:val="24"/>
        </w:rPr>
        <w:t>℃。电测系统如使用电位差计</w:t>
      </w:r>
      <w:r>
        <w:rPr>
          <w:sz w:val="24"/>
          <w:szCs w:val="24"/>
        </w:rPr>
        <w:t xml:space="preserve"> </w:t>
      </w:r>
      <w:r>
        <w:rPr>
          <w:spacing w:val="11"/>
          <w:sz w:val="24"/>
          <w:szCs w:val="24"/>
        </w:rPr>
        <w:t>及标准电池等配套设备，所在房间温度应保持在(23±2)℃,湿度小于85%</w:t>
      </w:r>
      <w:r>
        <w:rPr>
          <w:spacing w:val="-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RH</w:t>
      </w:r>
      <w:r>
        <w:rPr>
          <w:spacing w:val="11"/>
          <w:sz w:val="24"/>
          <w:szCs w:val="24"/>
        </w:rPr>
        <w:t>。</w:t>
      </w:r>
    </w:p>
    <w:p>
      <w:pPr>
        <w:pStyle w:val="BodyText"/>
        <w:spacing w:before="84" w:line="221" w:lineRule="auto"/>
        <w:ind w:left="19"/>
        <w:rPr>
          <w:sz w:val="24"/>
          <w:szCs w:val="24"/>
        </w:rPr>
      </w:pPr>
      <w:hyperlink r:id="rId63" w:history="1">
        <w:r>
          <w:rPr>
            <w:spacing w:val="-2"/>
            <w:sz w:val="24"/>
            <w:szCs w:val="24"/>
          </w:rPr>
          <w:t>10.1.1.2</w:t>
        </w:r>
      </w:hyperlink>
      <w:r>
        <w:rPr>
          <w:spacing w:val="10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试验设备</w:t>
      </w:r>
    </w:p>
    <w:p>
      <w:pPr>
        <w:pStyle w:val="BodyText"/>
        <w:spacing w:before="82" w:line="219" w:lineRule="auto"/>
        <w:ind w:left="19"/>
        <w:rPr>
          <w:sz w:val="24"/>
          <w:szCs w:val="24"/>
        </w:rPr>
      </w:pPr>
      <w:r>
        <w:rPr>
          <w:spacing w:val="9"/>
          <w:sz w:val="24"/>
          <w:szCs w:val="24"/>
        </w:rPr>
        <w:t>10.1.1.2.1</w:t>
      </w:r>
      <w:r>
        <w:rPr>
          <w:spacing w:val="112"/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>光度测量装置(见图1)</w:t>
      </w:r>
    </w:p>
    <w:p>
      <w:pPr>
        <w:pStyle w:val="BodyText"/>
        <w:spacing w:before="75" w:line="219" w:lineRule="auto"/>
        <w:ind w:right="9"/>
        <w:jc w:val="right"/>
        <w:rPr>
          <w:sz w:val="24"/>
          <w:szCs w:val="24"/>
        </w:rPr>
      </w:pPr>
      <w:r>
        <w:rPr>
          <w:spacing w:val="4"/>
          <w:sz w:val="24"/>
          <w:szCs w:val="24"/>
        </w:rPr>
        <w:t>由光轨及滑车、灯架、灯丝平面调整仪、光阑等组成。光轨长度要</w:t>
      </w:r>
      <w:r>
        <w:rPr>
          <w:spacing w:val="3"/>
          <w:sz w:val="24"/>
          <w:szCs w:val="24"/>
        </w:rPr>
        <w:t>6</w:t>
      </w:r>
      <w:r>
        <w:rPr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以</w:t>
      </w:r>
      <w:r>
        <w:rPr>
          <w:spacing w:val="-53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上 (</w:t>
      </w:r>
      <w:r>
        <w:rPr>
          <w:spacing w:val="-55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满</w:t>
      </w:r>
    </w:p>
    <w:p>
      <w:pPr>
        <w:spacing w:line="219" w:lineRule="auto"/>
        <w:rPr>
          <w:sz w:val="24"/>
          <w:szCs w:val="24"/>
        </w:rPr>
        <w:sectPr>
          <w:headerReference w:type="default" r:id="rId64"/>
          <w:footerReference w:type="default" r:id="rId65"/>
          <w:type w:val="nextPage"/>
          <w:pgSz w:w="11900" w:h="16840"/>
          <w:pgMar w:top="1789" w:right="1279" w:bottom="997" w:left="1430" w:header="1464" w:footer="859" w:gutter="0"/>
          <w:pgNumType w:start="14"/>
          <w:cols w:space="708"/>
          <w:titlePg w:val="0"/>
        </w:sectPr>
      </w:pPr>
    </w:p>
    <w:p>
      <w:pPr>
        <w:pStyle w:val="BodyText"/>
        <w:spacing w:before="206" w:line="216" w:lineRule="auto"/>
        <w:ind w:left="9"/>
        <w:rPr>
          <w:sz w:val="24"/>
          <w:szCs w:val="24"/>
        </w:rPr>
      </w:pPr>
      <w:r>
        <w:rPr>
          <w:spacing w:val="4"/>
          <w:sz w:val="24"/>
          <w:szCs w:val="24"/>
        </w:rPr>
        <w:t>足改变一个量程照度所需的长度),平直性良好。光轨平直性误差应不超过±1</w:t>
      </w:r>
      <w:r>
        <w:rPr>
          <w:spacing w:val="-47"/>
          <w:sz w:val="24"/>
          <w:szCs w:val="24"/>
        </w:rPr>
        <w:t xml:space="preserve"> </w:t>
      </w:r>
      <w:r>
        <w:rPr>
          <w:sz w:val="24"/>
          <w:szCs w:val="24"/>
        </w:rPr>
        <w:t>mm</w:t>
      </w:r>
      <w:r>
        <w:rPr>
          <w:spacing w:val="4"/>
          <w:sz w:val="24"/>
          <w:szCs w:val="24"/>
        </w:rPr>
        <w:t>,  测</w:t>
      </w:r>
    </w:p>
    <w:p>
      <w:pPr>
        <w:pStyle w:val="BodyText"/>
        <w:spacing w:before="111" w:line="219" w:lineRule="auto"/>
        <w:ind w:left="9"/>
        <w:rPr>
          <w:sz w:val="24"/>
          <w:szCs w:val="24"/>
        </w:rPr>
      </w:pPr>
      <w:r>
        <w:rPr>
          <w:spacing w:val="10"/>
          <w:sz w:val="24"/>
          <w:szCs w:val="24"/>
        </w:rPr>
        <w:t>距米尺1m 内的总误差不大于0.2</w:t>
      </w:r>
      <w:r>
        <w:rPr>
          <w:spacing w:val="-40"/>
          <w:sz w:val="24"/>
          <w:szCs w:val="24"/>
        </w:rPr>
        <w:t xml:space="preserve"> </w:t>
      </w:r>
      <w:r>
        <w:rPr>
          <w:sz w:val="24"/>
          <w:szCs w:val="24"/>
        </w:rPr>
        <w:t>mm</w:t>
      </w:r>
      <w:r>
        <w:rPr>
          <w:spacing w:val="10"/>
          <w:sz w:val="24"/>
          <w:szCs w:val="24"/>
        </w:rPr>
        <w:t>。</w:t>
      </w:r>
    </w:p>
    <w:p>
      <w:pPr>
        <w:pStyle w:val="BodyText"/>
        <w:spacing w:before="105" w:line="219" w:lineRule="auto"/>
        <w:ind w:left="9"/>
        <w:rPr>
          <w:sz w:val="21"/>
          <w:szCs w:val="21"/>
        </w:rPr>
      </w:pPr>
      <w:r>
        <w:rPr>
          <w:spacing w:val="9"/>
          <w:sz w:val="21"/>
          <w:szCs w:val="21"/>
        </w:rPr>
        <w:t>10.1.1.2.2</w:t>
      </w:r>
      <w:r>
        <w:rPr>
          <w:spacing w:val="26"/>
          <w:sz w:val="21"/>
          <w:szCs w:val="21"/>
        </w:rPr>
        <w:t xml:space="preserve">   </w:t>
      </w:r>
      <w:r>
        <w:rPr>
          <w:spacing w:val="9"/>
          <w:sz w:val="21"/>
          <w:szCs w:val="21"/>
        </w:rPr>
        <w:t>电源与电测仪表</w:t>
      </w:r>
    </w:p>
    <w:p>
      <w:pPr>
        <w:pStyle w:val="BodyText"/>
        <w:spacing w:before="82" w:line="219" w:lineRule="auto"/>
        <w:ind w:left="500"/>
        <w:rPr>
          <w:sz w:val="24"/>
          <w:szCs w:val="24"/>
        </w:rPr>
      </w:pPr>
      <w:r>
        <w:rPr>
          <w:sz w:val="24"/>
          <w:szCs w:val="24"/>
        </w:rPr>
        <w:t>检定照度计的电测仪表准确度等级参见表1</w:t>
      </w:r>
      <w:r>
        <w:rPr>
          <w:spacing w:val="-1"/>
          <w:sz w:val="24"/>
          <w:szCs w:val="24"/>
        </w:rPr>
        <w:t>1。</w:t>
      </w:r>
    </w:p>
    <w:p>
      <w:pPr>
        <w:spacing w:before="58" w:line="221" w:lineRule="auto"/>
        <w:ind w:left="310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1"/>
          <w:sz w:val="21"/>
          <w:szCs w:val="21"/>
        </w:rPr>
        <w:t>表11</w:t>
      </w:r>
      <w:r>
        <w:rPr>
          <w:rFonts w:ascii="SimHei" w:eastAsia="SimHei" w:hAnsi="SimHei" w:cs="SimHei"/>
          <w:spacing w:val="89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1"/>
          <w:sz w:val="21"/>
          <w:szCs w:val="21"/>
        </w:rPr>
        <w:t>电测仪表准确度等级要求</w:t>
      </w:r>
    </w:p>
    <w:p>
      <w:pPr>
        <w:spacing w:line="80" w:lineRule="exact"/>
      </w:pPr>
    </w:p>
    <w:tbl>
      <w:tblPr>
        <w:tblStyle w:val="TableNormal8"/>
        <w:tblW w:w="9110" w:type="dxa"/>
        <w:tblInd w:w="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800"/>
        <w:gridCol w:w="4310"/>
      </w:tblGrid>
      <w:tr>
        <w:tblPrEx>
          <w:tblW w:w="9110" w:type="dxa"/>
          <w:tblInd w:w="2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1"/>
        </w:trPr>
        <w:tc>
          <w:tcPr>
            <w:tcW w:w="4800" w:type="dxa"/>
            <w:vAlign w:val="top"/>
          </w:tcPr>
          <w:p>
            <w:pPr>
              <w:pStyle w:val="TableText"/>
              <w:spacing w:before="111" w:line="218" w:lineRule="auto"/>
              <w:ind w:left="1595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被评价照度计级别</w:t>
            </w:r>
          </w:p>
        </w:tc>
        <w:tc>
          <w:tcPr>
            <w:tcW w:w="4310" w:type="dxa"/>
            <w:vAlign w:val="top"/>
          </w:tcPr>
          <w:p>
            <w:pPr>
              <w:pStyle w:val="TableText"/>
              <w:spacing w:before="113" w:line="219" w:lineRule="auto"/>
              <w:ind w:left="174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电测仪表</w:t>
            </w:r>
          </w:p>
        </w:tc>
      </w:tr>
      <w:tr>
        <w:tblPrEx>
          <w:tblW w:w="9110" w:type="dxa"/>
          <w:tblInd w:w="29" w:type="dxa"/>
          <w:tblLayout w:type="fixed"/>
        </w:tblPrEx>
        <w:trPr>
          <w:trHeight w:val="407"/>
        </w:trPr>
        <w:tc>
          <w:tcPr>
            <w:tcW w:w="4800" w:type="dxa"/>
            <w:vAlign w:val="top"/>
          </w:tcPr>
          <w:p>
            <w:pPr>
              <w:pStyle w:val="TableText"/>
              <w:spacing w:before="112" w:line="220" w:lineRule="auto"/>
              <w:ind w:left="219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标准</w:t>
            </w:r>
          </w:p>
        </w:tc>
        <w:tc>
          <w:tcPr>
            <w:tcW w:w="4310" w:type="dxa"/>
            <w:vAlign w:val="top"/>
          </w:tcPr>
          <w:p>
            <w:pPr>
              <w:pStyle w:val="TableText"/>
              <w:spacing w:before="114" w:line="221" w:lineRule="auto"/>
              <w:ind w:left="1845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0.01级</w:t>
            </w:r>
          </w:p>
        </w:tc>
      </w:tr>
      <w:tr>
        <w:tblPrEx>
          <w:tblW w:w="9110" w:type="dxa"/>
          <w:tblInd w:w="29" w:type="dxa"/>
          <w:tblLayout w:type="fixed"/>
        </w:tblPrEx>
        <w:trPr>
          <w:trHeight w:val="411"/>
        </w:trPr>
        <w:tc>
          <w:tcPr>
            <w:tcW w:w="4800" w:type="dxa"/>
            <w:vAlign w:val="top"/>
          </w:tcPr>
          <w:p>
            <w:pPr>
              <w:pStyle w:val="TableText"/>
              <w:spacing w:before="117" w:line="221" w:lineRule="auto"/>
              <w:ind w:left="1895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一级、二级</w:t>
            </w:r>
          </w:p>
        </w:tc>
        <w:tc>
          <w:tcPr>
            <w:tcW w:w="4310" w:type="dxa"/>
            <w:vAlign w:val="top"/>
          </w:tcPr>
          <w:p>
            <w:pPr>
              <w:pStyle w:val="TableText"/>
              <w:spacing w:before="117" w:line="221" w:lineRule="auto"/>
              <w:ind w:left="1845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0.02级</w:t>
            </w:r>
          </w:p>
        </w:tc>
      </w:tr>
    </w:tbl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79" w:line="219" w:lineRule="auto"/>
        <w:ind w:left="9"/>
        <w:rPr>
          <w:sz w:val="24"/>
          <w:szCs w:val="24"/>
        </w:rPr>
      </w:pPr>
      <w:r>
        <w:rPr>
          <w:spacing w:val="-3"/>
          <w:sz w:val="24"/>
          <w:szCs w:val="24"/>
        </w:rPr>
        <w:t>10.1.1.2.3</w:t>
      </w:r>
      <w:r>
        <w:rPr>
          <w:spacing w:val="11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发光强度标准灯组</w:t>
      </w:r>
    </w:p>
    <w:p>
      <w:pPr>
        <w:pStyle w:val="BodyText"/>
        <w:spacing w:before="85" w:line="219" w:lineRule="auto"/>
        <w:ind w:left="500"/>
        <w:rPr>
          <w:sz w:val="24"/>
          <w:szCs w:val="24"/>
        </w:rPr>
      </w:pPr>
      <w:r>
        <w:rPr>
          <w:sz w:val="24"/>
          <w:szCs w:val="24"/>
        </w:rPr>
        <w:t>检定照度计的发光强度标准灯等级参见表1</w:t>
      </w:r>
      <w:r>
        <w:rPr>
          <w:spacing w:val="-1"/>
          <w:sz w:val="24"/>
          <w:szCs w:val="24"/>
        </w:rPr>
        <w:t>2。</w:t>
      </w:r>
    </w:p>
    <w:p>
      <w:pPr>
        <w:spacing w:before="69" w:line="221" w:lineRule="auto"/>
        <w:ind w:left="332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z w:val="21"/>
          <w:szCs w:val="21"/>
        </w:rPr>
        <w:t>表12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z w:val="21"/>
          <w:szCs w:val="21"/>
        </w:rPr>
        <w:t>发光强度标准灯要求</w:t>
      </w:r>
    </w:p>
    <w:p>
      <w:pPr>
        <w:spacing w:line="90" w:lineRule="exact"/>
      </w:pPr>
    </w:p>
    <w:tbl>
      <w:tblPr>
        <w:tblStyle w:val="TableNormal8"/>
        <w:tblW w:w="9120" w:type="dxa"/>
        <w:tblInd w:w="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800"/>
        <w:gridCol w:w="4320"/>
      </w:tblGrid>
      <w:tr>
        <w:tblPrEx>
          <w:tblW w:w="9120" w:type="dxa"/>
          <w:tblInd w:w="2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1"/>
        </w:trPr>
        <w:tc>
          <w:tcPr>
            <w:tcW w:w="4800" w:type="dxa"/>
            <w:vAlign w:val="top"/>
          </w:tcPr>
          <w:p>
            <w:pPr>
              <w:pStyle w:val="TableText"/>
              <w:spacing w:before="101" w:line="218" w:lineRule="auto"/>
              <w:ind w:left="1555"/>
            </w:pPr>
            <w:r>
              <w:rPr>
                <w:spacing w:val="2"/>
              </w:rPr>
              <w:t>被评价照度计级别</w:t>
            </w:r>
          </w:p>
        </w:tc>
        <w:tc>
          <w:tcPr>
            <w:tcW w:w="4320" w:type="dxa"/>
            <w:vAlign w:val="top"/>
          </w:tcPr>
          <w:p>
            <w:pPr>
              <w:pStyle w:val="TableText"/>
              <w:spacing w:before="103" w:line="219" w:lineRule="auto"/>
              <w:ind w:left="1415"/>
            </w:pPr>
            <w:r>
              <w:rPr>
                <w:spacing w:val="1"/>
              </w:rPr>
              <w:t>发光强度标准灯</w:t>
            </w:r>
          </w:p>
        </w:tc>
      </w:tr>
      <w:tr>
        <w:tblPrEx>
          <w:tblW w:w="9120" w:type="dxa"/>
          <w:tblInd w:w="29" w:type="dxa"/>
          <w:tblLayout w:type="fixed"/>
        </w:tblPrEx>
        <w:trPr>
          <w:trHeight w:val="407"/>
        </w:trPr>
        <w:tc>
          <w:tcPr>
            <w:tcW w:w="4800" w:type="dxa"/>
            <w:vAlign w:val="top"/>
          </w:tcPr>
          <w:p>
            <w:pPr>
              <w:pStyle w:val="TableText"/>
              <w:spacing w:before="103" w:line="220" w:lineRule="auto"/>
              <w:ind w:left="2185"/>
            </w:pPr>
            <w:r>
              <w:rPr>
                <w:spacing w:val="-3"/>
              </w:rPr>
              <w:t>标准</w:t>
            </w:r>
          </w:p>
        </w:tc>
        <w:tc>
          <w:tcPr>
            <w:tcW w:w="4320" w:type="dxa"/>
            <w:vAlign w:val="top"/>
          </w:tcPr>
          <w:p>
            <w:pPr>
              <w:pStyle w:val="TableText"/>
              <w:spacing w:before="103" w:line="220" w:lineRule="auto"/>
              <w:ind w:left="1205"/>
            </w:pPr>
            <w:r>
              <w:rPr>
                <w:spacing w:val="-1"/>
              </w:rPr>
              <w:t>2856 K工作基准灯组</w:t>
            </w:r>
          </w:p>
        </w:tc>
      </w:tr>
      <w:tr>
        <w:tblPrEx>
          <w:tblW w:w="9120" w:type="dxa"/>
          <w:tblInd w:w="29" w:type="dxa"/>
          <w:tblLayout w:type="fixed"/>
        </w:tblPrEx>
        <w:trPr>
          <w:trHeight w:val="411"/>
        </w:trPr>
        <w:tc>
          <w:tcPr>
            <w:tcW w:w="4800" w:type="dxa"/>
            <w:vAlign w:val="top"/>
          </w:tcPr>
          <w:p>
            <w:pPr>
              <w:pStyle w:val="TableText"/>
              <w:spacing w:before="108" w:line="221" w:lineRule="auto"/>
              <w:ind w:left="1865"/>
            </w:pPr>
            <w:r>
              <w:rPr>
                <w:spacing w:val="2"/>
              </w:rPr>
              <w:t>一级、二级</w:t>
            </w:r>
          </w:p>
        </w:tc>
        <w:tc>
          <w:tcPr>
            <w:tcW w:w="4320" w:type="dxa"/>
            <w:vAlign w:val="top"/>
          </w:tcPr>
          <w:p>
            <w:pPr>
              <w:pStyle w:val="TableText"/>
              <w:spacing w:before="106" w:line="220" w:lineRule="auto"/>
              <w:ind w:left="1205"/>
            </w:pPr>
            <w:r>
              <w:rPr>
                <w:spacing w:val="-1"/>
              </w:rPr>
              <w:t>2856 K一级标准灯组</w:t>
            </w:r>
          </w:p>
        </w:tc>
      </w:tr>
    </w:tbl>
    <w:p>
      <w:pPr>
        <w:spacing w:before="215" w:line="2050" w:lineRule="exact"/>
        <w:ind w:firstLine="1760"/>
      </w:pPr>
      <w:r>
        <w:rPr>
          <w:position w:val="-41"/>
        </w:rPr>
        <w:drawing>
          <wp:inline distT="0" distB="0" distL="0" distR="0">
            <wp:extent cx="3568707" cy="1301814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568707" cy="1301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68" w:line="320" w:lineRule="exact"/>
        <w:ind w:left="2530"/>
        <w:rPr>
          <w:sz w:val="21"/>
          <w:szCs w:val="21"/>
        </w:rPr>
      </w:pPr>
      <w:r>
        <w:rPr>
          <w:spacing w:val="-4"/>
          <w:position w:val="8"/>
          <w:sz w:val="21"/>
          <w:szCs w:val="21"/>
        </w:rPr>
        <w:t>图 1</w:t>
      </w:r>
      <w:r>
        <w:rPr>
          <w:spacing w:val="97"/>
          <w:position w:val="8"/>
          <w:sz w:val="21"/>
          <w:szCs w:val="21"/>
        </w:rPr>
        <w:t xml:space="preserve"> </w:t>
      </w:r>
      <w:r>
        <w:rPr>
          <w:spacing w:val="-4"/>
          <w:position w:val="8"/>
          <w:sz w:val="21"/>
          <w:szCs w:val="21"/>
        </w:rPr>
        <w:t>在光度测量装置上检定照度计的示意图</w:t>
      </w:r>
    </w:p>
    <w:p>
      <w:pPr>
        <w:pStyle w:val="BodyText"/>
        <w:spacing w:before="1" w:line="219" w:lineRule="auto"/>
        <w:ind w:left="3289"/>
        <w:rPr>
          <w:sz w:val="21"/>
          <w:szCs w:val="21"/>
        </w:rPr>
      </w:pPr>
      <w:r>
        <w:rPr>
          <w:spacing w:val="-23"/>
          <w:w w:val="98"/>
          <w:sz w:val="21"/>
          <w:szCs w:val="21"/>
        </w:rPr>
        <w:t>1—光度头；2—光阑；3—标准灯</w:t>
      </w:r>
    </w:p>
    <w:p>
      <w:pPr>
        <w:pStyle w:val="BodyText"/>
        <w:spacing w:before="80" w:line="221" w:lineRule="auto"/>
        <w:ind w:left="13"/>
        <w:outlineLvl w:val="0"/>
        <w:rPr>
          <w:sz w:val="24"/>
          <w:szCs w:val="24"/>
        </w:rPr>
      </w:pPr>
      <w:r>
        <w:rPr>
          <w:b/>
          <w:bCs/>
          <w:spacing w:val="-8"/>
          <w:sz w:val="24"/>
          <w:szCs w:val="24"/>
        </w:rPr>
        <w:t>10.1.2</w:t>
      </w:r>
      <w:r>
        <w:rPr>
          <w:spacing w:val="-8"/>
          <w:sz w:val="24"/>
          <w:szCs w:val="24"/>
        </w:rPr>
        <w:t xml:space="preserve">  </w:t>
      </w:r>
      <w:r>
        <w:rPr>
          <w:b/>
          <w:bCs/>
          <w:spacing w:val="-8"/>
          <w:sz w:val="24"/>
          <w:szCs w:val="24"/>
        </w:rPr>
        <w:t>试验方法</w:t>
      </w:r>
    </w:p>
    <w:p>
      <w:pPr>
        <w:pStyle w:val="BodyText"/>
        <w:spacing w:before="81" w:line="219" w:lineRule="auto"/>
        <w:ind w:left="13"/>
        <w:outlineLvl w:val="0"/>
        <w:rPr>
          <w:sz w:val="24"/>
          <w:szCs w:val="24"/>
        </w:rPr>
      </w:pPr>
      <w:hyperlink r:id="rId36" w:history="1">
        <w:r>
          <w:rPr>
            <w:b/>
            <w:bCs/>
            <w:spacing w:val="-6"/>
            <w:sz w:val="24"/>
            <w:szCs w:val="24"/>
          </w:rPr>
          <w:t>10.1.2.1</w:t>
        </w:r>
      </w:hyperlink>
      <w:r>
        <w:rPr>
          <w:spacing w:val="-6"/>
          <w:sz w:val="24"/>
          <w:szCs w:val="24"/>
        </w:rPr>
        <w:t xml:space="preserve">  </w:t>
      </w:r>
      <w:r>
        <w:rPr>
          <w:b/>
          <w:bCs/>
          <w:spacing w:val="-6"/>
          <w:sz w:val="24"/>
          <w:szCs w:val="24"/>
        </w:rPr>
        <w:t>相对零值误差</w:t>
      </w:r>
    </w:p>
    <w:p>
      <w:pPr>
        <w:pStyle w:val="BodyText"/>
        <w:spacing w:before="87" w:line="221" w:lineRule="auto"/>
        <w:ind w:left="13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10.1.2.1.1</w:t>
      </w:r>
      <w:r>
        <w:rPr>
          <w:spacing w:val="97"/>
          <w:sz w:val="24"/>
          <w:szCs w:val="24"/>
        </w:rPr>
        <w:t xml:space="preserve"> </w:t>
      </w:r>
      <w:r>
        <w:rPr>
          <w:b/>
          <w:bCs/>
          <w:spacing w:val="-5"/>
          <w:sz w:val="24"/>
          <w:szCs w:val="24"/>
        </w:rPr>
        <w:t>试验目的</w:t>
      </w:r>
    </w:p>
    <w:p>
      <w:pPr>
        <w:pStyle w:val="BodyText"/>
        <w:spacing w:before="95" w:line="219" w:lineRule="auto"/>
        <w:ind w:left="500"/>
        <w:rPr>
          <w:sz w:val="24"/>
          <w:szCs w:val="24"/>
        </w:rPr>
      </w:pPr>
      <w:r>
        <w:rPr>
          <w:spacing w:val="4"/>
          <w:sz w:val="24"/>
          <w:szCs w:val="24"/>
        </w:rPr>
        <w:t>评定照度计的相对零值误差是否满足6.1的要</w:t>
      </w:r>
      <w:r>
        <w:rPr>
          <w:spacing w:val="3"/>
          <w:sz w:val="24"/>
          <w:szCs w:val="24"/>
        </w:rPr>
        <w:t>求。</w:t>
      </w:r>
    </w:p>
    <w:p>
      <w:pPr>
        <w:pStyle w:val="BodyText"/>
        <w:spacing w:before="66" w:line="266" w:lineRule="auto"/>
        <w:ind w:left="502" w:right="6829" w:hanging="489"/>
        <w:rPr>
          <w:sz w:val="21"/>
          <w:szCs w:val="21"/>
        </w:rPr>
        <w:sectPr>
          <w:headerReference w:type="default" r:id="rId67"/>
          <w:footerReference w:type="default" r:id="rId68"/>
          <w:pgSz w:w="11900" w:h="16840"/>
          <w:pgMar w:top="1789" w:right="1460" w:bottom="1047" w:left="1269" w:header="1449" w:footer="897" w:gutter="0"/>
          <w:pgNumType w:start="15"/>
          <w:cols w:space="708"/>
        </w:sectPr>
      </w:pPr>
      <w:r>
        <w:rPr>
          <w:b/>
          <w:bCs/>
          <w:spacing w:val="-7"/>
          <w:sz w:val="24"/>
          <w:szCs w:val="24"/>
        </w:rPr>
        <w:t>10.1.2.1.2</w:t>
      </w:r>
      <w:r>
        <w:rPr>
          <w:spacing w:val="119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试验环境</w:t>
      </w:r>
      <w:r>
        <w:rPr>
          <w:sz w:val="24"/>
          <w:szCs w:val="24"/>
        </w:rPr>
        <w:t xml:space="preserve"> </w:t>
      </w:r>
      <w:r>
        <w:rPr>
          <w:b/>
          <w:bCs/>
          <w:spacing w:val="-4"/>
          <w:sz w:val="21"/>
          <w:szCs w:val="21"/>
        </w:rPr>
        <w:t>同</w:t>
      </w:r>
      <w:r>
        <w:rPr>
          <w:spacing w:val="-50"/>
          <w:sz w:val="21"/>
          <w:szCs w:val="21"/>
        </w:rPr>
        <w:t xml:space="preserve"> </w:t>
      </w:r>
      <w:hyperlink r:id="rId62" w:history="1">
        <w:r>
          <w:rPr>
            <w:b/>
            <w:bCs/>
            <w:spacing w:val="-4"/>
            <w:sz w:val="21"/>
            <w:szCs w:val="21"/>
          </w:rPr>
          <w:t>10.</w:t>
        </w:r>
        <w:r>
          <w:rPr>
            <w:spacing w:val="-58"/>
            <w:sz w:val="21"/>
            <w:szCs w:val="21"/>
          </w:rPr>
          <w:t xml:space="preserve"> </w:t>
        </w:r>
        <w:r>
          <w:rPr>
            <w:b/>
            <w:bCs/>
            <w:spacing w:val="-4"/>
            <w:sz w:val="21"/>
            <w:szCs w:val="21"/>
          </w:rPr>
          <w:t>1.</w:t>
        </w:r>
        <w:r>
          <w:rPr>
            <w:spacing w:val="-58"/>
            <w:sz w:val="21"/>
            <w:szCs w:val="21"/>
          </w:rPr>
          <w:t xml:space="preserve"> </w:t>
        </w:r>
        <w:r>
          <w:rPr>
            <w:b/>
            <w:bCs/>
            <w:spacing w:val="-4"/>
            <w:sz w:val="21"/>
            <w:szCs w:val="21"/>
          </w:rPr>
          <w:t>1.</w:t>
        </w:r>
        <w:r>
          <w:rPr>
            <w:spacing w:val="-58"/>
            <w:sz w:val="21"/>
            <w:szCs w:val="21"/>
          </w:rPr>
          <w:t xml:space="preserve"> </w:t>
        </w:r>
        <w:r>
          <w:rPr>
            <w:b/>
            <w:bCs/>
            <w:spacing w:val="-4"/>
            <w:sz w:val="21"/>
            <w:szCs w:val="21"/>
          </w:rPr>
          <w:t>1</w:t>
        </w:r>
      </w:hyperlink>
      <w:r>
        <w:rPr>
          <w:b/>
          <w:bCs/>
          <w:spacing w:val="-4"/>
          <w:sz w:val="21"/>
          <w:szCs w:val="21"/>
        </w:rPr>
        <w:t>。</w:t>
      </w:r>
    </w:p>
    <w:p>
      <w:pPr>
        <w:pStyle w:val="BodyText"/>
        <w:spacing w:before="77" w:line="250" w:lineRule="auto"/>
        <w:ind w:left="503" w:right="6815" w:hanging="490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10.1.2.1.3</w:t>
      </w:r>
      <w:r>
        <w:rPr>
          <w:spacing w:val="-6"/>
          <w:sz w:val="24"/>
          <w:szCs w:val="24"/>
        </w:rPr>
        <w:t xml:space="preserve">  </w:t>
      </w:r>
      <w:r>
        <w:rPr>
          <w:b/>
          <w:bCs/>
          <w:spacing w:val="-6"/>
          <w:sz w:val="24"/>
          <w:szCs w:val="24"/>
        </w:rPr>
        <w:t>试验设备</w:t>
      </w:r>
      <w:r>
        <w:rPr>
          <w:sz w:val="24"/>
          <w:szCs w:val="24"/>
        </w:rPr>
        <w:t xml:space="preserve"> </w:t>
      </w:r>
      <w:r>
        <w:rPr>
          <w:b/>
          <w:bCs/>
          <w:spacing w:val="3"/>
          <w:sz w:val="24"/>
          <w:szCs w:val="24"/>
        </w:rPr>
        <w:t>同</w:t>
      </w:r>
      <w:hyperlink r:id="rId63" w:history="1">
        <w:r>
          <w:rPr>
            <w:b/>
            <w:bCs/>
            <w:spacing w:val="3"/>
            <w:sz w:val="24"/>
            <w:szCs w:val="24"/>
          </w:rPr>
          <w:t>10.1.1.2</w:t>
        </w:r>
      </w:hyperlink>
    </w:p>
    <w:p>
      <w:pPr>
        <w:pStyle w:val="BodyText"/>
        <w:spacing w:before="81" w:line="220" w:lineRule="auto"/>
        <w:ind w:left="13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10.1.2.1.4</w:t>
      </w:r>
      <w:r>
        <w:rPr>
          <w:spacing w:val="-6"/>
          <w:sz w:val="24"/>
          <w:szCs w:val="24"/>
        </w:rPr>
        <w:t xml:space="preserve">  </w:t>
      </w:r>
      <w:r>
        <w:rPr>
          <w:b/>
          <w:bCs/>
          <w:spacing w:val="-6"/>
          <w:sz w:val="24"/>
          <w:szCs w:val="24"/>
        </w:rPr>
        <w:t>试验程序</w:t>
      </w:r>
    </w:p>
    <w:p>
      <w:pPr>
        <w:pStyle w:val="BodyText"/>
        <w:spacing w:before="87" w:line="219" w:lineRule="auto"/>
        <w:ind w:left="500"/>
        <w:rPr>
          <w:sz w:val="24"/>
          <w:szCs w:val="24"/>
        </w:rPr>
      </w:pPr>
      <w:r>
        <w:rPr>
          <w:spacing w:val="-4"/>
          <w:sz w:val="24"/>
          <w:szCs w:val="24"/>
        </w:rPr>
        <w:t>试验只在无调零功能照度计最灵敏的量程进行。</w:t>
      </w:r>
    </w:p>
    <w:p>
      <w:pPr>
        <w:pStyle w:val="BodyText"/>
        <w:spacing w:before="100" w:line="212" w:lineRule="auto"/>
        <w:ind w:right="22"/>
        <w:jc w:val="right"/>
        <w:rPr>
          <w:sz w:val="21"/>
          <w:szCs w:val="21"/>
        </w:rPr>
      </w:pPr>
      <w:r>
        <w:rPr>
          <w:spacing w:val="22"/>
          <w:sz w:val="21"/>
          <w:szCs w:val="21"/>
        </w:rPr>
        <w:t>打开照度计电源，在无人射光辐照到探头光敏面时，显示值为</w:t>
      </w:r>
      <w:r>
        <w:rPr>
          <w:spacing w:val="-5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-24"/>
          <w:sz w:val="21"/>
          <w:szCs w:val="21"/>
        </w:rPr>
        <w:t xml:space="preserve"> </w:t>
      </w:r>
      <w:r>
        <w:rPr>
          <w:spacing w:val="22"/>
          <w:sz w:val="21"/>
          <w:szCs w:val="21"/>
        </w:rPr>
        <w:t>。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,  </w:t>
      </w:r>
      <w:r>
        <w:rPr>
          <w:spacing w:val="22"/>
          <w:sz w:val="21"/>
          <w:szCs w:val="21"/>
        </w:rPr>
        <w:t>读</w:t>
      </w:r>
      <w:r>
        <w:rPr>
          <w:spacing w:val="-25"/>
          <w:sz w:val="21"/>
          <w:szCs w:val="21"/>
        </w:rPr>
        <w:t xml:space="preserve"> </w:t>
      </w:r>
      <w:r>
        <w:rPr>
          <w:spacing w:val="22"/>
          <w:sz w:val="21"/>
          <w:szCs w:val="21"/>
        </w:rPr>
        <w:t>数</w:t>
      </w:r>
      <w:r>
        <w:rPr>
          <w:spacing w:val="-22"/>
          <w:sz w:val="21"/>
          <w:szCs w:val="21"/>
        </w:rPr>
        <w:t xml:space="preserve"> </w:t>
      </w:r>
      <w:r>
        <w:rPr>
          <w:spacing w:val="22"/>
          <w:sz w:val="21"/>
          <w:szCs w:val="21"/>
        </w:rPr>
        <w:t>3</w:t>
      </w:r>
      <w:r>
        <w:rPr>
          <w:spacing w:val="-21"/>
          <w:sz w:val="21"/>
          <w:szCs w:val="21"/>
        </w:rPr>
        <w:t xml:space="preserve"> </w:t>
      </w:r>
      <w:r>
        <w:rPr>
          <w:spacing w:val="22"/>
          <w:sz w:val="21"/>
          <w:szCs w:val="21"/>
        </w:rPr>
        <w:t>次</w:t>
      </w:r>
      <w:r>
        <w:rPr>
          <w:spacing w:val="-23"/>
          <w:sz w:val="21"/>
          <w:szCs w:val="21"/>
        </w:rPr>
        <w:t xml:space="preserve"> </w:t>
      </w:r>
      <w:r>
        <w:rPr>
          <w:spacing w:val="22"/>
          <w:sz w:val="21"/>
          <w:szCs w:val="21"/>
        </w:rPr>
        <w:t>取</w:t>
      </w:r>
      <w:r>
        <w:rPr>
          <w:spacing w:val="-28"/>
          <w:sz w:val="21"/>
          <w:szCs w:val="21"/>
        </w:rPr>
        <w:t xml:space="preserve"> </w:t>
      </w:r>
      <w:r>
        <w:rPr>
          <w:spacing w:val="22"/>
          <w:sz w:val="21"/>
          <w:szCs w:val="21"/>
        </w:rPr>
        <w:t>平</w:t>
      </w:r>
    </w:p>
    <w:p>
      <w:pPr>
        <w:pStyle w:val="BodyText"/>
        <w:spacing w:before="149" w:line="219" w:lineRule="auto"/>
        <w:ind w:left="12"/>
        <w:rPr>
          <w:sz w:val="21"/>
          <w:szCs w:val="21"/>
        </w:rPr>
      </w:pPr>
      <w:r>
        <w:rPr>
          <w:b/>
          <w:bCs/>
          <w:spacing w:val="7"/>
          <w:sz w:val="21"/>
          <w:szCs w:val="21"/>
        </w:rPr>
        <w:t>均值。</w:t>
      </w:r>
    </w:p>
    <w:p>
      <w:pPr>
        <w:spacing w:line="219" w:lineRule="auto"/>
        <w:rPr>
          <w:sz w:val="21"/>
          <w:szCs w:val="21"/>
        </w:rPr>
        <w:sectPr>
          <w:headerReference w:type="default" r:id="rId69"/>
          <w:footerReference w:type="default" r:id="rId70"/>
          <w:type w:val="nextPage"/>
          <w:pgSz w:w="11900" w:h="16840"/>
          <w:pgMar w:top="1789" w:right="1460" w:bottom="1047" w:left="1269" w:header="1449" w:footer="897" w:gutter="0"/>
          <w:pgNumType w:start="16"/>
          <w:cols w:space="708"/>
          <w:titlePg w:val="0"/>
        </w:sectPr>
      </w:pPr>
    </w:p>
    <w:p>
      <w:pPr>
        <w:pStyle w:val="BodyText"/>
        <w:spacing w:before="259" w:line="219" w:lineRule="auto"/>
        <w:ind w:left="39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2863837</wp:posOffset>
            </wp:positionH>
            <wp:positionV relativeFrom="page">
              <wp:posOffset>1714472</wp:posOffset>
            </wp:positionV>
            <wp:extent cx="1924035" cy="342937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924035" cy="342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3594097</wp:posOffset>
            </wp:positionH>
            <wp:positionV relativeFrom="page">
              <wp:posOffset>6667548</wp:posOffset>
            </wp:positionV>
            <wp:extent cx="488981" cy="330105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488981" cy="330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</w:rPr>
        <w:t>10.1.2.1.5</w:t>
      </w:r>
      <w:r>
        <w:rPr>
          <w:spacing w:val="31"/>
        </w:rPr>
        <w:t xml:space="preserve">  </w:t>
      </w:r>
      <w:r>
        <w:rPr>
          <w:spacing w:val="1"/>
        </w:rPr>
        <w:t>数据处理</w:t>
      </w:r>
    </w:p>
    <w:p>
      <w:pPr>
        <w:pStyle w:val="BodyText"/>
        <w:spacing w:before="87" w:line="219" w:lineRule="auto"/>
        <w:ind w:left="510"/>
      </w:pPr>
      <w:r>
        <w:rPr>
          <w:spacing w:val="22"/>
        </w:rPr>
        <w:t>按式(1)计算相对零值误差：</w:t>
      </w:r>
    </w:p>
    <w:p>
      <w:pPr>
        <w:pStyle w:val="BodyText"/>
        <w:spacing w:before="230" w:line="222" w:lineRule="auto"/>
        <w:ind w:left="8829"/>
      </w:pPr>
      <w:r>
        <w:rPr>
          <w:spacing w:val="-11"/>
        </w:rPr>
        <w:t>(1)</w:t>
      </w:r>
    </w:p>
    <w:p>
      <w:pPr>
        <w:pStyle w:val="BodyText"/>
        <w:spacing w:before="230" w:line="220" w:lineRule="auto"/>
        <w:ind w:left="520"/>
      </w:pPr>
      <w:r>
        <w:rPr>
          <w:spacing w:val="-8"/>
        </w:rPr>
        <w:t>式中：</w:t>
      </w:r>
    </w:p>
    <w:p>
      <w:pPr>
        <w:pStyle w:val="BodyText"/>
        <w:spacing w:before="89" w:line="214" w:lineRule="auto"/>
        <w:ind w:left="510"/>
      </w:pPr>
      <w:r>
        <w:t>Eps</w:t>
      </w:r>
      <w:r>
        <w:rPr>
          <w:spacing w:val="4"/>
        </w:rPr>
        <w:t>——</w:t>
      </w:r>
      <w:r>
        <w:rPr>
          <w:spacing w:val="-73"/>
        </w:rPr>
        <w:t xml:space="preserve"> </w:t>
      </w:r>
      <w:r>
        <w:rPr>
          <w:spacing w:val="4"/>
        </w:rPr>
        <w:t>满量程照度值。</w:t>
      </w:r>
    </w:p>
    <w:p>
      <w:pPr>
        <w:pStyle w:val="BodyText"/>
        <w:spacing w:before="89" w:line="219" w:lineRule="auto"/>
        <w:ind w:left="39"/>
      </w:pPr>
      <w:r>
        <w:rPr>
          <w:spacing w:val="1"/>
        </w:rPr>
        <w:t>10.1.2.1.6</w:t>
      </w:r>
      <w:r>
        <w:rPr>
          <w:spacing w:val="34"/>
        </w:rPr>
        <w:t xml:space="preserve">  </w:t>
      </w:r>
      <w:r>
        <w:rPr>
          <w:spacing w:val="1"/>
        </w:rPr>
        <w:t>合格判据</w:t>
      </w:r>
    </w:p>
    <w:p>
      <w:pPr>
        <w:pStyle w:val="BodyText"/>
        <w:spacing w:before="87" w:line="219" w:lineRule="auto"/>
        <w:ind w:left="510"/>
      </w:pPr>
      <w:r>
        <w:rPr>
          <w:spacing w:val="13"/>
        </w:rPr>
        <w:t>各级照度计的相对零值误差应符合6.1的要求。</w:t>
      </w:r>
    </w:p>
    <w:p>
      <w:pPr>
        <w:pStyle w:val="BodyText"/>
        <w:spacing w:before="88" w:line="219" w:lineRule="auto"/>
        <w:ind w:left="49"/>
      </w:pPr>
      <w:hyperlink r:id="rId39" w:history="1">
        <w:r>
          <w:rPr>
            <w:spacing w:val="3"/>
          </w:rPr>
          <w:t>10.1.2.2</w:t>
        </w:r>
      </w:hyperlink>
      <w:r>
        <w:rPr>
          <w:spacing w:val="1"/>
        </w:rPr>
        <w:t xml:space="preserve">   </w:t>
      </w:r>
      <w:r>
        <w:rPr>
          <w:spacing w:val="3"/>
        </w:rPr>
        <w:t>相对示值误差</w:t>
      </w:r>
    </w:p>
    <w:p>
      <w:pPr>
        <w:pStyle w:val="BodyText"/>
        <w:spacing w:before="78" w:line="221" w:lineRule="auto"/>
        <w:ind w:left="49"/>
      </w:pPr>
      <w:r>
        <w:rPr>
          <w:spacing w:val="1"/>
        </w:rPr>
        <w:t>10.1.2.2.1</w:t>
      </w:r>
      <w:r>
        <w:rPr>
          <w:spacing w:val="21"/>
        </w:rPr>
        <w:t xml:space="preserve">  </w:t>
      </w:r>
      <w:r>
        <w:rPr>
          <w:spacing w:val="1"/>
        </w:rPr>
        <w:t>试验目的</w:t>
      </w:r>
    </w:p>
    <w:p>
      <w:pPr>
        <w:pStyle w:val="BodyText"/>
        <w:spacing w:before="83" w:line="219" w:lineRule="auto"/>
        <w:ind w:left="520"/>
      </w:pPr>
      <w:r>
        <w:rPr>
          <w:spacing w:val="13"/>
        </w:rPr>
        <w:t>评定照度计的相对示值误差是否满足6.2的要求。</w:t>
      </w:r>
    </w:p>
    <w:p>
      <w:pPr>
        <w:pStyle w:val="BodyText"/>
        <w:spacing w:before="78" w:line="256" w:lineRule="auto"/>
        <w:ind w:left="529" w:right="6780" w:hanging="480"/>
      </w:pPr>
      <w:r>
        <w:rPr>
          <w:spacing w:val="2"/>
        </w:rPr>
        <w:t>10.1.2.2.2</w:t>
      </w:r>
      <w:r>
        <w:rPr>
          <w:spacing w:val="20"/>
        </w:rPr>
        <w:t xml:space="preserve">  </w:t>
      </w:r>
      <w:r>
        <w:rPr>
          <w:spacing w:val="2"/>
        </w:rPr>
        <w:t>试验环境</w:t>
      </w:r>
      <w:r>
        <w:t xml:space="preserve"> </w:t>
      </w:r>
      <w:r>
        <w:rPr>
          <w:spacing w:val="7"/>
        </w:rPr>
        <w:t>同</w:t>
      </w:r>
      <w:hyperlink r:id="rId62" w:history="1">
        <w:r>
          <w:rPr>
            <w:spacing w:val="7"/>
          </w:rPr>
          <w:t>10.1.1.1</w:t>
        </w:r>
      </w:hyperlink>
      <w:r>
        <w:rPr>
          <w:spacing w:val="7"/>
        </w:rPr>
        <w:t>。</w:t>
      </w:r>
    </w:p>
    <w:p>
      <w:pPr>
        <w:pStyle w:val="BodyText"/>
        <w:spacing w:before="82" w:line="256" w:lineRule="auto"/>
        <w:ind w:left="529" w:right="6789" w:hanging="480"/>
      </w:pPr>
      <w:r>
        <w:rPr>
          <w:spacing w:val="1"/>
        </w:rPr>
        <w:t>10.1.2.2.3</w:t>
      </w:r>
      <w:r>
        <w:rPr>
          <w:spacing w:val="22"/>
        </w:rPr>
        <w:t xml:space="preserve">  </w:t>
      </w:r>
      <w:r>
        <w:rPr>
          <w:spacing w:val="1"/>
        </w:rPr>
        <w:t xml:space="preserve">试验设备 </w:t>
      </w:r>
      <w:r>
        <w:rPr>
          <w:spacing w:val="6"/>
        </w:rPr>
        <w:t>同</w:t>
      </w:r>
      <w:hyperlink r:id="rId63" w:history="1">
        <w:r>
          <w:rPr>
            <w:spacing w:val="6"/>
          </w:rPr>
          <w:t>10.1.1.2</w:t>
        </w:r>
      </w:hyperlink>
      <w:r>
        <w:rPr>
          <w:spacing w:val="6"/>
        </w:rPr>
        <w:t>。</w:t>
      </w:r>
    </w:p>
    <w:p>
      <w:pPr>
        <w:pStyle w:val="BodyText"/>
        <w:spacing w:before="92" w:line="220" w:lineRule="auto"/>
        <w:ind w:left="49"/>
      </w:pPr>
      <w:r>
        <w:rPr>
          <w:spacing w:val="1"/>
        </w:rPr>
        <w:t>10.1.2.2.4</w:t>
      </w:r>
      <w:r>
        <w:rPr>
          <w:spacing w:val="19"/>
        </w:rPr>
        <w:t xml:space="preserve">  </w:t>
      </w:r>
      <w:r>
        <w:rPr>
          <w:spacing w:val="1"/>
        </w:rPr>
        <w:t>试验程序</w:t>
      </w:r>
    </w:p>
    <w:p>
      <w:pPr>
        <w:pStyle w:val="BodyText"/>
        <w:spacing w:before="63" w:line="277" w:lineRule="auto"/>
        <w:ind w:left="29" w:right="11" w:firstLine="469"/>
        <w:jc w:val="both"/>
      </w:pPr>
      <w:r>
        <w:rPr>
          <w:spacing w:val="14"/>
        </w:rPr>
        <w:t>连接光度头、显示器等部件，接通电源，把照度计和发光</w:t>
      </w:r>
      <w:r>
        <w:rPr>
          <w:spacing w:val="13"/>
        </w:rPr>
        <w:t>强度标准灯(以下简称标</w:t>
      </w:r>
      <w:r>
        <w:t xml:space="preserve"> </w:t>
      </w:r>
      <w:r>
        <w:rPr>
          <w:spacing w:val="13"/>
        </w:rPr>
        <w:t>准灯)安装在光度测量装置上。调整标准灯的灯丝平面和光度头的测试面，使它们垂直</w:t>
      </w:r>
      <w:r>
        <w:rPr>
          <w:spacing w:val="1"/>
        </w:rPr>
        <w:t xml:space="preserve"> </w:t>
      </w:r>
      <w:r>
        <w:rPr>
          <w:spacing w:val="11"/>
        </w:rPr>
        <w:t>于光轨的水平测量轴线，且中心点位于该轴线上。然后，在光度头与标</w:t>
      </w:r>
      <w:r>
        <w:rPr>
          <w:spacing w:val="10"/>
        </w:rPr>
        <w:t>准灯之间放置一</w:t>
      </w:r>
      <w:r>
        <w:t xml:space="preserve"> </w:t>
      </w:r>
      <w:r>
        <w:rPr>
          <w:spacing w:val="20"/>
        </w:rPr>
        <w:t>些光阑(其通光孔径大小要适当),以防止杂散光进入光度头，但不允许挡住由灯丝和</w:t>
      </w:r>
      <w:r>
        <w:rPr>
          <w:spacing w:val="2"/>
        </w:rPr>
        <w:t xml:space="preserve"> </w:t>
      </w:r>
      <w:r>
        <w:rPr>
          <w:spacing w:val="8"/>
        </w:rPr>
        <w:t>玻壳所发出的光射到光度头上。</w:t>
      </w:r>
    </w:p>
    <w:p>
      <w:pPr>
        <w:pStyle w:val="BodyText"/>
        <w:spacing w:before="68" w:line="268" w:lineRule="auto"/>
        <w:ind w:left="39" w:right="16" w:firstLine="490"/>
        <w:jc w:val="both"/>
      </w:pPr>
      <w:r>
        <w:rPr>
          <w:spacing w:val="10"/>
        </w:rPr>
        <w:t>固定光度头位置并遮光调节零点。然后揭开遮盖光度头的盖子，改变标准灯到光度</w:t>
      </w:r>
      <w:r>
        <w:rPr>
          <w:spacing w:val="12"/>
        </w:rPr>
        <w:t xml:space="preserve"> </w:t>
      </w:r>
      <w:r>
        <w:rPr>
          <w:spacing w:val="10"/>
        </w:rPr>
        <w:t>头之间的距离，让其在光度头测试面上产生不同的照度值，这些照度值对应于仪器的不</w:t>
      </w:r>
      <w:r>
        <w:rPr>
          <w:spacing w:val="1"/>
        </w:rPr>
        <w:t xml:space="preserve"> </w:t>
      </w:r>
      <w:r>
        <w:rPr>
          <w:spacing w:val="18"/>
        </w:rPr>
        <w:t>同显示值，用式(2)距离平方反比定律计算：</w:t>
      </w:r>
    </w:p>
    <w:p>
      <w:pPr>
        <w:pStyle w:val="BodyText"/>
        <w:spacing w:before="201" w:line="222" w:lineRule="auto"/>
        <w:ind w:right="27"/>
        <w:jc w:val="right"/>
      </w:pPr>
      <w:r>
        <w:rPr>
          <w:spacing w:val="-11"/>
        </w:rPr>
        <w:t>(2)</w:t>
      </w:r>
    </w:p>
    <w:p>
      <w:pPr>
        <w:pStyle w:val="BodyText"/>
        <w:spacing w:before="261" w:line="220" w:lineRule="auto"/>
        <w:ind w:left="530"/>
      </w:pPr>
      <w:r>
        <w:rPr>
          <w:spacing w:val="-8"/>
        </w:rPr>
        <w:t>式中：</w:t>
      </w:r>
    </w:p>
    <w:p>
      <w:pPr>
        <w:pStyle w:val="BodyText"/>
        <w:spacing w:before="59" w:line="361" w:lineRule="exact"/>
        <w:ind w:left="5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1"/>
          <w:position w:val="9"/>
        </w:rPr>
        <w:t>E</w:t>
      </w:r>
      <w:r>
        <w:rPr>
          <w:rFonts w:ascii="Times New Roman" w:eastAsia="Times New Roman" w:hAnsi="Times New Roman" w:cs="Times New Roman"/>
          <w:spacing w:val="49"/>
          <w:w w:val="101"/>
          <w:position w:val="9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9"/>
        </w:rPr>
        <w:t>——</w:t>
      </w:r>
      <w:r>
        <w:rPr>
          <w:spacing w:val="1"/>
          <w:position w:val="9"/>
        </w:rPr>
        <w:t>测试面的标准照度值，</w:t>
      </w:r>
      <w:r>
        <w:rPr>
          <w:spacing w:val="-55"/>
          <w:position w:val="9"/>
        </w:rPr>
        <w:t xml:space="preserve"> </w:t>
      </w:r>
      <w:r>
        <w:rPr>
          <w:rFonts w:ascii="Times New Roman" w:eastAsia="Times New Roman" w:hAnsi="Times New Roman" w:cs="Times New Roman"/>
          <w:position w:val="9"/>
        </w:rPr>
        <w:t>lx</w:t>
      </w:r>
      <w:r>
        <w:rPr>
          <w:rFonts w:ascii="Times New Roman" w:eastAsia="Times New Roman" w:hAnsi="Times New Roman" w:cs="Times New Roman"/>
          <w:spacing w:val="1"/>
          <w:position w:val="9"/>
        </w:rPr>
        <w:t>;</w:t>
      </w:r>
    </w:p>
    <w:p>
      <w:pPr>
        <w:pStyle w:val="BodyText"/>
        <w:spacing w:line="212" w:lineRule="auto"/>
        <w:ind w:left="5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</w:rPr>
        <w:t>I——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spacing w:val="-1"/>
        </w:rPr>
        <w:t xml:space="preserve">标准灯的发光强度值， </w:t>
      </w:r>
      <w:r>
        <w:rPr>
          <w:rFonts w:ascii="Times New Roman" w:eastAsia="Times New Roman" w:hAnsi="Times New Roman" w:cs="Times New Roman"/>
          <w:spacing w:val="-1"/>
        </w:rPr>
        <w:t>cd;</w:t>
      </w:r>
    </w:p>
    <w:p>
      <w:pPr>
        <w:pStyle w:val="BodyText"/>
        <w:spacing w:before="121" w:line="219" w:lineRule="auto"/>
        <w:ind w:left="520"/>
      </w:pPr>
      <w:r>
        <w:rPr>
          <w:rFonts w:ascii="Times New Roman" w:eastAsia="Times New Roman" w:hAnsi="Times New Roman" w:cs="Times New Roman"/>
          <w:spacing w:val="5"/>
        </w:rPr>
        <w:t>L</w:t>
      </w:r>
      <w:r>
        <w:rPr>
          <w:rFonts w:ascii="Times New Roman" w:eastAsia="Times New Roman" w:hAnsi="Times New Roman" w:cs="Times New Roman"/>
          <w:spacing w:val="53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——</w:t>
      </w:r>
      <w:r>
        <w:rPr>
          <w:spacing w:val="5"/>
        </w:rPr>
        <w:t>标准灯的灯丝平面到光度头测试面的距</w:t>
      </w:r>
      <w:r>
        <w:rPr>
          <w:spacing w:val="4"/>
        </w:rPr>
        <w:t>离，</w:t>
      </w:r>
      <w:r>
        <w:rPr>
          <w:spacing w:val="-26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m</w:t>
      </w:r>
      <w:r>
        <w:rPr>
          <w:spacing w:val="4"/>
        </w:rPr>
        <w:t>。</w:t>
      </w:r>
    </w:p>
    <w:p>
      <w:pPr>
        <w:pStyle w:val="BodyText"/>
        <w:spacing w:before="65" w:line="254" w:lineRule="auto"/>
        <w:ind w:left="39" w:right="18" w:firstLine="480"/>
      </w:pPr>
      <w:r>
        <w:rPr>
          <w:spacing w:val="11"/>
        </w:rPr>
        <w:t>试验时，标准灯的灯丝平面至光度头的距离至</w:t>
      </w:r>
      <w:r>
        <w:rPr>
          <w:spacing w:val="10"/>
        </w:rPr>
        <w:t>少大于发光面或光度头的测试面的最</w:t>
      </w:r>
      <w:r>
        <w:t xml:space="preserve"> </w:t>
      </w:r>
      <w:r>
        <w:rPr>
          <w:spacing w:val="20"/>
        </w:rPr>
        <w:t>大线度(灯丝平面、光度头测试面的对角线长度或直径)的15倍以上。</w:t>
      </w:r>
    </w:p>
    <w:p>
      <w:pPr>
        <w:pStyle w:val="BodyText"/>
        <w:spacing w:before="80" w:line="269" w:lineRule="auto"/>
        <w:ind w:left="39" w:right="10" w:firstLine="480"/>
        <w:sectPr>
          <w:headerReference w:type="default" r:id="rId73"/>
          <w:footerReference w:type="default" r:id="rId74"/>
          <w:pgSz w:w="11900" w:h="16840"/>
          <w:pgMar w:top="1729" w:right="1269" w:bottom="1065" w:left="1430" w:header="1485" w:footer="916" w:gutter="0"/>
          <w:pgNumType w:start="17"/>
          <w:cols w:num="1" w:space="708" w:equalWidth="0">
            <w:col w:w="9201" w:space="0"/>
          </w:cols>
        </w:sectPr>
      </w:pPr>
      <w:r>
        <w:rPr>
          <w:spacing w:val="16"/>
        </w:rPr>
        <w:t>在被测挡满量程范围内照度计至少测量5个等间隔点，每个点照5</w:t>
      </w:r>
      <w:r>
        <w:rPr>
          <w:spacing w:val="-22"/>
        </w:rPr>
        <w:t xml:space="preserve"> </w:t>
      </w:r>
      <w:r>
        <w:rPr>
          <w:spacing w:val="16"/>
        </w:rPr>
        <w:t>s</w:t>
      </w:r>
      <w:r>
        <w:rPr>
          <w:spacing w:val="-61"/>
        </w:rPr>
        <w:t xml:space="preserve"> </w:t>
      </w:r>
      <w:r>
        <w:rPr>
          <w:spacing w:val="16"/>
        </w:rPr>
        <w:t>后读出其显示</w:t>
      </w:r>
      <w:r>
        <w:t xml:space="preserve"> </w:t>
      </w:r>
      <w:r>
        <w:rPr>
          <w:spacing w:val="6"/>
        </w:rPr>
        <w:t>值。要求每台仪器检定两轮，两轮量值的相对偏差：标准、</w:t>
      </w:r>
      <w:r>
        <w:rPr>
          <w:spacing w:val="65"/>
        </w:rPr>
        <w:t xml:space="preserve"> </w:t>
      </w:r>
      <w:r>
        <w:rPr>
          <w:spacing w:val="6"/>
        </w:rPr>
        <w:t>一级、二级照度计分别不得</w:t>
      </w:r>
      <w:r>
        <w:t xml:space="preserve"> </w:t>
      </w:r>
      <w:r>
        <w:rPr>
          <w:spacing w:val="20"/>
        </w:rPr>
        <w:t>超过0</w:t>
      </w:r>
      <w:r>
        <w:rPr>
          <w:spacing w:val="-60"/>
        </w:rPr>
        <w:t xml:space="preserve"> </w:t>
      </w:r>
      <w:r>
        <w:rPr>
          <w:spacing w:val="20"/>
        </w:rPr>
        <w:t>.</w:t>
      </w:r>
      <w:r>
        <w:rPr>
          <w:spacing w:val="-65"/>
        </w:rPr>
        <w:t xml:space="preserve"> </w:t>
      </w:r>
      <w:r>
        <w:rPr>
          <w:spacing w:val="20"/>
        </w:rPr>
        <w:t>6%、1%和1</w:t>
      </w:r>
      <w:r>
        <w:rPr>
          <w:spacing w:val="-60"/>
        </w:rPr>
        <w:t xml:space="preserve"> </w:t>
      </w:r>
      <w:r>
        <w:rPr>
          <w:spacing w:val="20"/>
        </w:rPr>
        <w:t>.</w:t>
      </w:r>
      <w:r>
        <w:rPr>
          <w:spacing w:val="-62"/>
        </w:rPr>
        <w:t xml:space="preserve"> </w:t>
      </w:r>
      <w:r>
        <w:rPr>
          <w:spacing w:val="20"/>
        </w:rPr>
        <w:t>5%。</w:t>
      </w:r>
    </w:p>
    <w:p>
      <w:pPr>
        <w:pStyle w:val="BodyText"/>
        <w:spacing w:before="74" w:line="219" w:lineRule="auto"/>
        <w:ind w:left="59"/>
      </w:pPr>
      <w:r>
        <w:t>10.1.2.2.5</w:t>
      </w:r>
      <w:r>
        <w:rPr>
          <w:spacing w:val="33"/>
        </w:rPr>
        <w:t xml:space="preserve">  </w:t>
      </w:r>
      <w:r>
        <w:t>数据处理</w:t>
      </w:r>
    </w:p>
    <w:p>
      <w:pPr>
        <w:spacing w:line="21" w:lineRule="exact"/>
      </w:pPr>
    </w:p>
    <w:p>
      <w:pPr>
        <w:spacing w:line="21" w:lineRule="exact"/>
        <w:sectPr>
          <w:headerReference w:type="default" r:id="rId75"/>
          <w:footerReference w:type="default" r:id="rId76"/>
          <w:type w:val="nextPage"/>
          <w:pgSz w:w="11900" w:h="16840"/>
          <w:pgMar w:top="1729" w:right="1269" w:bottom="1065" w:left="1430" w:header="1485" w:footer="916" w:gutter="0"/>
          <w:pgNumType w:start="18"/>
          <w:cols w:num="1" w:space="708" w:equalWidth="0">
            <w:col w:w="9201" w:space="0"/>
          </w:cols>
          <w:titlePg w:val="0"/>
        </w:sectPr>
      </w:pPr>
    </w:p>
    <w:p>
      <w:pPr>
        <w:pStyle w:val="BodyText"/>
        <w:spacing w:before="46" w:line="219" w:lineRule="auto"/>
        <w:ind w:left="540"/>
      </w:pPr>
      <w:r>
        <w:rPr>
          <w:spacing w:val="17"/>
        </w:rPr>
        <w:t>每个点取平均值，按式(3)计算相对示值误差。</w:t>
      </w:r>
    </w:p>
    <w:p>
      <w:pPr>
        <w:spacing w:before="57" w:line="560" w:lineRule="exact"/>
        <w:ind w:firstLine="2439"/>
      </w:pPr>
      <w:r>
        <w:rPr>
          <w:position w:val="-11"/>
        </w:rPr>
        <w:drawing>
          <wp:inline distT="0" distB="0" distL="0" distR="0">
            <wp:extent cx="2774973" cy="355555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774973" cy="35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50" w:lineRule="auto"/>
        <w:rPr>
          <w:rFonts w:ascii="Arial"/>
          <w:sz w:val="21"/>
        </w:rPr>
      </w:pPr>
    </w:p>
    <w:p>
      <w:pPr>
        <w:pStyle w:val="BodyText"/>
        <w:spacing w:before="75" w:line="222" w:lineRule="auto"/>
        <w:ind w:left="370"/>
      </w:pPr>
      <w:r>
        <w:rPr>
          <w:spacing w:val="-11"/>
        </w:rPr>
        <w:t>(3)</w:t>
      </w:r>
    </w:p>
    <w:p>
      <w:pPr>
        <w:spacing w:line="222" w:lineRule="auto"/>
        <w:sectPr>
          <w:headerReference w:type="default" r:id="rId78"/>
          <w:footerReference w:type="default" r:id="rId79"/>
          <w:type w:val="continuous"/>
          <w:pgSz w:w="11900" w:h="16840"/>
          <w:pgMar w:top="1729" w:right="1269" w:bottom="1065" w:left="1430" w:header="1485" w:footer="916" w:gutter="0"/>
          <w:pgNumType w:start="19"/>
          <w:cols w:num="2" w:space="708" w:equalWidth="0">
            <w:col w:w="8381" w:space="100"/>
            <w:col w:w="720" w:space="0"/>
          </w:cols>
        </w:sectPr>
      </w:pPr>
    </w:p>
    <w:p>
      <w:pPr>
        <w:pStyle w:val="BodyText"/>
        <w:spacing w:before="249" w:line="219" w:lineRule="auto"/>
        <w:ind w:left="60"/>
      </w:pPr>
      <w:r>
        <w:rPr>
          <w:spacing w:val="2"/>
        </w:rPr>
        <w:t>10.1.2.2.6</w:t>
      </w:r>
      <w:r>
        <w:rPr>
          <w:spacing w:val="22"/>
        </w:rPr>
        <w:t xml:space="preserve">  </w:t>
      </w:r>
      <w:r>
        <w:rPr>
          <w:spacing w:val="2"/>
        </w:rPr>
        <w:t>合格判据</w:t>
      </w:r>
    </w:p>
    <w:p>
      <w:pPr>
        <w:pStyle w:val="BodyText"/>
        <w:spacing w:before="87" w:line="219" w:lineRule="auto"/>
        <w:ind w:left="530"/>
      </w:pPr>
      <w:r>
        <w:rPr>
          <w:spacing w:val="12"/>
        </w:rPr>
        <w:t>各级照度计的相对示值误差应符合6.2的要求。</w:t>
      </w:r>
    </w:p>
    <w:p>
      <w:pPr>
        <w:pStyle w:val="BodyText"/>
        <w:spacing w:before="51" w:line="212" w:lineRule="auto"/>
        <w:ind w:left="60"/>
      </w:pPr>
      <w:hyperlink r:id="rId40" w:history="1">
        <w:r>
          <w:rPr>
            <w:spacing w:val="1"/>
          </w:rPr>
          <w:t>10.1.2.3</w:t>
        </w:r>
      </w:hyperlink>
      <w:r>
        <w:rPr>
          <w:spacing w:val="13"/>
        </w:rPr>
        <w:t xml:space="preserve">  </w:t>
      </w:r>
      <w:r>
        <w:rPr>
          <w:rFonts w:ascii="Times New Roman" w:eastAsia="Times New Roman" w:hAnsi="Times New Roman" w:cs="Times New Roman"/>
          <w:spacing w:val="1"/>
        </w:rPr>
        <w:t xml:space="preserve">V(λ)  </w:t>
      </w:r>
      <w:r>
        <w:rPr>
          <w:spacing w:val="1"/>
        </w:rPr>
        <w:t>匹配误差</w:t>
      </w:r>
    </w:p>
    <w:p>
      <w:pPr>
        <w:pStyle w:val="BodyText"/>
        <w:spacing w:before="122" w:line="221" w:lineRule="auto"/>
        <w:ind w:left="70"/>
      </w:pPr>
      <w:r>
        <w:rPr>
          <w:spacing w:val="2"/>
        </w:rPr>
        <w:t>10.1.2.3.1</w:t>
      </w:r>
      <w:r>
        <w:rPr>
          <w:spacing w:val="14"/>
        </w:rPr>
        <w:t xml:space="preserve">  </w:t>
      </w:r>
      <w:r>
        <w:rPr>
          <w:spacing w:val="2"/>
        </w:rPr>
        <w:t>试验目的</w:t>
      </w:r>
    </w:p>
    <w:p>
      <w:pPr>
        <w:pStyle w:val="BodyText"/>
        <w:spacing w:before="67" w:line="212" w:lineRule="auto"/>
        <w:ind w:left="530"/>
      </w:pPr>
      <w:r>
        <w:rPr>
          <w:spacing w:val="12"/>
        </w:rPr>
        <w:t>评定照度计的</w:t>
      </w:r>
      <w:r>
        <w:rPr>
          <w:rFonts w:ascii="Times New Roman" w:eastAsia="Times New Roman" w:hAnsi="Times New Roman" w:cs="Times New Roman"/>
          <w:spacing w:val="12"/>
        </w:rPr>
        <w:t xml:space="preserve">V(λ)  </w:t>
      </w:r>
      <w:r>
        <w:rPr>
          <w:spacing w:val="12"/>
        </w:rPr>
        <w:t>匹配误差是否满足6.3的要求。</w:t>
      </w:r>
    </w:p>
    <w:p>
      <w:pPr>
        <w:pStyle w:val="BodyText"/>
        <w:spacing w:before="112" w:line="256" w:lineRule="auto"/>
        <w:ind w:left="539" w:right="6760" w:hanging="489"/>
      </w:pPr>
      <w:r>
        <w:rPr>
          <w:spacing w:val="1"/>
        </w:rPr>
        <w:t>10.1.2.3.2</w:t>
      </w:r>
      <w:r>
        <w:rPr>
          <w:spacing w:val="27"/>
        </w:rPr>
        <w:t xml:space="preserve">  </w:t>
      </w:r>
      <w:r>
        <w:rPr>
          <w:spacing w:val="1"/>
        </w:rPr>
        <w:t>试验环境</w:t>
      </w:r>
      <w:r>
        <w:t xml:space="preserve"> </w:t>
      </w:r>
      <w:r>
        <w:rPr>
          <w:spacing w:val="7"/>
        </w:rPr>
        <w:t>同</w:t>
      </w:r>
      <w:hyperlink r:id="rId62" w:history="1">
        <w:r>
          <w:rPr>
            <w:spacing w:val="7"/>
          </w:rPr>
          <w:t>10.1.1.1</w:t>
        </w:r>
      </w:hyperlink>
      <w:r>
        <w:rPr>
          <w:spacing w:val="7"/>
        </w:rPr>
        <w:t>。</w:t>
      </w:r>
    </w:p>
    <w:p>
      <w:pPr>
        <w:pStyle w:val="BodyText"/>
        <w:spacing w:before="83" w:line="221" w:lineRule="auto"/>
        <w:ind w:left="70"/>
      </w:pPr>
      <w:r>
        <w:rPr>
          <w:spacing w:val="1"/>
        </w:rPr>
        <w:t>10.1.2.3.3</w:t>
      </w:r>
      <w:r>
        <w:rPr>
          <w:spacing w:val="17"/>
        </w:rPr>
        <w:t xml:space="preserve">  </w:t>
      </w:r>
      <w:r>
        <w:rPr>
          <w:spacing w:val="1"/>
        </w:rPr>
        <w:t>试验设备</w:t>
      </w:r>
    </w:p>
    <w:p>
      <w:pPr>
        <w:pStyle w:val="BodyText"/>
        <w:spacing w:before="104" w:line="219" w:lineRule="auto"/>
        <w:ind w:left="530"/>
      </w:pPr>
      <w:r>
        <w:rPr>
          <w:spacing w:val="3"/>
        </w:rPr>
        <w:t>相对光谱响应度测量装置。</w:t>
      </w:r>
    </w:p>
    <w:p>
      <w:pPr>
        <w:pStyle w:val="BodyText"/>
        <w:spacing w:before="87" w:line="275" w:lineRule="auto"/>
        <w:ind w:left="39" w:right="11" w:firstLine="490"/>
      </w:pPr>
      <w:r>
        <w:rPr>
          <w:spacing w:val="10"/>
        </w:rPr>
        <w:t>将被测照度计探头安装到光谱响应测试装置光纤待测探头端，点亮光源并将</w:t>
      </w:r>
      <w:r>
        <w:rPr>
          <w:spacing w:val="9"/>
        </w:rPr>
        <w:t>电流调</w:t>
      </w:r>
      <w:r>
        <w:t xml:space="preserve"> </w:t>
      </w:r>
      <w:r>
        <w:rPr>
          <w:spacing w:val="12"/>
        </w:rPr>
        <w:t xml:space="preserve">至额定工作电流，将单色仪波长旋至400 </w:t>
      </w:r>
      <w:r>
        <w:rPr>
          <w:rFonts w:ascii="Times New Roman" w:eastAsia="Times New Roman" w:hAnsi="Times New Roman" w:cs="Times New Roman"/>
        </w:rPr>
        <w:t>nm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spacing w:val="12"/>
        </w:rPr>
        <w:t>处，分别读</w:t>
      </w:r>
      <w:r>
        <w:rPr>
          <w:spacing w:val="11"/>
        </w:rPr>
        <w:t>取待测探测器和标注探测器的</w:t>
      </w:r>
      <w:r>
        <w:t xml:space="preserve"> </w:t>
      </w:r>
      <w:r>
        <w:rPr>
          <w:spacing w:val="10"/>
        </w:rPr>
        <w:t xml:space="preserve">电流表读数，然后将单色仪波长每调高10 </w:t>
      </w:r>
      <w:r>
        <w:rPr>
          <w:rFonts w:ascii="Times New Roman" w:eastAsia="Times New Roman" w:hAnsi="Times New Roman" w:cs="Times New Roman"/>
        </w:rPr>
        <w:t>nm</w:t>
      </w:r>
      <w:r>
        <w:rPr>
          <w:rFonts w:ascii="Times New Roman" w:eastAsia="Times New Roman" w:hAnsi="Times New Roman" w:cs="Times New Roman"/>
          <w:spacing w:val="10"/>
        </w:rPr>
        <w:t xml:space="preserve">,   </w:t>
      </w:r>
      <w:r>
        <w:rPr>
          <w:spacing w:val="10"/>
        </w:rPr>
        <w:t>分别读取待测探测器和标注探测器的电</w:t>
      </w:r>
      <w:r>
        <w:rPr>
          <w:spacing w:val="13"/>
        </w:rPr>
        <w:t xml:space="preserve"> </w:t>
      </w:r>
      <w:r>
        <w:rPr>
          <w:spacing w:val="12"/>
        </w:rPr>
        <w:t xml:space="preserve">流表读数一次，直至将单色仪波长旋至760 </w:t>
      </w:r>
      <w:r>
        <w:t>nm</w:t>
      </w:r>
      <w:r>
        <w:rPr>
          <w:spacing w:val="12"/>
        </w:rPr>
        <w:t xml:space="preserve"> 处分别读取待测探测器和标准探测器的</w:t>
      </w:r>
      <w:r>
        <w:rPr>
          <w:spacing w:val="13"/>
        </w:rPr>
        <w:t xml:space="preserve"> </w:t>
      </w:r>
      <w:r>
        <w:rPr>
          <w:spacing w:val="12"/>
        </w:rPr>
        <w:t xml:space="preserve">最后一组电流表读数。期间在单色仪波长旋至500 </w:t>
      </w:r>
      <w:r>
        <w:rPr>
          <w:rFonts w:ascii="Times New Roman" w:eastAsia="Times New Roman" w:hAnsi="Times New Roman" w:cs="Times New Roman"/>
        </w:rPr>
        <w:t>nm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spacing w:val="12"/>
        </w:rPr>
        <w:t>处，应更换单色仪入射狭缝处的</w:t>
      </w:r>
      <w:r>
        <w:t xml:space="preserve"> </w:t>
      </w:r>
      <w:r>
        <w:rPr>
          <w:spacing w:val="10"/>
        </w:rPr>
        <w:t>带通滤光片。测试完成后，将两路光电流数据输入计算机，即可计算出被测照度</w:t>
      </w:r>
      <w:r>
        <w:rPr>
          <w:spacing w:val="9"/>
        </w:rPr>
        <w:t>计的相</w:t>
      </w:r>
      <w:r>
        <w:t xml:space="preserve"> </w:t>
      </w:r>
      <w:r>
        <w:rPr>
          <w:spacing w:val="8"/>
        </w:rPr>
        <w:t>对光谱响应和相应的</w:t>
      </w:r>
      <w:r>
        <w:rPr>
          <w:rFonts w:ascii="Times New Roman" w:eastAsia="Times New Roman" w:hAnsi="Times New Roman" w:cs="Times New Roman"/>
          <w:spacing w:val="8"/>
        </w:rPr>
        <w:t xml:space="preserve">V(λ)  </w:t>
      </w:r>
      <w:r>
        <w:rPr>
          <w:spacing w:val="8"/>
        </w:rPr>
        <w:t>匹配误差</w:t>
      </w:r>
      <w:r>
        <w:rPr>
          <w:spacing w:val="-67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f₁</w:t>
      </w:r>
      <w:r>
        <w:rPr>
          <w:spacing w:val="8"/>
        </w:rPr>
        <w:t>。</w:t>
      </w:r>
    </w:p>
    <w:sdt>
      <w:sdtPr>
        <w:rPr>
          <w:rFonts w:ascii="SimSun" w:eastAsia="SimSun" w:hAnsi="SimSun" w:cs="SimSun"/>
          <w:sz w:val="23"/>
          <w:szCs w:val="23"/>
        </w:rPr>
        <w:id w:val="1384036650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3"/>
          <w:szCs w:val="23"/>
        </w:rPr>
      </w:sdtEndPr>
      <w:sdtContent>
        <w:p>
          <w:pPr>
            <w:pStyle w:val="BodyText"/>
            <w:spacing w:before="112" w:line="219" w:lineRule="auto"/>
            <w:ind w:left="520"/>
          </w:pPr>
          <w:r>
            <w:rPr>
              <w:spacing w:val="4"/>
            </w:rPr>
            <w:t>其中被测照度计的相对光谱响应：</w:t>
          </w:r>
        </w:p>
        <w:p>
          <w:pPr>
            <w:pStyle w:val="BodyText"/>
            <w:spacing w:before="90" w:line="213" w:lineRule="auto"/>
            <w:ind w:left="2970"/>
          </w:pPr>
          <w:r>
            <w:rPr>
              <w:rFonts w:ascii="Times New Roman" w:eastAsia="Times New Roman" w:hAnsi="Times New Roman" w:cs="Times New Roman"/>
              <w:spacing w:val="-1"/>
            </w:rPr>
            <w:t xml:space="preserve">S(a)=[i(a)/i₀(a)]×S₀(a)                         </w:t>
          </w:r>
          <w:r>
            <w:rPr>
              <w:rFonts w:ascii="Times New Roman" w:eastAsia="Times New Roman" w:hAnsi="Times New Roman" w:cs="Times New Roman"/>
              <w:spacing w:val="-2"/>
            </w:rPr>
            <w:t xml:space="preserve">                                           </w:t>
          </w:r>
          <w:r>
            <w:rPr>
              <w:spacing w:val="-2"/>
              <w:position w:val="-2"/>
            </w:rPr>
            <w:t>(</w:t>
          </w:r>
          <w:hyperlink w:anchor="bookmark1" w:history="1">
            <w:r>
              <w:rPr>
                <w:spacing w:val="-2"/>
                <w:position w:val="-2"/>
              </w:rPr>
              <w:t>4)</w:t>
            </w:r>
          </w:hyperlink>
        </w:p>
      </w:sdtContent>
    </w:sdt>
    <w:p>
      <w:pPr>
        <w:pStyle w:val="BodyText"/>
        <w:spacing w:before="62" w:line="266" w:lineRule="auto"/>
        <w:ind w:left="50" w:right="21" w:firstLine="469"/>
      </w:pPr>
      <w:r>
        <w:rPr>
          <w:spacing w:val="4"/>
        </w:rPr>
        <w:t>式中：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i(λ)</w:t>
      </w:r>
      <w:r>
        <w:rPr>
          <w:rFonts w:ascii="Times New Roman" w:eastAsia="Times New Roman" w:hAnsi="Times New Roman" w:cs="Times New Roman"/>
          <w:spacing w:val="22"/>
        </w:rPr>
        <w:t xml:space="preserve">  </w:t>
      </w:r>
      <w:r>
        <w:rPr>
          <w:spacing w:val="4"/>
        </w:rPr>
        <w:t>和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i₀(λ)   </w:t>
      </w:r>
      <w:r>
        <w:rPr>
          <w:spacing w:val="4"/>
        </w:rPr>
        <w:t>分别为待测探测器和标注探测器的电流读数，</w:t>
      </w:r>
      <w:r>
        <w:rPr>
          <w:rFonts w:ascii="Times New Roman" w:eastAsia="Times New Roman" w:hAnsi="Times New Roman" w:cs="Times New Roman"/>
          <w:spacing w:val="4"/>
        </w:rPr>
        <w:t>S</w:t>
      </w:r>
      <w:r>
        <w:rPr>
          <w:rFonts w:ascii="Times New Roman" w:eastAsia="Times New Roman" w:hAnsi="Times New Roman" w:cs="Times New Roman"/>
          <w:spacing w:val="-26"/>
        </w:rPr>
        <w:t xml:space="preserve"> </w:t>
      </w:r>
      <w:r>
        <w:rPr>
          <w:spacing w:val="4"/>
        </w:rPr>
        <w:t>。</w:t>
      </w:r>
      <w:r>
        <w:rPr>
          <w:rFonts w:ascii="Times New Roman" w:eastAsia="Times New Roman" w:hAnsi="Times New Roman" w:cs="Times New Roman"/>
          <w:spacing w:val="4"/>
        </w:rPr>
        <w:t xml:space="preserve">(λ)  </w:t>
      </w:r>
      <w:r>
        <w:rPr>
          <w:spacing w:val="4"/>
        </w:rPr>
        <w:t>为标准探</w:t>
      </w:r>
      <w:r>
        <w:t xml:space="preserve"> </w:t>
      </w:r>
      <w:r>
        <w:rPr>
          <w:spacing w:val="6"/>
        </w:rPr>
        <w:t>头的相对光谱响应。V(λ)匹配误差</w:t>
      </w:r>
      <w:r>
        <w:rPr>
          <w:spacing w:val="-28"/>
        </w:rPr>
        <w:t xml:space="preserve"> </w:t>
      </w:r>
      <w:r>
        <w:rPr>
          <w:spacing w:val="6"/>
        </w:rPr>
        <w:t>f</w:t>
      </w:r>
      <w:r>
        <w:rPr>
          <w:rFonts w:ascii="Calibri" w:eastAsia="Calibri" w:hAnsi="Calibri" w:cs="Calibri"/>
          <w:spacing w:val="6"/>
        </w:rPr>
        <w:t xml:space="preserve">₁  </w:t>
      </w:r>
      <w:r>
        <w:rPr>
          <w:spacing w:val="6"/>
        </w:rPr>
        <w:t>计算公式参</w:t>
      </w:r>
      <w:r>
        <w:rPr>
          <w:spacing w:val="5"/>
        </w:rPr>
        <w:t>照</w:t>
      </w:r>
      <w:r>
        <w:t>JJG</w:t>
      </w:r>
      <w:r>
        <w:rPr>
          <w:spacing w:val="5"/>
        </w:rPr>
        <w:t xml:space="preserve">  245—2005,计算方法如下：</w:t>
      </w:r>
    </w:p>
    <w:p>
      <w:pPr>
        <w:spacing w:line="94" w:lineRule="exact"/>
      </w:pPr>
    </w:p>
    <w:p>
      <w:pPr>
        <w:spacing w:line="94" w:lineRule="exact"/>
        <w:sectPr>
          <w:headerReference w:type="default" r:id="rId80"/>
          <w:footerReference w:type="default" r:id="rId81"/>
          <w:pgSz w:w="11900" w:h="16840"/>
          <w:pgMar w:top="1740" w:right="1430" w:bottom="1102" w:left="1289" w:header="1484" w:footer="943" w:gutter="0"/>
          <w:pgNumType w:start="20"/>
          <w:cols w:num="1" w:space="708" w:equalWidth="0">
            <w:col w:w="9181" w:space="0"/>
          </w:cols>
        </w:sectPr>
      </w:pPr>
    </w:p>
    <w:p>
      <w:pPr>
        <w:spacing w:line="1040" w:lineRule="exact"/>
        <w:ind w:firstLine="2559"/>
      </w:pPr>
      <w:r>
        <w:rPr>
          <w:position w:val="-20"/>
        </w:rPr>
        <w:drawing>
          <wp:inline distT="0" distB="0" distL="0" distR="0">
            <wp:extent cx="2572125" cy="660910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2572125" cy="660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0" w:line="510" w:lineRule="exact"/>
        <w:ind w:firstLine="2840"/>
      </w:pPr>
      <w:r>
        <w:rPr>
          <w:position w:val="-10"/>
        </w:rPr>
        <w:drawing>
          <wp:inline distT="0" distB="0" distL="0" distR="0">
            <wp:extent cx="3028947" cy="323903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3028947" cy="323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1" w:line="220" w:lineRule="auto"/>
        <w:ind w:left="510"/>
      </w:pPr>
      <w:r>
        <w:rPr>
          <w:spacing w:val="-8"/>
        </w:rPr>
        <w:t>式中：</w:t>
      </w:r>
    </w:p>
    <w:p>
      <w:pPr>
        <w:pStyle w:val="BodyText"/>
        <w:spacing w:before="85" w:line="219" w:lineRule="auto"/>
        <w:ind w:left="510"/>
      </w:pPr>
      <w:r>
        <w:rPr>
          <w:spacing w:val="4"/>
        </w:rPr>
        <w:t>S“(λ)</w:t>
      </w:r>
      <w:r>
        <w:t>rel</w:t>
      </w:r>
      <w:r>
        <w:rPr>
          <w:spacing w:val="4"/>
        </w:rPr>
        <w:t>——标准(归一)化了的相对光谱响应度。</w:t>
      </w:r>
    </w:p>
    <w:p>
      <w:pPr>
        <w:spacing w:before="77" w:line="1060" w:lineRule="exact"/>
        <w:ind w:firstLine="2450"/>
      </w:pPr>
      <w:r>
        <w:rPr>
          <w:position w:val="-21"/>
        </w:rPr>
        <w:drawing>
          <wp:inline distT="0" distB="0" distL="0" distR="0">
            <wp:extent cx="2686033" cy="673042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2686033" cy="673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1" w:line="220" w:lineRule="auto"/>
        <w:ind w:left="490"/>
      </w:pPr>
      <w:r>
        <w:rPr>
          <w:spacing w:val="-4"/>
        </w:rPr>
        <w:t>式中：</w:t>
      </w:r>
    </w:p>
    <w:p>
      <w:pPr>
        <w:pStyle w:val="BodyText"/>
        <w:spacing w:before="83" w:line="219" w:lineRule="auto"/>
        <w:ind w:left="510"/>
      </w:pPr>
      <w:r>
        <w:t>PA</w:t>
      </w:r>
      <w:r>
        <w:rPr>
          <w:spacing w:val="4"/>
        </w:rPr>
        <w:t>(λ)——2856</w:t>
      </w:r>
      <w:r>
        <w:rPr>
          <w:spacing w:val="5"/>
        </w:rPr>
        <w:t xml:space="preserve">   </w:t>
      </w:r>
      <w:r>
        <w:rPr>
          <w:spacing w:val="4"/>
        </w:rPr>
        <w:t>K光源的相对光谱功率分布；</w:t>
      </w:r>
    </w:p>
    <w:p>
      <w:pPr>
        <w:pStyle w:val="BodyText"/>
        <w:spacing w:before="99" w:line="350" w:lineRule="exact"/>
        <w:ind w:left="500"/>
        <w:sectPr>
          <w:headerReference w:type="default" r:id="rId85"/>
          <w:footerReference w:type="default" r:id="rId86"/>
          <w:type w:val="continuous"/>
          <w:pgSz w:w="11900" w:h="16840"/>
          <w:pgMar w:top="1740" w:right="1430" w:bottom="1102" w:left="1289" w:header="1484" w:footer="943" w:gutter="0"/>
          <w:pgNumType w:start="21"/>
          <w:cols w:num="2" w:space="708" w:equalWidth="0">
            <w:col w:w="8361" w:space="100"/>
            <w:col w:w="720" w:space="0"/>
          </w:cols>
        </w:sectPr>
      </w:pPr>
    </w:p>
    <w:p>
      <w:pPr>
        <w:pStyle w:val="BodyText"/>
        <w:spacing w:before="99" w:line="350" w:lineRule="exact"/>
        <w:ind w:left="500"/>
      </w:pPr>
      <w:r>
        <w:rPr>
          <w:position w:val="8"/>
        </w:rPr>
        <w:t>S(λ)ret——以任意参考点作标准时的相对光谱响应度；</w:t>
      </w:r>
    </w:p>
    <w:p>
      <w:pPr>
        <w:pStyle w:val="BodyText"/>
        <w:spacing w:line="184" w:lineRule="auto"/>
        <w:ind w:left="490"/>
      </w:pPr>
      <w:r>
        <w:rPr>
          <w:spacing w:val="1"/>
        </w:rPr>
        <w:t>V(λ)</w:t>
      </w:r>
      <w:r>
        <w:rPr>
          <w:spacing w:val="90"/>
        </w:rPr>
        <w:t xml:space="preserve"> </w:t>
      </w:r>
      <w:r>
        <w:rPr>
          <w:spacing w:val="1"/>
        </w:rPr>
        <w:t>——</w:t>
      </w:r>
      <w:r>
        <w:t>CIE</w:t>
      </w:r>
      <w:r>
        <w:rPr>
          <w:spacing w:val="57"/>
        </w:rPr>
        <w:t xml:space="preserve"> </w:t>
      </w:r>
      <w:r>
        <w:rPr>
          <w:spacing w:val="1"/>
        </w:rPr>
        <w:t>明视觉光谱光视效率。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75" w:line="222" w:lineRule="auto"/>
        <w:ind w:left="350"/>
      </w:pPr>
      <w:r>
        <w:rPr>
          <w:spacing w:val="-11"/>
        </w:rPr>
        <w:t>(5)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75" w:line="222" w:lineRule="auto"/>
        <w:ind w:left="340"/>
      </w:pPr>
      <w:r>
        <w:rPr>
          <w:spacing w:val="-11"/>
        </w:rPr>
        <w:t>(6)</w:t>
      </w:r>
    </w:p>
    <w:p>
      <w:pPr>
        <w:spacing w:line="222" w:lineRule="auto"/>
        <w:sectPr>
          <w:headerReference w:type="default" r:id="rId87"/>
          <w:footerReference w:type="default" r:id="rId88"/>
          <w:type w:val="nextPage"/>
          <w:pgSz w:w="11900" w:h="16840"/>
          <w:pgMar w:top="1740" w:right="1430" w:bottom="1102" w:left="1289" w:header="1484" w:footer="943" w:gutter="0"/>
          <w:pgNumType w:start="22"/>
          <w:cols w:num="2" w:space="708" w:equalWidth="0">
            <w:col w:w="8361" w:space="100"/>
            <w:col w:w="720" w:space="0"/>
          </w:cols>
          <w:titlePg w:val="0"/>
        </w:sectPr>
      </w:pPr>
    </w:p>
    <w:p>
      <w:pPr>
        <w:pStyle w:val="BodyText"/>
        <w:spacing w:before="141" w:line="236" w:lineRule="auto"/>
        <w:ind w:right="57" w:firstLine="500"/>
      </w:pPr>
      <w:r>
        <w:rPr>
          <w:spacing w:val="21"/>
        </w:rPr>
        <w:t>用相对光谱响应度测量装置测量光度头V(λ)</w:t>
      </w:r>
      <w:r>
        <w:rPr>
          <w:spacing w:val="-67"/>
        </w:rPr>
        <w:t xml:space="preserve"> </w:t>
      </w:r>
      <w:r>
        <w:rPr>
          <w:spacing w:val="21"/>
        </w:rPr>
        <w:t>滤光器，读数3次，取平均</w:t>
      </w:r>
      <w:r>
        <w:rPr>
          <w:spacing w:val="20"/>
        </w:rPr>
        <w:t>值，按</w:t>
      </w:r>
      <w:r>
        <w:t xml:space="preserve"> </w:t>
      </w:r>
      <w:r>
        <w:rPr>
          <w:spacing w:val="14"/>
        </w:rPr>
        <w:t>式(5)、式(6)计算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14"/>
        </w:rPr>
        <w:t xml:space="preserve">V(λ)  </w:t>
      </w:r>
      <w:r>
        <w:rPr>
          <w:spacing w:val="14"/>
        </w:rPr>
        <w:t>匹配误差。</w:t>
      </w:r>
    </w:p>
    <w:p>
      <w:pPr>
        <w:pStyle w:val="BodyText"/>
        <w:spacing w:before="112" w:line="219" w:lineRule="auto"/>
        <w:ind w:left="490"/>
      </w:pPr>
      <w:r>
        <w:rPr>
          <w:spacing w:val="11"/>
        </w:rPr>
        <w:t>各级照度计的V(λ)匹配误差应符合6.3的要求。</w:t>
      </w:r>
    </w:p>
    <w:p>
      <w:pPr>
        <w:pStyle w:val="BodyText"/>
        <w:spacing w:before="97" w:line="184" w:lineRule="auto"/>
        <w:ind w:left="9"/>
      </w:pPr>
      <w:hyperlink r:id="rId41" w:history="1">
        <w:r>
          <w:rPr>
            <w:spacing w:val="16"/>
          </w:rPr>
          <w:t>10.1.2.4</w:t>
        </w:r>
      </w:hyperlink>
      <w:r>
        <w:rPr>
          <w:spacing w:val="16"/>
        </w:rPr>
        <w:t xml:space="preserve">  余弦特性(方向性响应)误差</w:t>
      </w:r>
    </w:p>
    <w:p>
      <w:pPr>
        <w:spacing w:line="184" w:lineRule="auto"/>
        <w:sectPr>
          <w:headerReference w:type="default" r:id="rId89"/>
          <w:footerReference w:type="default" r:id="rId90"/>
          <w:type w:val="continuous"/>
          <w:pgSz w:w="11900" w:h="16840"/>
          <w:pgMar w:top="1740" w:right="1430" w:bottom="1102" w:left="1289" w:header="1484" w:footer="943" w:gutter="0"/>
          <w:pgNumType w:start="23"/>
          <w:cols w:num="1" w:space="708" w:equalWidth="0">
            <w:col w:w="9181" w:space="0"/>
          </w:cols>
        </w:sectPr>
      </w:pPr>
    </w:p>
    <w:p>
      <w:pPr>
        <w:pStyle w:val="BodyText"/>
        <w:spacing w:before="250" w:line="221" w:lineRule="auto"/>
        <w:ind w:left="49"/>
      </w:pPr>
      <w:r>
        <w:rPr>
          <w:spacing w:val="2"/>
        </w:rPr>
        <w:t>10.1.2.4.1</w:t>
      </w:r>
      <w:r>
        <w:rPr>
          <w:spacing w:val="14"/>
        </w:rPr>
        <w:t xml:space="preserve">  </w:t>
      </w:r>
      <w:r>
        <w:rPr>
          <w:spacing w:val="2"/>
        </w:rPr>
        <w:t>试验目的</w:t>
      </w:r>
    </w:p>
    <w:p>
      <w:pPr>
        <w:pStyle w:val="BodyText"/>
        <w:spacing w:before="103" w:line="219" w:lineRule="auto"/>
        <w:ind w:left="510"/>
      </w:pPr>
      <w:r>
        <w:rPr>
          <w:spacing w:val="13"/>
        </w:rPr>
        <w:t>评定照度计的余弦特性误差是否满足6.4的要求。</w:t>
      </w:r>
    </w:p>
    <w:p>
      <w:pPr>
        <w:pStyle w:val="BodyText"/>
        <w:spacing w:before="67" w:line="260" w:lineRule="auto"/>
        <w:ind w:left="509" w:right="6800" w:hanging="470"/>
      </w:pPr>
      <w:r>
        <w:rPr>
          <w:spacing w:val="1"/>
        </w:rPr>
        <w:t>10.1.2.4.2</w:t>
      </w:r>
      <w:r>
        <w:rPr>
          <w:spacing w:val="22"/>
        </w:rPr>
        <w:t xml:space="preserve">  </w:t>
      </w:r>
      <w:r>
        <w:rPr>
          <w:spacing w:val="1"/>
        </w:rPr>
        <w:t>试验环境</w:t>
      </w:r>
      <w:r>
        <w:t xml:space="preserve"> </w:t>
      </w:r>
      <w:r>
        <w:rPr>
          <w:spacing w:val="6"/>
        </w:rPr>
        <w:t>同</w:t>
      </w:r>
      <w:hyperlink r:id="rId62" w:history="1">
        <w:r>
          <w:rPr>
            <w:spacing w:val="6"/>
          </w:rPr>
          <w:t>10.1.1.1</w:t>
        </w:r>
      </w:hyperlink>
      <w:r>
        <w:rPr>
          <w:spacing w:val="6"/>
        </w:rPr>
        <w:t>。</w:t>
      </w:r>
    </w:p>
    <w:p>
      <w:pPr>
        <w:pStyle w:val="BodyText"/>
        <w:spacing w:before="82" w:line="264" w:lineRule="auto"/>
        <w:ind w:left="529" w:right="6789" w:hanging="500"/>
      </w:pPr>
      <w:r>
        <w:rPr>
          <w:spacing w:val="1"/>
        </w:rPr>
        <w:t>10.1.2.4.3</w:t>
      </w:r>
      <w:r>
        <w:rPr>
          <w:spacing w:val="32"/>
        </w:rPr>
        <w:t xml:space="preserve">  </w:t>
      </w:r>
      <w:r>
        <w:rPr>
          <w:spacing w:val="1"/>
        </w:rPr>
        <w:t xml:space="preserve">试验设备 </w:t>
      </w:r>
      <w:r>
        <w:rPr>
          <w:spacing w:val="7"/>
        </w:rPr>
        <w:t>同</w:t>
      </w:r>
      <w:hyperlink r:id="rId63" w:history="1">
        <w:r>
          <w:rPr>
            <w:spacing w:val="7"/>
          </w:rPr>
          <w:t>10.1.1.2</w:t>
        </w:r>
      </w:hyperlink>
      <w:r>
        <w:rPr>
          <w:spacing w:val="7"/>
        </w:rPr>
        <w:t>。</w:t>
      </w:r>
    </w:p>
    <w:p>
      <w:pPr>
        <w:pStyle w:val="BodyText"/>
        <w:spacing w:before="82" w:line="220" w:lineRule="auto"/>
        <w:ind w:left="39"/>
      </w:pPr>
      <w:r>
        <w:rPr>
          <w:spacing w:val="1"/>
        </w:rPr>
        <w:t>10.1.2.4.4</w:t>
      </w:r>
      <w:r>
        <w:rPr>
          <w:spacing w:val="19"/>
        </w:rPr>
        <w:t xml:space="preserve">  </w:t>
      </w:r>
      <w:r>
        <w:rPr>
          <w:spacing w:val="1"/>
        </w:rPr>
        <w:t>试验程序</w:t>
      </w:r>
    </w:p>
    <w:p>
      <w:pPr>
        <w:pStyle w:val="BodyText"/>
        <w:spacing w:before="73" w:line="276" w:lineRule="auto"/>
        <w:ind w:left="19" w:right="56" w:firstLine="480"/>
        <w:jc w:val="both"/>
      </w:pPr>
      <w:r>
        <w:rPr>
          <w:spacing w:val="10"/>
        </w:rPr>
        <w:t>将光度头安装在光度测量装置的带有度盘的转动平台</w:t>
      </w:r>
      <w:r>
        <w:rPr>
          <w:spacing w:val="9"/>
        </w:rPr>
        <w:t>上，使平台的转动轴线通过测</w:t>
      </w:r>
      <w:r>
        <w:t xml:space="preserve"> </w:t>
      </w:r>
      <w:r>
        <w:rPr>
          <w:spacing w:val="10"/>
        </w:rPr>
        <w:t>试面的中心线，调整标准灯的灯丝平面和光度头的测试面</w:t>
      </w:r>
      <w:r>
        <w:rPr>
          <w:spacing w:val="9"/>
        </w:rPr>
        <w:t>，使它们垂直于光轨的水平测</w:t>
      </w:r>
      <w:r>
        <w:t xml:space="preserve"> </w:t>
      </w:r>
      <w:r>
        <w:rPr>
          <w:spacing w:val="10"/>
        </w:rPr>
        <w:t>量轴线，且中心点位于该轴线上。在标准灯与光度头之间布置若干光阑，标准灯到光度</w:t>
      </w:r>
      <w:r>
        <w:rPr>
          <w:spacing w:val="2"/>
        </w:rPr>
        <w:t xml:space="preserve"> </w:t>
      </w:r>
      <w:r>
        <w:rPr>
          <w:spacing w:val="13"/>
        </w:rPr>
        <w:t>头的距离，至少是标准灯发光面或光度头测试面最大线度的15倍。</w:t>
      </w:r>
    </w:p>
    <w:p>
      <w:pPr>
        <w:pStyle w:val="BodyText"/>
        <w:spacing w:before="77" w:line="277" w:lineRule="auto"/>
        <w:ind w:left="29" w:right="44" w:firstLine="480"/>
        <w:jc w:val="both"/>
      </w:pPr>
      <w:r>
        <w:rPr>
          <w:spacing w:val="13"/>
        </w:rPr>
        <w:t>通过改变距离，使照度计的显示值达到满量程的2/3以上。然后将平台</w:t>
      </w:r>
      <w:r>
        <w:rPr>
          <w:spacing w:val="12"/>
        </w:rPr>
        <w:t>向左转，使</w:t>
      </w:r>
      <w:r>
        <w:t xml:space="preserve"> </w:t>
      </w:r>
      <w:r>
        <w:rPr>
          <w:spacing w:val="9"/>
        </w:rPr>
        <w:t>照度计显示值为某一值，记下此时转盘角度；再将平台向右转，使照度计的显示值达到</w:t>
      </w:r>
      <w:r>
        <w:rPr>
          <w:spacing w:val="2"/>
        </w:rPr>
        <w:t xml:space="preserve"> </w:t>
      </w:r>
      <w:r>
        <w:rPr>
          <w:spacing w:val="13"/>
        </w:rPr>
        <w:t>上述显示值，也记下此时转盘的角度。这两个角度的平均值为法线照度人射角ε,记下</w:t>
      </w:r>
      <w:r>
        <w:rPr>
          <w:spacing w:val="5"/>
        </w:rPr>
        <w:t xml:space="preserve"> </w:t>
      </w:r>
      <w:r>
        <w:rPr>
          <w:spacing w:val="15"/>
        </w:rPr>
        <w:t xml:space="preserve">此角度下照度计的显示值。然后转动平台，读出角度分别为±10°,±20°,±30°, </w:t>
      </w:r>
      <w:r>
        <w:rPr>
          <w:spacing w:val="-4"/>
        </w:rPr>
        <w:t>±40°,±50°,±60°,±70°,±80°,±85°时照度计各角度下的显示值。</w:t>
      </w:r>
    </w:p>
    <w:p>
      <w:pPr>
        <w:pStyle w:val="BodyText"/>
        <w:spacing w:before="94" w:line="219" w:lineRule="auto"/>
        <w:ind w:left="39"/>
      </w:pPr>
      <w:r>
        <w:t>10.1.2.4.5</w:t>
      </w:r>
      <w:r>
        <w:rPr>
          <w:spacing w:val="38"/>
        </w:rPr>
        <w:t xml:space="preserve">  </w:t>
      </w:r>
      <w:r>
        <w:t>数据处理</w:t>
      </w:r>
    </w:p>
    <w:p>
      <w:pPr>
        <w:pStyle w:val="BodyText"/>
        <w:spacing w:before="88" w:line="219" w:lineRule="auto"/>
        <w:ind w:left="479"/>
      </w:pPr>
      <w:r>
        <w:rPr>
          <w:spacing w:val="20"/>
        </w:rPr>
        <w:t>投射到光度头上的光所产生的响应应符合余弦法则。按式(7)计算由投射光方向</w:t>
      </w:r>
    </w:p>
    <w:p>
      <w:pPr>
        <w:spacing w:line="67" w:lineRule="exact"/>
      </w:pPr>
    </w:p>
    <w:p>
      <w:pPr>
        <w:spacing w:line="67" w:lineRule="exact"/>
        <w:sectPr>
          <w:headerReference w:type="default" r:id="rId91"/>
          <w:footerReference w:type="default" r:id="rId92"/>
          <w:pgSz w:w="11900" w:h="16840"/>
          <w:pgMar w:top="1729" w:right="1259" w:bottom="1065" w:left="1440" w:header="1480" w:footer="916" w:gutter="0"/>
          <w:pgNumType w:start="24"/>
          <w:cols w:num="1" w:space="708" w:equalWidth="0">
            <w:col w:w="9201" w:space="0"/>
          </w:cols>
        </w:sectPr>
      </w:pPr>
    </w:p>
    <w:p>
      <w:pPr>
        <w:pStyle w:val="BodyText"/>
        <w:spacing w:before="46" w:line="216" w:lineRule="auto"/>
        <w:ind w:left="129"/>
      </w:pPr>
      <w:r>
        <w:rPr>
          <w:spacing w:val="-9"/>
        </w:rPr>
        <w:t>引起的误差</w:t>
      </w:r>
      <w:r>
        <w:rPr>
          <w:spacing w:val="-38"/>
        </w:rPr>
        <w:t xml:space="preserve"> </w:t>
      </w:r>
      <w:r>
        <w:rPr>
          <w:spacing w:val="-9"/>
        </w:rPr>
        <w:t>f</w:t>
      </w:r>
      <w:r>
        <w:rPr>
          <w:rFonts w:ascii="Calibri" w:eastAsia="Calibri" w:hAnsi="Calibri" w:cs="Calibri"/>
          <w:spacing w:val="-9"/>
        </w:rPr>
        <w:t xml:space="preserve">₂ </w:t>
      </w:r>
      <w:r>
        <w:rPr>
          <w:spacing w:val="-9"/>
        </w:rPr>
        <w:t>(e,φ):</w:t>
      </w:r>
    </w:p>
    <w:p>
      <w:pPr>
        <w:spacing w:before="55" w:line="590" w:lineRule="exact"/>
        <w:ind w:firstLine="2519"/>
      </w:pPr>
      <w:r>
        <w:rPr>
          <w:position w:val="-11"/>
        </w:rPr>
        <w:drawing>
          <wp:inline distT="0" distB="0" distL="0" distR="0">
            <wp:extent cx="2635253" cy="374589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2635253" cy="374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0" w:line="220" w:lineRule="auto"/>
        <w:ind w:left="510"/>
      </w:pPr>
      <w:r>
        <w:rPr>
          <w:spacing w:val="-6"/>
        </w:rPr>
        <w:t>式中：</w:t>
      </w:r>
    </w:p>
    <w:p>
      <w:pPr>
        <w:pStyle w:val="BodyText"/>
        <w:spacing w:before="84" w:line="219" w:lineRule="auto"/>
        <w:ind w:left="510"/>
      </w:pPr>
      <w:r>
        <w:rPr>
          <w:spacing w:val="7"/>
        </w:rPr>
        <w:t>e</w:t>
      </w:r>
      <w:r>
        <w:rPr>
          <w:spacing w:val="1"/>
        </w:rPr>
        <w:t xml:space="preserve">      </w:t>
      </w:r>
      <w:r>
        <w:rPr>
          <w:spacing w:val="7"/>
        </w:rPr>
        <w:t>——</w:t>
      </w:r>
      <w:r>
        <w:rPr>
          <w:spacing w:val="-75"/>
        </w:rPr>
        <w:t xml:space="preserve"> </w:t>
      </w:r>
      <w:r>
        <w:rPr>
          <w:spacing w:val="7"/>
        </w:rPr>
        <w:t>入射光与光度头测试面法线所成的入射</w:t>
      </w:r>
      <w:r>
        <w:rPr>
          <w:spacing w:val="6"/>
        </w:rPr>
        <w:t>角；</w:t>
      </w:r>
    </w:p>
    <w:p>
      <w:pPr>
        <w:pStyle w:val="BodyText"/>
        <w:spacing w:before="109" w:line="244" w:lineRule="auto"/>
        <w:ind w:left="510" w:right="1584"/>
      </w:pPr>
      <w:r>
        <w:rPr>
          <w:spacing w:val="7"/>
        </w:rPr>
        <w:t xml:space="preserve">φ     ——人射光与光度头测试面水平线所成的方位角；  </w:t>
      </w:r>
      <w:r>
        <w:rPr>
          <w:rFonts w:ascii="Times New Roman" w:eastAsia="Times New Roman" w:hAnsi="Times New Roman" w:cs="Times New Roman"/>
          <w:spacing w:val="8"/>
        </w:rPr>
        <w:t>Y(e,φ)——</w:t>
      </w:r>
      <w:r>
        <w:rPr>
          <w:rFonts w:ascii="Times New Roman" w:eastAsia="Times New Roman" w:hAnsi="Times New Roman" w:cs="Times New Roman"/>
          <w:spacing w:val="5"/>
        </w:rPr>
        <w:t xml:space="preserve">    </w:t>
      </w:r>
      <w:r>
        <w:rPr>
          <w:spacing w:val="8"/>
        </w:rPr>
        <w:t>光入射角为</w:t>
      </w:r>
      <w:r>
        <w:rPr>
          <w:rFonts w:ascii="Times New Roman" w:eastAsia="Times New Roman" w:hAnsi="Times New Roman" w:cs="Times New Roman"/>
          <w:spacing w:val="8"/>
        </w:rPr>
        <w:t>e</w:t>
      </w:r>
      <w:r>
        <w:rPr>
          <w:rFonts w:ascii="Times New Roman" w:eastAsia="Times New Roman" w:hAnsi="Times New Roman" w:cs="Times New Roman"/>
          <w:spacing w:val="-30"/>
        </w:rPr>
        <w:t xml:space="preserve"> </w:t>
      </w:r>
      <w:r>
        <w:rPr>
          <w:spacing w:val="8"/>
        </w:rPr>
        <w:t>、方位角为φ时照度计的显示值；</w:t>
      </w:r>
    </w:p>
    <w:p>
      <w:pPr>
        <w:pStyle w:val="BodyText"/>
        <w:spacing w:before="96" w:line="212" w:lineRule="auto"/>
        <w:ind w:left="510"/>
      </w:pPr>
      <w:r>
        <w:rPr>
          <w:rFonts w:ascii="Times New Roman" w:eastAsia="Times New Roman" w:hAnsi="Times New Roman" w:cs="Times New Roman"/>
          <w:spacing w:val="8"/>
        </w:rPr>
        <w:t xml:space="preserve">Y(0,φ)——   </w:t>
      </w:r>
      <w:r>
        <w:rPr>
          <w:spacing w:val="8"/>
        </w:rPr>
        <w:t>光垂直照射在测试面上，方位角为φ时照度计的显示值。</w:t>
      </w:r>
    </w:p>
    <w:p>
      <w:pPr>
        <w:spacing w:before="52" w:line="1980" w:lineRule="exact"/>
        <w:ind w:firstLine="3540"/>
      </w:pPr>
      <w:r>
        <w:rPr>
          <w:position w:val="-39"/>
        </w:rPr>
        <w:drawing>
          <wp:inline distT="0" distB="0" distL="0" distR="0">
            <wp:extent cx="1371580" cy="1257223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371580" cy="1257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75" w:line="405" w:lineRule="exact"/>
        <w:ind w:left="3109"/>
      </w:pPr>
      <w:r>
        <w:rPr>
          <w:spacing w:val="-9"/>
          <w:position w:val="13"/>
        </w:rPr>
        <w:t>图2</w:t>
      </w:r>
      <w:r>
        <w:rPr>
          <w:spacing w:val="82"/>
          <w:position w:val="13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13"/>
        </w:rPr>
        <w:t>f₂(e,φ)</w:t>
      </w:r>
      <w:r>
        <w:rPr>
          <w:rFonts w:ascii="Times New Roman" w:eastAsia="Times New Roman" w:hAnsi="Times New Roman" w:cs="Times New Roman"/>
          <w:spacing w:val="8"/>
          <w:position w:val="13"/>
        </w:rPr>
        <w:t xml:space="preserve">   </w:t>
      </w:r>
      <w:r>
        <w:rPr>
          <w:spacing w:val="-9"/>
          <w:position w:val="13"/>
        </w:rPr>
        <w:t>规定的坐标示意图</w:t>
      </w:r>
    </w:p>
    <w:p>
      <w:pPr>
        <w:pStyle w:val="BodyText"/>
        <w:spacing w:before="1" w:line="219" w:lineRule="auto"/>
        <w:ind w:left="540"/>
        <w:rPr>
          <w:rFonts w:ascii="Times New Roman" w:eastAsia="Times New Roman" w:hAnsi="Times New Roman" w:cs="Times New Roman"/>
        </w:rPr>
      </w:pPr>
      <w:r>
        <w:rPr>
          <w:spacing w:val="20"/>
        </w:rPr>
        <w:t>按式(8)计算出光度头的方向性总误差</w:t>
      </w:r>
      <w:r>
        <w:rPr>
          <w:rFonts w:ascii="Times New Roman" w:eastAsia="Times New Roman" w:hAnsi="Times New Roman" w:cs="Times New Roman"/>
          <w:spacing w:val="20"/>
        </w:rPr>
        <w:t>f₂:</w:t>
      </w:r>
    </w:p>
    <w:p>
      <w:pPr>
        <w:spacing w:before="68" w:line="529" w:lineRule="exact"/>
        <w:ind w:firstLine="3270"/>
        <w:sectPr>
          <w:headerReference w:type="default" r:id="rId95"/>
          <w:footerReference w:type="default" r:id="rId96"/>
          <w:type w:val="continuous"/>
          <w:pgSz w:w="11900" w:h="16840"/>
          <w:pgMar w:top="1729" w:right="1259" w:bottom="1065" w:left="1440" w:header="1480" w:footer="916" w:gutter="0"/>
          <w:pgNumType w:start="25"/>
          <w:cols w:num="2" w:space="708" w:equalWidth="0">
            <w:col w:w="8381" w:space="100"/>
            <w:col w:w="720" w:space="0"/>
          </w:cols>
        </w:sectPr>
      </w:pPr>
      <w:r>
        <w:rPr>
          <w:position w:val="-10"/>
        </w:rPr>
        <w:drawing>
          <wp:inline distT="0" distB="0" distL="0" distR="0">
            <wp:extent cx="1695451" cy="336521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1695451" cy="336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30" w:line="219" w:lineRule="auto"/>
        <w:ind w:left="520"/>
      </w:pPr>
      <w:r>
        <w:rPr>
          <w:spacing w:val="-3"/>
        </w:rPr>
        <w:t xml:space="preserve">式中：1.484 </w:t>
      </w:r>
      <w:r>
        <w:rPr>
          <w:rFonts w:ascii="Times New Roman" w:eastAsia="Times New Roman" w:hAnsi="Times New Roman" w:cs="Times New Roman"/>
          <w:spacing w:val="-3"/>
        </w:rPr>
        <w:t xml:space="preserve">rad </w:t>
      </w:r>
      <w:r>
        <w:rPr>
          <w:spacing w:val="-3"/>
        </w:rPr>
        <w:t>等于85°。</w:t>
      </w:r>
    </w:p>
    <w:p>
      <w:pPr>
        <w:pStyle w:val="BodyText"/>
        <w:spacing w:before="97" w:line="184" w:lineRule="auto"/>
        <w:ind w:left="79"/>
      </w:pPr>
      <w:r>
        <w:rPr>
          <w:spacing w:val="2"/>
        </w:rPr>
        <w:t>10.1.2.4.6  合格判据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44" w:lineRule="auto"/>
        <w:rPr>
          <w:rFonts w:ascii="Arial"/>
          <w:sz w:val="21"/>
        </w:rPr>
      </w:pPr>
    </w:p>
    <w:p>
      <w:pPr>
        <w:pStyle w:val="BodyText"/>
        <w:spacing w:before="75" w:line="222" w:lineRule="auto"/>
        <w:ind w:left="350"/>
      </w:pPr>
      <w:r>
        <w:rPr>
          <w:spacing w:val="-11"/>
        </w:rPr>
        <w:t>(7)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75" w:line="222" w:lineRule="auto"/>
        <w:ind w:left="370"/>
      </w:pPr>
      <w:r>
        <w:rPr>
          <w:spacing w:val="-11"/>
        </w:rPr>
        <w:t>(8)</w:t>
      </w:r>
    </w:p>
    <w:p>
      <w:pPr>
        <w:spacing w:line="222" w:lineRule="auto"/>
        <w:sectPr>
          <w:headerReference w:type="default" r:id="rId98"/>
          <w:footerReference w:type="default" r:id="rId99"/>
          <w:type w:val="nextPage"/>
          <w:pgSz w:w="11900" w:h="16840"/>
          <w:pgMar w:top="1729" w:right="1259" w:bottom="1065" w:left="1440" w:header="1480" w:footer="916" w:gutter="0"/>
          <w:pgNumType w:start="26"/>
          <w:cols w:num="2" w:space="708" w:equalWidth="0">
            <w:col w:w="8381" w:space="100"/>
            <w:col w:w="720" w:space="0"/>
          </w:cols>
          <w:titlePg w:val="0"/>
        </w:sectPr>
      </w:pPr>
    </w:p>
    <w:p>
      <w:pPr>
        <w:pStyle w:val="BodyText"/>
        <w:spacing w:before="259" w:line="219" w:lineRule="auto"/>
        <w:ind w:left="520"/>
        <w:rPr>
          <w:sz w:val="22"/>
          <w:szCs w:val="22"/>
        </w:rPr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2806710</wp:posOffset>
            </wp:positionH>
            <wp:positionV relativeFrom="page">
              <wp:posOffset>5067281</wp:posOffset>
            </wp:positionV>
            <wp:extent cx="1854214" cy="361971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1854214" cy="3619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2686033</wp:posOffset>
            </wp:positionH>
            <wp:positionV relativeFrom="page">
              <wp:posOffset>9537657</wp:posOffset>
            </wp:positionV>
            <wp:extent cx="2038365" cy="355662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2038365" cy="3556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1"/>
          <w:sz w:val="22"/>
          <w:szCs w:val="22"/>
        </w:rPr>
        <w:t>各级照度计的方向性响应误差应符合6.4的要求。</w:t>
      </w:r>
    </w:p>
    <w:p>
      <w:pPr>
        <w:pStyle w:val="BodyText"/>
        <w:spacing w:before="57" w:line="361" w:lineRule="exact"/>
        <w:ind w:left="470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spacing w:val="-1"/>
          <w:position w:val="10"/>
          <w:sz w:val="22"/>
          <w:szCs w:val="22"/>
        </w:rPr>
        <w:t>注：式(6)、式(7)间的推导关系可参见</w:t>
      </w:r>
      <w:r>
        <w:rPr>
          <w:rFonts w:ascii="Times New Roman" w:eastAsia="Times New Roman" w:hAnsi="Times New Roman" w:cs="Times New Roman"/>
          <w:spacing w:val="-1"/>
          <w:position w:val="10"/>
          <w:sz w:val="22"/>
          <w:szCs w:val="22"/>
        </w:rPr>
        <w:t>JJG 245—200</w:t>
      </w:r>
      <w:r>
        <w:rPr>
          <w:rFonts w:ascii="Times New Roman" w:eastAsia="Times New Roman" w:hAnsi="Times New Roman" w:cs="Times New Roman"/>
          <w:spacing w:val="-2"/>
          <w:position w:val="10"/>
          <w:sz w:val="22"/>
          <w:szCs w:val="22"/>
        </w:rPr>
        <w:t>5</w:t>
      </w:r>
      <w:r>
        <w:rPr>
          <w:spacing w:val="-2"/>
          <w:position w:val="10"/>
          <w:sz w:val="22"/>
          <w:szCs w:val="22"/>
        </w:rPr>
        <w:t>《</w:t>
      </w:r>
      <w:r>
        <w:rPr>
          <w:rFonts w:ascii="FangSong" w:eastAsia="FangSong" w:hAnsi="FangSong" w:cs="FangSong"/>
          <w:spacing w:val="-2"/>
          <w:position w:val="10"/>
          <w:sz w:val="22"/>
          <w:szCs w:val="22"/>
        </w:rPr>
        <w:t>光照度计》。</w:t>
      </w:r>
    </w:p>
    <w:p>
      <w:pPr>
        <w:pStyle w:val="BodyText"/>
        <w:spacing w:line="219" w:lineRule="auto"/>
        <w:ind w:left="60"/>
        <w:rPr>
          <w:sz w:val="22"/>
          <w:szCs w:val="22"/>
        </w:rPr>
      </w:pPr>
      <w:hyperlink r:id="rId42" w:history="1">
        <w:r>
          <w:rPr>
            <w:spacing w:val="5"/>
            <w:sz w:val="22"/>
            <w:szCs w:val="22"/>
          </w:rPr>
          <w:t>10.1.2.5</w:t>
        </w:r>
      </w:hyperlink>
      <w:r>
        <w:rPr>
          <w:spacing w:val="40"/>
          <w:sz w:val="22"/>
          <w:szCs w:val="22"/>
        </w:rPr>
        <w:t xml:space="preserve">  </w:t>
      </w:r>
      <w:r>
        <w:rPr>
          <w:spacing w:val="5"/>
          <w:sz w:val="22"/>
          <w:szCs w:val="22"/>
        </w:rPr>
        <w:t>换挡误差</w:t>
      </w:r>
    </w:p>
    <w:p>
      <w:pPr>
        <w:pStyle w:val="BodyText"/>
        <w:spacing w:before="80" w:line="221" w:lineRule="auto"/>
        <w:ind w:left="60"/>
        <w:rPr>
          <w:sz w:val="22"/>
          <w:szCs w:val="22"/>
        </w:rPr>
      </w:pPr>
      <w:r>
        <w:rPr>
          <w:spacing w:val="5"/>
          <w:sz w:val="22"/>
          <w:szCs w:val="22"/>
        </w:rPr>
        <w:t>10.1.2.5.1</w:t>
      </w:r>
      <w:r>
        <w:rPr>
          <w:spacing w:val="43"/>
          <w:sz w:val="22"/>
          <w:szCs w:val="22"/>
        </w:rPr>
        <w:t xml:space="preserve">  </w:t>
      </w:r>
      <w:r>
        <w:rPr>
          <w:spacing w:val="5"/>
          <w:sz w:val="22"/>
          <w:szCs w:val="22"/>
        </w:rPr>
        <w:t>试验目的</w:t>
      </w:r>
    </w:p>
    <w:p>
      <w:pPr>
        <w:pStyle w:val="BodyText"/>
        <w:spacing w:before="105" w:line="219" w:lineRule="auto"/>
        <w:ind w:left="520"/>
        <w:rPr>
          <w:sz w:val="22"/>
          <w:szCs w:val="22"/>
        </w:rPr>
      </w:pPr>
      <w:r>
        <w:rPr>
          <w:spacing w:val="21"/>
          <w:sz w:val="22"/>
          <w:szCs w:val="22"/>
        </w:rPr>
        <w:t>评定照度计的换挡误差是否满足6.5的要求。</w:t>
      </w:r>
    </w:p>
    <w:p>
      <w:pPr>
        <w:pStyle w:val="BodyText"/>
        <w:spacing w:before="90" w:line="262" w:lineRule="auto"/>
        <w:ind w:left="529" w:right="6830" w:hanging="469"/>
        <w:rPr>
          <w:sz w:val="22"/>
          <w:szCs w:val="22"/>
        </w:rPr>
      </w:pPr>
      <w:r>
        <w:rPr>
          <w:spacing w:val="3"/>
          <w:sz w:val="22"/>
          <w:szCs w:val="22"/>
        </w:rPr>
        <w:t>10.1.2.5.2</w:t>
      </w:r>
      <w:r>
        <w:rPr>
          <w:spacing w:val="43"/>
          <w:sz w:val="22"/>
          <w:szCs w:val="22"/>
        </w:rPr>
        <w:t xml:space="preserve">  </w:t>
      </w:r>
      <w:r>
        <w:rPr>
          <w:spacing w:val="3"/>
          <w:sz w:val="22"/>
          <w:szCs w:val="22"/>
        </w:rPr>
        <w:t>试验环境</w:t>
      </w:r>
      <w:r>
        <w:rPr>
          <w:sz w:val="22"/>
          <w:szCs w:val="22"/>
        </w:rPr>
        <w:t xml:space="preserve"> </w:t>
      </w:r>
      <w:r>
        <w:rPr>
          <w:spacing w:val="9"/>
          <w:sz w:val="22"/>
          <w:szCs w:val="22"/>
        </w:rPr>
        <w:t>同</w:t>
      </w:r>
      <w:hyperlink r:id="rId62" w:history="1">
        <w:r>
          <w:rPr>
            <w:spacing w:val="9"/>
            <w:sz w:val="22"/>
            <w:szCs w:val="22"/>
          </w:rPr>
          <w:t>10.1.1.1</w:t>
        </w:r>
      </w:hyperlink>
      <w:r>
        <w:rPr>
          <w:spacing w:val="9"/>
          <w:sz w:val="22"/>
          <w:szCs w:val="22"/>
        </w:rPr>
        <w:t>。</w:t>
      </w:r>
    </w:p>
    <w:p>
      <w:pPr>
        <w:pStyle w:val="BodyText"/>
        <w:spacing w:before="86" w:line="262" w:lineRule="auto"/>
        <w:ind w:left="539" w:right="6810" w:hanging="479"/>
        <w:rPr>
          <w:sz w:val="22"/>
          <w:szCs w:val="22"/>
        </w:rPr>
      </w:pPr>
      <w:r>
        <w:rPr>
          <w:spacing w:val="4"/>
          <w:sz w:val="22"/>
          <w:szCs w:val="22"/>
        </w:rPr>
        <w:t>10.1.2.5.3</w:t>
      </w:r>
      <w:r>
        <w:rPr>
          <w:spacing w:val="46"/>
          <w:sz w:val="22"/>
          <w:szCs w:val="22"/>
        </w:rPr>
        <w:t xml:space="preserve">  </w:t>
      </w:r>
      <w:r>
        <w:rPr>
          <w:spacing w:val="4"/>
          <w:sz w:val="22"/>
          <w:szCs w:val="22"/>
        </w:rPr>
        <w:t>试验设备</w:t>
      </w:r>
      <w:r>
        <w:rPr>
          <w:spacing w:val="1"/>
          <w:sz w:val="22"/>
          <w:szCs w:val="22"/>
        </w:rPr>
        <w:t xml:space="preserve"> </w:t>
      </w:r>
      <w:r>
        <w:rPr>
          <w:spacing w:val="12"/>
          <w:sz w:val="22"/>
          <w:szCs w:val="22"/>
        </w:rPr>
        <w:t>同</w:t>
      </w:r>
      <w:hyperlink r:id="rId63" w:history="1">
        <w:r>
          <w:rPr>
            <w:spacing w:val="12"/>
            <w:sz w:val="22"/>
            <w:szCs w:val="22"/>
          </w:rPr>
          <w:t>10.1.1.2</w:t>
        </w:r>
      </w:hyperlink>
      <w:r>
        <w:rPr>
          <w:spacing w:val="12"/>
          <w:sz w:val="22"/>
          <w:szCs w:val="22"/>
        </w:rPr>
        <w:t>。</w:t>
      </w:r>
    </w:p>
    <w:p>
      <w:pPr>
        <w:pStyle w:val="BodyText"/>
        <w:spacing w:before="84" w:line="220" w:lineRule="auto"/>
        <w:ind w:left="50"/>
        <w:rPr>
          <w:sz w:val="22"/>
          <w:szCs w:val="22"/>
        </w:rPr>
      </w:pPr>
      <w:r>
        <w:rPr>
          <w:spacing w:val="4"/>
          <w:sz w:val="22"/>
          <w:szCs w:val="22"/>
        </w:rPr>
        <w:t>10.1.2.5.4</w:t>
      </w:r>
      <w:r>
        <w:rPr>
          <w:spacing w:val="52"/>
          <w:sz w:val="22"/>
          <w:szCs w:val="22"/>
        </w:rPr>
        <w:t xml:space="preserve">  </w:t>
      </w:r>
      <w:r>
        <w:rPr>
          <w:spacing w:val="4"/>
          <w:sz w:val="22"/>
          <w:szCs w:val="22"/>
        </w:rPr>
        <w:t>试验程序</w:t>
      </w:r>
    </w:p>
    <w:p>
      <w:pPr>
        <w:pStyle w:val="BodyText"/>
        <w:spacing w:before="108" w:line="220" w:lineRule="auto"/>
        <w:ind w:left="520"/>
        <w:rPr>
          <w:sz w:val="22"/>
          <w:szCs w:val="22"/>
        </w:rPr>
      </w:pPr>
      <w:r>
        <w:rPr>
          <w:spacing w:val="18"/>
          <w:sz w:val="22"/>
          <w:szCs w:val="22"/>
        </w:rPr>
        <w:t>试验应在照度计的各相邻两量程间进行，单一量程的照度计无此项试验。</w:t>
      </w:r>
    </w:p>
    <w:p>
      <w:pPr>
        <w:pStyle w:val="BodyText"/>
        <w:spacing w:before="98" w:line="272" w:lineRule="auto"/>
        <w:ind w:left="29" w:firstLine="490"/>
        <w:rPr>
          <w:sz w:val="22"/>
          <w:szCs w:val="22"/>
        </w:rPr>
      </w:pPr>
      <w:r>
        <w:rPr>
          <w:spacing w:val="19"/>
          <w:sz w:val="22"/>
          <w:szCs w:val="22"/>
        </w:rPr>
        <w:t>打开照度计电源并点燃一个稳定光源。先让光源主光束辐照在被测照度</w:t>
      </w:r>
      <w:r>
        <w:rPr>
          <w:spacing w:val="18"/>
          <w:sz w:val="22"/>
          <w:szCs w:val="22"/>
        </w:rPr>
        <w:t>计的探头光</w:t>
      </w:r>
      <w:r>
        <w:rPr>
          <w:sz w:val="22"/>
          <w:szCs w:val="22"/>
        </w:rPr>
        <w:t xml:space="preserve">  </w:t>
      </w:r>
      <w:r>
        <w:rPr>
          <w:spacing w:val="22"/>
          <w:sz w:val="22"/>
          <w:szCs w:val="22"/>
        </w:rPr>
        <w:t>敏面上，通过调节光源强度或光源到探头光敏面的距离，使照度计的示</w:t>
      </w:r>
      <w:r>
        <w:rPr>
          <w:spacing w:val="21"/>
          <w:sz w:val="22"/>
          <w:szCs w:val="22"/>
        </w:rPr>
        <w:t>值接近满量程，</w:t>
      </w:r>
      <w:r>
        <w:rPr>
          <w:sz w:val="22"/>
          <w:szCs w:val="22"/>
        </w:rPr>
        <w:t xml:space="preserve"> </w:t>
      </w:r>
      <w:r>
        <w:rPr>
          <w:spacing w:val="19"/>
          <w:sz w:val="22"/>
          <w:szCs w:val="22"/>
        </w:rPr>
        <w:t>并记下显示读数</w:t>
      </w:r>
      <w:r>
        <w:rPr>
          <w:spacing w:val="-49"/>
          <w:sz w:val="22"/>
          <w:szCs w:val="22"/>
        </w:rPr>
        <w:t xml:space="preserve"> </w:t>
      </w:r>
      <w:r>
        <w:rPr>
          <w:spacing w:val="19"/>
          <w:sz w:val="22"/>
          <w:szCs w:val="22"/>
        </w:rPr>
        <w:t>Y(A),  再将照度计更换到相邻较高的量程，读取</w:t>
      </w:r>
      <w:r>
        <w:rPr>
          <w:spacing w:val="18"/>
          <w:sz w:val="22"/>
          <w:szCs w:val="22"/>
        </w:rPr>
        <w:t xml:space="preserve">换量程后照度计的显 </w:t>
      </w:r>
      <w:r>
        <w:rPr>
          <w:spacing w:val="9"/>
          <w:sz w:val="22"/>
          <w:szCs w:val="22"/>
        </w:rPr>
        <w:t>示读数</w:t>
      </w:r>
      <w:r>
        <w:rPr>
          <w:rFonts w:ascii="Times New Roman" w:eastAsia="Times New Roman" w:hAnsi="Times New Roman" w:cs="Times New Roman"/>
          <w:spacing w:val="9"/>
          <w:sz w:val="22"/>
          <w:szCs w:val="22"/>
        </w:rPr>
        <w:t>Y(B)</w:t>
      </w:r>
      <w:r>
        <w:rPr>
          <w:spacing w:val="9"/>
          <w:sz w:val="22"/>
          <w:szCs w:val="22"/>
        </w:rPr>
        <w:t>。</w:t>
      </w:r>
    </w:p>
    <w:p>
      <w:pPr>
        <w:pStyle w:val="BodyText"/>
        <w:spacing w:before="113" w:line="219" w:lineRule="auto"/>
        <w:ind w:left="39"/>
        <w:rPr>
          <w:sz w:val="22"/>
          <w:szCs w:val="22"/>
        </w:rPr>
      </w:pPr>
      <w:r>
        <w:rPr>
          <w:spacing w:val="4"/>
          <w:sz w:val="22"/>
          <w:szCs w:val="22"/>
        </w:rPr>
        <w:t>10.1.2.5.5</w:t>
      </w:r>
      <w:r>
        <w:rPr>
          <w:spacing w:val="3"/>
          <w:sz w:val="22"/>
          <w:szCs w:val="22"/>
        </w:rPr>
        <w:t xml:space="preserve">   </w:t>
      </w:r>
      <w:r>
        <w:rPr>
          <w:spacing w:val="4"/>
          <w:sz w:val="22"/>
          <w:szCs w:val="22"/>
        </w:rPr>
        <w:t>数据处理</w:t>
      </w:r>
    </w:p>
    <w:p>
      <w:pPr>
        <w:pStyle w:val="BodyText"/>
        <w:spacing w:before="109" w:line="219" w:lineRule="auto"/>
        <w:ind w:left="52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pacing w:val="26"/>
          <w:sz w:val="22"/>
          <w:szCs w:val="22"/>
        </w:rPr>
        <w:t>按式(9)计算由此相邻两量程间量程改变引起的误差</w:t>
      </w:r>
      <w:r>
        <w:rPr>
          <w:spacing w:val="-42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26"/>
          <w:sz w:val="22"/>
          <w:szCs w:val="22"/>
        </w:rPr>
        <w:t>f₄</w:t>
      </w:r>
    </w:p>
    <w:p>
      <w:pPr>
        <w:pStyle w:val="BodyText"/>
        <w:spacing w:before="222" w:line="222" w:lineRule="auto"/>
        <w:ind w:left="8800"/>
        <w:rPr>
          <w:sz w:val="22"/>
          <w:szCs w:val="22"/>
        </w:rPr>
      </w:pPr>
      <w:r>
        <w:rPr>
          <w:spacing w:val="-11"/>
          <w:sz w:val="22"/>
          <w:szCs w:val="22"/>
        </w:rPr>
        <w:t>(9)</w:t>
      </w:r>
    </w:p>
    <w:p>
      <w:pPr>
        <w:pStyle w:val="BodyText"/>
        <w:spacing w:before="252" w:line="269" w:lineRule="auto"/>
        <w:ind w:left="39" w:right="89" w:firstLine="480"/>
        <w:jc w:val="both"/>
        <w:rPr>
          <w:sz w:val="22"/>
          <w:szCs w:val="22"/>
        </w:rPr>
      </w:pPr>
      <w:r>
        <w:rPr>
          <w:spacing w:val="24"/>
          <w:sz w:val="22"/>
          <w:szCs w:val="22"/>
        </w:rPr>
        <w:t>式中</w:t>
      </w:r>
      <w:r>
        <w:rPr>
          <w:spacing w:val="-17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24"/>
          <w:sz w:val="22"/>
          <w:szCs w:val="22"/>
        </w:rPr>
        <w:t xml:space="preserve">K  </w:t>
      </w:r>
      <w:r>
        <w:rPr>
          <w:spacing w:val="24"/>
          <w:sz w:val="22"/>
          <w:szCs w:val="22"/>
        </w:rPr>
        <w:t>为此相邻两量程间标称换挡倍率</w:t>
      </w:r>
      <w:r>
        <w:rPr>
          <w:spacing w:val="23"/>
          <w:sz w:val="22"/>
          <w:szCs w:val="22"/>
        </w:rPr>
        <w:t>(高量程满量程照度与低量程满量程照度</w:t>
      </w:r>
      <w:r>
        <w:rPr>
          <w:sz w:val="22"/>
          <w:szCs w:val="22"/>
        </w:rPr>
        <w:t xml:space="preserve"> </w:t>
      </w:r>
      <w:r>
        <w:rPr>
          <w:spacing w:val="37"/>
          <w:sz w:val="22"/>
          <w:szCs w:val="22"/>
        </w:rPr>
        <w:t>之比),通常为10。注意：如果这相邻两挡位中</w:t>
      </w:r>
      <w:r>
        <w:rPr>
          <w:spacing w:val="36"/>
          <w:sz w:val="22"/>
          <w:szCs w:val="22"/>
        </w:rPr>
        <w:t>任意挡位(或两挡同时)存在零点读</w:t>
      </w:r>
      <w:r>
        <w:rPr>
          <w:sz w:val="22"/>
          <w:szCs w:val="22"/>
        </w:rPr>
        <w:t xml:space="preserve"> </w:t>
      </w:r>
      <w:r>
        <w:rPr>
          <w:spacing w:val="12"/>
          <w:sz w:val="22"/>
          <w:szCs w:val="22"/>
        </w:rPr>
        <w:t>数，则式中Y(A)</w:t>
      </w:r>
      <w:r>
        <w:rPr>
          <w:spacing w:val="71"/>
          <w:sz w:val="22"/>
          <w:szCs w:val="22"/>
        </w:rPr>
        <w:t xml:space="preserve"> </w:t>
      </w:r>
      <w:r>
        <w:rPr>
          <w:spacing w:val="12"/>
          <w:sz w:val="22"/>
          <w:szCs w:val="22"/>
        </w:rPr>
        <w:t>和</w:t>
      </w:r>
      <w:r>
        <w:rPr>
          <w:spacing w:val="-40"/>
          <w:sz w:val="22"/>
          <w:szCs w:val="22"/>
        </w:rPr>
        <w:t xml:space="preserve"> </w:t>
      </w:r>
      <w:r>
        <w:rPr>
          <w:spacing w:val="12"/>
          <w:sz w:val="22"/>
          <w:szCs w:val="22"/>
        </w:rPr>
        <w:t>Y(B) 要分别扣除其相应的零点读数。</w:t>
      </w:r>
    </w:p>
    <w:p>
      <w:pPr>
        <w:pStyle w:val="BodyText"/>
        <w:spacing w:before="109" w:line="219" w:lineRule="auto"/>
        <w:ind w:left="50"/>
        <w:rPr>
          <w:sz w:val="22"/>
          <w:szCs w:val="22"/>
        </w:rPr>
      </w:pPr>
      <w:r>
        <w:rPr>
          <w:spacing w:val="4"/>
          <w:sz w:val="22"/>
          <w:szCs w:val="22"/>
        </w:rPr>
        <w:t>10.1.2.5.6</w:t>
      </w:r>
      <w:r>
        <w:rPr>
          <w:spacing w:val="47"/>
          <w:sz w:val="22"/>
          <w:szCs w:val="22"/>
        </w:rPr>
        <w:t xml:space="preserve">  </w:t>
      </w:r>
      <w:r>
        <w:rPr>
          <w:spacing w:val="4"/>
          <w:sz w:val="22"/>
          <w:szCs w:val="22"/>
        </w:rPr>
        <w:t>合格判据</w:t>
      </w:r>
    </w:p>
    <w:p>
      <w:pPr>
        <w:pStyle w:val="BodyText"/>
        <w:spacing w:before="99" w:line="219" w:lineRule="auto"/>
        <w:ind w:left="500"/>
        <w:rPr>
          <w:sz w:val="22"/>
          <w:szCs w:val="22"/>
        </w:rPr>
      </w:pPr>
      <w:r>
        <w:rPr>
          <w:spacing w:val="21"/>
          <w:sz w:val="22"/>
          <w:szCs w:val="22"/>
        </w:rPr>
        <w:t>各级照度计的换挡误差应符合6.5的要求。</w:t>
      </w:r>
    </w:p>
    <w:p>
      <w:pPr>
        <w:pStyle w:val="BodyText"/>
        <w:spacing w:before="79" w:line="219" w:lineRule="auto"/>
        <w:ind w:left="50"/>
        <w:rPr>
          <w:sz w:val="22"/>
          <w:szCs w:val="22"/>
        </w:rPr>
      </w:pPr>
      <w:hyperlink r:id="rId43" w:history="1">
        <w:r>
          <w:rPr>
            <w:spacing w:val="6"/>
            <w:sz w:val="22"/>
            <w:szCs w:val="22"/>
          </w:rPr>
          <w:t>10.1.2.6</w:t>
        </w:r>
      </w:hyperlink>
      <w:r>
        <w:rPr>
          <w:spacing w:val="38"/>
          <w:sz w:val="22"/>
          <w:szCs w:val="22"/>
        </w:rPr>
        <w:t xml:space="preserve">  </w:t>
      </w:r>
      <w:r>
        <w:rPr>
          <w:spacing w:val="6"/>
          <w:sz w:val="22"/>
          <w:szCs w:val="22"/>
        </w:rPr>
        <w:t>疲劳特性误差</w:t>
      </w:r>
    </w:p>
    <w:p>
      <w:pPr>
        <w:pStyle w:val="BodyText"/>
        <w:spacing w:before="100" w:line="221" w:lineRule="auto"/>
        <w:ind w:left="29"/>
        <w:rPr>
          <w:sz w:val="22"/>
          <w:szCs w:val="22"/>
        </w:rPr>
      </w:pPr>
      <w:r>
        <w:rPr>
          <w:spacing w:val="3"/>
          <w:sz w:val="22"/>
          <w:szCs w:val="22"/>
        </w:rPr>
        <w:t>10.1.2.6.1</w:t>
      </w:r>
      <w:r>
        <w:rPr>
          <w:spacing w:val="4"/>
          <w:sz w:val="22"/>
          <w:szCs w:val="22"/>
        </w:rPr>
        <w:t xml:space="preserve">   </w:t>
      </w:r>
      <w:r>
        <w:rPr>
          <w:spacing w:val="3"/>
          <w:sz w:val="22"/>
          <w:szCs w:val="22"/>
        </w:rPr>
        <w:t>试验目的</w:t>
      </w:r>
    </w:p>
    <w:p>
      <w:pPr>
        <w:pStyle w:val="BodyText"/>
        <w:spacing w:before="105" w:line="219" w:lineRule="auto"/>
        <w:ind w:left="500"/>
        <w:rPr>
          <w:sz w:val="22"/>
          <w:szCs w:val="22"/>
        </w:rPr>
      </w:pPr>
      <w:r>
        <w:rPr>
          <w:spacing w:val="21"/>
          <w:sz w:val="22"/>
          <w:szCs w:val="22"/>
        </w:rPr>
        <w:t>评定照度计的疲劳误差是否满足6.6的要求。</w:t>
      </w:r>
    </w:p>
    <w:p>
      <w:pPr>
        <w:pStyle w:val="BodyText"/>
        <w:spacing w:before="79" w:line="263" w:lineRule="auto"/>
        <w:ind w:left="509" w:right="6820" w:hanging="480"/>
        <w:rPr>
          <w:sz w:val="22"/>
          <w:szCs w:val="22"/>
        </w:rPr>
      </w:pPr>
      <w:r>
        <w:rPr>
          <w:spacing w:val="5"/>
          <w:sz w:val="22"/>
          <w:szCs w:val="22"/>
        </w:rPr>
        <w:t>10.1.2.6.2</w:t>
      </w:r>
      <w:r>
        <w:rPr>
          <w:spacing w:val="49"/>
          <w:sz w:val="22"/>
          <w:szCs w:val="22"/>
        </w:rPr>
        <w:t xml:space="preserve">  </w:t>
      </w:r>
      <w:r>
        <w:rPr>
          <w:spacing w:val="5"/>
          <w:sz w:val="22"/>
          <w:szCs w:val="22"/>
        </w:rPr>
        <w:t>试验环境</w:t>
      </w:r>
      <w:r>
        <w:rPr>
          <w:sz w:val="22"/>
          <w:szCs w:val="22"/>
        </w:rPr>
        <w:t xml:space="preserve"> </w:t>
      </w:r>
      <w:r>
        <w:rPr>
          <w:spacing w:val="11"/>
          <w:sz w:val="22"/>
          <w:szCs w:val="22"/>
        </w:rPr>
        <w:t>同</w:t>
      </w:r>
      <w:hyperlink r:id="rId62" w:history="1">
        <w:r>
          <w:rPr>
            <w:spacing w:val="11"/>
            <w:sz w:val="22"/>
            <w:szCs w:val="22"/>
          </w:rPr>
          <w:t>10.1.1.1</w:t>
        </w:r>
      </w:hyperlink>
      <w:r>
        <w:rPr>
          <w:spacing w:val="11"/>
          <w:sz w:val="22"/>
          <w:szCs w:val="22"/>
        </w:rPr>
        <w:t>。</w:t>
      </w:r>
    </w:p>
    <w:p>
      <w:pPr>
        <w:pStyle w:val="BodyText"/>
        <w:spacing w:before="85" w:line="262" w:lineRule="auto"/>
        <w:ind w:left="519" w:right="6849" w:hanging="480"/>
        <w:rPr>
          <w:sz w:val="22"/>
          <w:szCs w:val="22"/>
        </w:rPr>
      </w:pPr>
      <w:r>
        <w:rPr>
          <w:spacing w:val="3"/>
          <w:sz w:val="22"/>
          <w:szCs w:val="22"/>
        </w:rPr>
        <w:t>10.1.2.6.3</w:t>
      </w:r>
      <w:r>
        <w:rPr>
          <w:spacing w:val="43"/>
          <w:sz w:val="22"/>
          <w:szCs w:val="22"/>
        </w:rPr>
        <w:t xml:space="preserve">  </w:t>
      </w:r>
      <w:r>
        <w:rPr>
          <w:spacing w:val="3"/>
          <w:sz w:val="22"/>
          <w:szCs w:val="22"/>
        </w:rPr>
        <w:t>试验设备</w:t>
      </w:r>
      <w:r>
        <w:rPr>
          <w:spacing w:val="1"/>
          <w:sz w:val="22"/>
          <w:szCs w:val="22"/>
        </w:rPr>
        <w:t xml:space="preserve"> </w:t>
      </w:r>
      <w:r>
        <w:rPr>
          <w:spacing w:val="10"/>
          <w:sz w:val="22"/>
          <w:szCs w:val="22"/>
        </w:rPr>
        <w:t>同</w:t>
      </w:r>
      <w:hyperlink r:id="rId63" w:history="1">
        <w:r>
          <w:rPr>
            <w:spacing w:val="10"/>
            <w:sz w:val="22"/>
            <w:szCs w:val="22"/>
          </w:rPr>
          <w:t>10.1.1.2</w:t>
        </w:r>
      </w:hyperlink>
      <w:r>
        <w:rPr>
          <w:spacing w:val="10"/>
          <w:sz w:val="22"/>
          <w:szCs w:val="22"/>
        </w:rPr>
        <w:t>。</w:t>
      </w:r>
    </w:p>
    <w:p>
      <w:pPr>
        <w:pStyle w:val="BodyText"/>
        <w:spacing w:before="85" w:line="220" w:lineRule="auto"/>
        <w:ind w:left="19"/>
        <w:rPr>
          <w:sz w:val="22"/>
          <w:szCs w:val="22"/>
        </w:rPr>
        <w:sectPr>
          <w:headerReference w:type="default" r:id="rId102"/>
          <w:footerReference w:type="default" r:id="rId103"/>
          <w:pgSz w:w="11900" w:h="16840"/>
          <w:pgMar w:top="1729" w:right="1389" w:bottom="1115" w:left="1289" w:header="1473" w:footer="966" w:gutter="0"/>
          <w:pgNumType w:start="27"/>
          <w:cols w:space="708"/>
        </w:sectPr>
      </w:pPr>
      <w:r>
        <w:rPr>
          <w:spacing w:val="4"/>
          <w:sz w:val="22"/>
          <w:szCs w:val="22"/>
        </w:rPr>
        <w:t>10.1.2.6.4</w:t>
      </w:r>
      <w:r>
        <w:rPr>
          <w:spacing w:val="48"/>
          <w:sz w:val="22"/>
          <w:szCs w:val="22"/>
        </w:rPr>
        <w:t xml:space="preserve">  </w:t>
      </w:r>
      <w:r>
        <w:rPr>
          <w:spacing w:val="4"/>
          <w:sz w:val="22"/>
          <w:szCs w:val="22"/>
        </w:rPr>
        <w:t>试验程序</w:t>
      </w:r>
    </w:p>
    <w:p>
      <w:pPr>
        <w:pStyle w:val="BodyText"/>
        <w:spacing w:before="85" w:line="272" w:lineRule="auto"/>
        <w:ind w:left="9" w:right="49" w:firstLine="460"/>
        <w:jc w:val="both"/>
        <w:rPr>
          <w:sz w:val="22"/>
          <w:szCs w:val="22"/>
        </w:rPr>
      </w:pPr>
      <w:r>
        <w:rPr>
          <w:spacing w:val="22"/>
          <w:sz w:val="22"/>
          <w:szCs w:val="22"/>
        </w:rPr>
        <w:t>将照度计的光度头和标准灯安装在光度测量装置上，</w:t>
      </w:r>
      <w:r>
        <w:rPr>
          <w:spacing w:val="21"/>
          <w:sz w:val="22"/>
          <w:szCs w:val="22"/>
        </w:rPr>
        <w:t>按标定照度计的要求调整好；</w:t>
      </w:r>
      <w:r>
        <w:rPr>
          <w:sz w:val="22"/>
          <w:szCs w:val="22"/>
        </w:rPr>
        <w:t xml:space="preserve"> </w:t>
      </w:r>
      <w:r>
        <w:rPr>
          <w:spacing w:val="25"/>
          <w:sz w:val="22"/>
          <w:szCs w:val="22"/>
        </w:rPr>
        <w:t>然后遮住光度头，使其24</w:t>
      </w:r>
      <w:r>
        <w:rPr>
          <w:spacing w:val="-48"/>
          <w:sz w:val="22"/>
          <w:szCs w:val="22"/>
        </w:rPr>
        <w:t xml:space="preserve"> </w:t>
      </w:r>
      <w:r>
        <w:rPr>
          <w:spacing w:val="25"/>
          <w:sz w:val="22"/>
          <w:szCs w:val="22"/>
        </w:rPr>
        <w:t>h</w:t>
      </w:r>
      <w:r>
        <w:rPr>
          <w:spacing w:val="-24"/>
          <w:sz w:val="22"/>
          <w:szCs w:val="22"/>
        </w:rPr>
        <w:t xml:space="preserve"> </w:t>
      </w:r>
      <w:r>
        <w:rPr>
          <w:spacing w:val="25"/>
          <w:sz w:val="22"/>
          <w:szCs w:val="22"/>
        </w:rPr>
        <w:t>不曝光。测量时点燃标准灯并预热，</w:t>
      </w:r>
      <w:r>
        <w:rPr>
          <w:spacing w:val="24"/>
          <w:sz w:val="22"/>
          <w:szCs w:val="22"/>
        </w:rPr>
        <w:t>揭开遮盖光度头的盖</w:t>
      </w:r>
      <w:r>
        <w:rPr>
          <w:sz w:val="22"/>
          <w:szCs w:val="22"/>
        </w:rPr>
        <w:t xml:space="preserve"> </w:t>
      </w:r>
      <w:r>
        <w:rPr>
          <w:spacing w:val="24"/>
          <w:sz w:val="22"/>
          <w:szCs w:val="22"/>
        </w:rPr>
        <w:t>子，在1000</w:t>
      </w:r>
      <w:r>
        <w:rPr>
          <w:sz w:val="22"/>
          <w:szCs w:val="22"/>
        </w:rPr>
        <w:t>lx</w:t>
      </w:r>
      <w:r>
        <w:rPr>
          <w:spacing w:val="-40"/>
          <w:sz w:val="22"/>
          <w:szCs w:val="22"/>
        </w:rPr>
        <w:t xml:space="preserve"> </w:t>
      </w:r>
      <w:r>
        <w:rPr>
          <w:spacing w:val="24"/>
          <w:sz w:val="22"/>
          <w:szCs w:val="22"/>
        </w:rPr>
        <w:t>下读取照度计照射10</w:t>
      </w:r>
      <w:r>
        <w:rPr>
          <w:spacing w:val="-51"/>
          <w:sz w:val="22"/>
          <w:szCs w:val="22"/>
        </w:rPr>
        <w:t xml:space="preserve"> </w:t>
      </w:r>
      <w:r>
        <w:rPr>
          <w:spacing w:val="24"/>
          <w:sz w:val="22"/>
          <w:szCs w:val="22"/>
        </w:rPr>
        <w:t>s</w:t>
      </w:r>
      <w:r>
        <w:rPr>
          <w:spacing w:val="-42"/>
          <w:sz w:val="22"/>
          <w:szCs w:val="22"/>
        </w:rPr>
        <w:t xml:space="preserve"> </w:t>
      </w:r>
      <w:r>
        <w:rPr>
          <w:spacing w:val="24"/>
          <w:sz w:val="22"/>
          <w:szCs w:val="22"/>
        </w:rPr>
        <w:t xml:space="preserve">和30 </w:t>
      </w:r>
      <w:r>
        <w:rPr>
          <w:sz w:val="22"/>
          <w:szCs w:val="22"/>
        </w:rPr>
        <w:t>min</w:t>
      </w:r>
      <w:r>
        <w:rPr>
          <w:spacing w:val="24"/>
          <w:sz w:val="22"/>
          <w:szCs w:val="22"/>
        </w:rPr>
        <w:t xml:space="preserve"> 的显示值。</w:t>
      </w:r>
    </w:p>
    <w:p>
      <w:pPr>
        <w:pStyle w:val="BodyText"/>
        <w:spacing w:before="89" w:line="219" w:lineRule="auto"/>
        <w:ind w:left="19"/>
        <w:rPr>
          <w:sz w:val="22"/>
          <w:szCs w:val="22"/>
        </w:rPr>
      </w:pPr>
      <w:r>
        <w:rPr>
          <w:spacing w:val="3"/>
          <w:sz w:val="22"/>
          <w:szCs w:val="22"/>
        </w:rPr>
        <w:t>10.1.2.6.5</w:t>
      </w:r>
      <w:r>
        <w:rPr>
          <w:spacing w:val="57"/>
          <w:sz w:val="22"/>
          <w:szCs w:val="22"/>
        </w:rPr>
        <w:t xml:space="preserve">  </w:t>
      </w:r>
      <w:r>
        <w:rPr>
          <w:spacing w:val="3"/>
          <w:sz w:val="22"/>
          <w:szCs w:val="22"/>
        </w:rPr>
        <w:t>数据处理</w:t>
      </w:r>
    </w:p>
    <w:p>
      <w:pPr>
        <w:pStyle w:val="BodyText"/>
        <w:spacing w:before="89" w:line="219" w:lineRule="auto"/>
        <w:ind w:left="460"/>
        <w:rPr>
          <w:sz w:val="22"/>
          <w:szCs w:val="22"/>
        </w:rPr>
      </w:pPr>
      <w:r>
        <w:rPr>
          <w:spacing w:val="33"/>
          <w:sz w:val="22"/>
          <w:szCs w:val="22"/>
        </w:rPr>
        <w:t>按式(10)计算照度计的疲劳误差</w:t>
      </w:r>
      <w:r>
        <w:rPr>
          <w:sz w:val="22"/>
          <w:szCs w:val="22"/>
        </w:rPr>
        <w:t>fs</w:t>
      </w:r>
      <w:r>
        <w:rPr>
          <w:spacing w:val="33"/>
          <w:sz w:val="22"/>
          <w:szCs w:val="22"/>
        </w:rPr>
        <w:t>:</w:t>
      </w:r>
    </w:p>
    <w:p>
      <w:pPr>
        <w:pStyle w:val="BodyText"/>
        <w:spacing w:before="243" w:line="222" w:lineRule="auto"/>
        <w:ind w:left="8649"/>
        <w:rPr>
          <w:sz w:val="22"/>
          <w:szCs w:val="22"/>
        </w:rPr>
      </w:pPr>
      <w:r>
        <w:rPr>
          <w:spacing w:val="-9"/>
          <w:sz w:val="22"/>
          <w:szCs w:val="22"/>
        </w:rPr>
        <w:t>(10)</w:t>
      </w:r>
    </w:p>
    <w:p>
      <w:pPr>
        <w:spacing w:line="222" w:lineRule="auto"/>
        <w:rPr>
          <w:sz w:val="22"/>
          <w:szCs w:val="22"/>
        </w:rPr>
        <w:sectPr>
          <w:headerReference w:type="default" r:id="rId104"/>
          <w:footerReference w:type="default" r:id="rId105"/>
          <w:type w:val="nextPage"/>
          <w:pgSz w:w="11900" w:h="16840"/>
          <w:pgMar w:top="1729" w:right="1389" w:bottom="1115" w:left="1289" w:header="1473" w:footer="966" w:gutter="0"/>
          <w:pgNumType w:start="28"/>
          <w:cols w:space="708"/>
          <w:titlePg w:val="0"/>
        </w:sectPr>
      </w:pPr>
    </w:p>
    <w:p>
      <w:pPr>
        <w:pStyle w:val="BodyText"/>
        <w:spacing w:before="240" w:line="220" w:lineRule="auto"/>
        <w:ind w:left="530"/>
      </w:pPr>
      <w:r>
        <w:rPr>
          <w:spacing w:val="-8"/>
        </w:rPr>
        <w:t>式中：</w:t>
      </w:r>
    </w:p>
    <w:p>
      <w:pPr>
        <w:pStyle w:val="BodyText"/>
        <w:spacing w:before="69" w:line="212" w:lineRule="auto"/>
        <w:ind w:left="520"/>
      </w:pPr>
      <w:r>
        <w:rPr>
          <w:rFonts w:ascii="Times New Roman" w:eastAsia="Times New Roman" w:hAnsi="Times New Roman" w:cs="Times New Roman"/>
          <w:spacing w:val="6"/>
        </w:rPr>
        <w:t xml:space="preserve">Y(30     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6"/>
        </w:rPr>
        <w:t>)——</w:t>
      </w:r>
      <w:r>
        <w:rPr>
          <w:spacing w:val="6"/>
        </w:rPr>
        <w:t>在同一条件下，照度计照</w:t>
      </w:r>
      <w:r>
        <w:rPr>
          <w:spacing w:val="5"/>
        </w:rPr>
        <w:t xml:space="preserve">射30 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spacing w:val="5"/>
        </w:rPr>
        <w:t>的显示值；</w:t>
      </w:r>
    </w:p>
    <w:p>
      <w:pPr>
        <w:pStyle w:val="BodyText"/>
        <w:spacing w:before="141" w:line="360" w:lineRule="exact"/>
        <w:ind w:left="499"/>
      </w:pPr>
      <w:r>
        <w:rPr>
          <w:spacing w:val="4"/>
          <w:position w:val="9"/>
        </w:rPr>
        <w:t>Y(10</w:t>
      </w:r>
      <w:r>
        <w:rPr>
          <w:spacing w:val="82"/>
          <w:position w:val="9"/>
        </w:rPr>
        <w:t xml:space="preserve"> </w:t>
      </w:r>
      <w:r>
        <w:rPr>
          <w:spacing w:val="4"/>
          <w:position w:val="9"/>
        </w:rPr>
        <w:t>s)</w:t>
      </w:r>
      <w:r>
        <w:rPr>
          <w:spacing w:val="44"/>
          <w:position w:val="9"/>
        </w:rPr>
        <w:t xml:space="preserve">  </w:t>
      </w:r>
      <w:r>
        <w:rPr>
          <w:spacing w:val="4"/>
          <w:position w:val="9"/>
        </w:rPr>
        <w:t>——</w:t>
      </w:r>
      <w:r>
        <w:rPr>
          <w:spacing w:val="-56"/>
          <w:position w:val="9"/>
        </w:rPr>
        <w:t xml:space="preserve"> </w:t>
      </w:r>
      <w:r>
        <w:rPr>
          <w:spacing w:val="4"/>
          <w:position w:val="9"/>
        </w:rPr>
        <w:t>在同一条件下，照度计照射10 s</w:t>
      </w:r>
      <w:r>
        <w:rPr>
          <w:spacing w:val="-31"/>
          <w:position w:val="9"/>
        </w:rPr>
        <w:t xml:space="preserve"> </w:t>
      </w:r>
      <w:r>
        <w:rPr>
          <w:spacing w:val="4"/>
          <w:position w:val="9"/>
        </w:rPr>
        <w:t>的显示值。</w:t>
      </w:r>
    </w:p>
    <w:p>
      <w:pPr>
        <w:pStyle w:val="BodyText"/>
        <w:spacing w:line="219" w:lineRule="auto"/>
        <w:ind w:left="49"/>
      </w:pPr>
      <w:r>
        <w:rPr>
          <w:spacing w:val="1"/>
        </w:rPr>
        <w:t>10.1.2.6.6</w:t>
      </w:r>
      <w:r>
        <w:rPr>
          <w:spacing w:val="34"/>
        </w:rPr>
        <w:t xml:space="preserve">  </w:t>
      </w:r>
      <w:r>
        <w:rPr>
          <w:spacing w:val="1"/>
        </w:rPr>
        <w:t>合格判据</w:t>
      </w:r>
    </w:p>
    <w:p>
      <w:pPr>
        <w:pStyle w:val="BodyText"/>
        <w:spacing w:before="107" w:line="219" w:lineRule="auto"/>
        <w:ind w:left="530"/>
      </w:pPr>
      <w:r>
        <w:rPr>
          <w:spacing w:val="15"/>
        </w:rPr>
        <w:t>各级照度计的疲劳误差应符合6.6的要求</w:t>
      </w:r>
    </w:p>
    <w:p>
      <w:pPr>
        <w:pStyle w:val="BodyText"/>
        <w:spacing w:before="97" w:line="220" w:lineRule="auto"/>
        <w:ind w:left="59"/>
      </w:pPr>
      <w:hyperlink r:id="rId44" w:history="1">
        <w:r>
          <w:rPr>
            <w:spacing w:val="3"/>
          </w:rPr>
          <w:t>10.1.2.7</w:t>
        </w:r>
      </w:hyperlink>
      <w:r>
        <w:rPr>
          <w:spacing w:val="19"/>
        </w:rPr>
        <w:t xml:space="preserve">  </w:t>
      </w:r>
      <w:r>
        <w:rPr>
          <w:spacing w:val="3"/>
        </w:rPr>
        <w:t>红外响应误差</w:t>
      </w:r>
    </w:p>
    <w:p>
      <w:pPr>
        <w:pStyle w:val="BodyText"/>
        <w:spacing w:before="76" w:line="221" w:lineRule="auto"/>
        <w:ind w:left="49"/>
      </w:pPr>
      <w:r>
        <w:rPr>
          <w:spacing w:val="2"/>
        </w:rPr>
        <w:t>10.1.2.7.1</w:t>
      </w:r>
      <w:r>
        <w:rPr>
          <w:spacing w:val="29"/>
        </w:rPr>
        <w:t xml:space="preserve">  </w:t>
      </w:r>
      <w:r>
        <w:rPr>
          <w:spacing w:val="2"/>
        </w:rPr>
        <w:t>试验目的</w:t>
      </w:r>
    </w:p>
    <w:p>
      <w:pPr>
        <w:pStyle w:val="BodyText"/>
        <w:spacing w:before="104" w:line="219" w:lineRule="auto"/>
        <w:ind w:left="530"/>
      </w:pPr>
      <w:r>
        <w:rPr>
          <w:spacing w:val="13"/>
        </w:rPr>
        <w:t>评定照度计的红外响应误差是否满足6.7的要求。</w:t>
      </w:r>
    </w:p>
    <w:p>
      <w:pPr>
        <w:pStyle w:val="BodyText"/>
        <w:spacing w:before="87" w:line="260" w:lineRule="auto"/>
        <w:ind w:left="549" w:right="6785" w:hanging="490"/>
      </w:pPr>
      <w:r>
        <w:rPr>
          <w:spacing w:val="1"/>
        </w:rPr>
        <w:t>10.1.2.7.2</w:t>
      </w:r>
      <w:r>
        <w:rPr>
          <w:spacing w:val="27"/>
        </w:rPr>
        <w:t xml:space="preserve">  </w:t>
      </w:r>
      <w:r>
        <w:rPr>
          <w:spacing w:val="1"/>
        </w:rPr>
        <w:t>试验环境</w:t>
      </w:r>
      <w:r>
        <w:t xml:space="preserve"> </w:t>
      </w:r>
      <w:r>
        <w:rPr>
          <w:spacing w:val="7"/>
        </w:rPr>
        <w:t>同</w:t>
      </w:r>
      <w:hyperlink r:id="rId62" w:history="1">
        <w:r>
          <w:rPr>
            <w:spacing w:val="7"/>
          </w:rPr>
          <w:t>10.1.1.1</w:t>
        </w:r>
      </w:hyperlink>
      <w:r>
        <w:rPr>
          <w:spacing w:val="7"/>
        </w:rPr>
        <w:t>。</w:t>
      </w:r>
    </w:p>
    <w:p>
      <w:pPr>
        <w:pStyle w:val="BodyText"/>
        <w:spacing w:before="103" w:line="221" w:lineRule="auto"/>
        <w:ind w:left="59"/>
      </w:pPr>
      <w:r>
        <w:rPr>
          <w:spacing w:val="1"/>
        </w:rPr>
        <w:t>10.1.2.7.3</w:t>
      </w:r>
      <w:r>
        <w:rPr>
          <w:spacing w:val="27"/>
        </w:rPr>
        <w:t xml:space="preserve">  </w:t>
      </w:r>
      <w:r>
        <w:rPr>
          <w:spacing w:val="1"/>
        </w:rPr>
        <w:t>试验设备</w:t>
      </w:r>
    </w:p>
    <w:p>
      <w:pPr>
        <w:pStyle w:val="BodyText"/>
        <w:spacing w:before="76" w:line="214" w:lineRule="auto"/>
        <w:ind w:left="540"/>
      </w:pPr>
      <w:r>
        <w:rPr>
          <w:spacing w:val="7"/>
        </w:rPr>
        <w:t>同</w:t>
      </w:r>
      <w:r>
        <w:rPr>
          <w:spacing w:val="-51"/>
        </w:rPr>
        <w:t xml:space="preserve"> </w:t>
      </w:r>
      <w:hyperlink r:id="rId63" w:history="1">
        <w:r>
          <w:rPr>
            <w:spacing w:val="7"/>
          </w:rPr>
          <w:t>10.1.1.2</w:t>
        </w:r>
      </w:hyperlink>
      <w:r>
        <w:rPr>
          <w:spacing w:val="7"/>
        </w:rPr>
        <w:t>,红外滤光片 (</w:t>
      </w:r>
      <w:r>
        <w:t>HWBgoo</w:t>
      </w:r>
      <w:r>
        <w:rPr>
          <w:spacing w:val="7"/>
        </w:rPr>
        <w:t>)。</w:t>
      </w:r>
    </w:p>
    <w:p>
      <w:pPr>
        <w:pStyle w:val="BodyText"/>
        <w:spacing w:before="112" w:line="220" w:lineRule="auto"/>
        <w:ind w:left="59"/>
      </w:pPr>
      <w:r>
        <w:rPr>
          <w:spacing w:val="1"/>
        </w:rPr>
        <w:t>10.1.2.7.4</w:t>
      </w:r>
      <w:r>
        <w:rPr>
          <w:spacing w:val="19"/>
        </w:rPr>
        <w:t xml:space="preserve">  </w:t>
      </w:r>
      <w:r>
        <w:rPr>
          <w:spacing w:val="1"/>
        </w:rPr>
        <w:t>试验程序</w:t>
      </w:r>
    </w:p>
    <w:p>
      <w:pPr>
        <w:pStyle w:val="BodyText"/>
        <w:spacing w:before="95" w:line="248" w:lineRule="auto"/>
        <w:ind w:left="49" w:right="31" w:firstLine="470"/>
      </w:pPr>
      <w:r>
        <w:rPr>
          <w:spacing w:val="14"/>
        </w:rPr>
        <w:t>将2856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14"/>
        </w:rPr>
        <w:t>K</w:t>
      </w:r>
      <w:r>
        <w:rPr>
          <w:rFonts w:ascii="Times New Roman" w:eastAsia="Times New Roman" w:hAnsi="Times New Roman" w:cs="Times New Roman"/>
          <w:spacing w:val="39"/>
        </w:rPr>
        <w:t xml:space="preserve"> </w:t>
      </w:r>
      <w:r>
        <w:rPr>
          <w:spacing w:val="14"/>
        </w:rPr>
        <w:t>标准灯与照度计的光度头安装在光度测量装置的滑车上，标准灯与光度</w:t>
      </w:r>
      <w:r>
        <w:t xml:space="preserve"> </w:t>
      </w:r>
      <w:r>
        <w:rPr>
          <w:spacing w:val="9"/>
        </w:rPr>
        <w:t xml:space="preserve">头之间放置红外滤光片 </w:t>
      </w:r>
      <w:r>
        <w:rPr>
          <w:rFonts w:ascii="Times New Roman" w:eastAsia="Times New Roman" w:hAnsi="Times New Roman" w:cs="Times New Roman"/>
          <w:spacing w:val="9"/>
        </w:rPr>
        <w:t>(</w:t>
      </w:r>
      <w:r>
        <w:rPr>
          <w:rFonts w:ascii="Times New Roman" w:eastAsia="Times New Roman" w:hAnsi="Times New Roman" w:cs="Times New Roman"/>
        </w:rPr>
        <w:t>HWBgo</w:t>
      </w:r>
      <w:r>
        <w:rPr>
          <w:rFonts w:ascii="Times New Roman" w:eastAsia="Times New Roman" w:hAnsi="Times New Roman" w:cs="Times New Roman"/>
          <w:spacing w:val="9"/>
        </w:rPr>
        <w:t xml:space="preserve">),     </w:t>
      </w:r>
      <w:r>
        <w:rPr>
          <w:spacing w:val="9"/>
        </w:rPr>
        <w:t>固定标准灯与光度头的位置，测定有无滤光片两种</w:t>
      </w:r>
    </w:p>
    <w:p>
      <w:pPr>
        <w:pStyle w:val="BodyText"/>
        <w:spacing w:before="132" w:line="219" w:lineRule="auto"/>
        <w:ind w:left="59"/>
      </w:pPr>
      <w:r>
        <w:rPr>
          <w:spacing w:val="12"/>
        </w:rPr>
        <w:t>情况下照度计的响应之比(因有无滤光片时显示值相差很大，应及时换挡)。</w:t>
      </w:r>
    </w:p>
    <w:p>
      <w:pPr>
        <w:pStyle w:val="BodyText"/>
        <w:spacing w:before="87" w:line="219" w:lineRule="auto"/>
        <w:ind w:left="59"/>
      </w:pPr>
      <w:r>
        <w:t>10.1.2.7.5</w:t>
      </w:r>
      <w:r>
        <w:rPr>
          <w:spacing w:val="33"/>
        </w:rPr>
        <w:t xml:space="preserve">  </w:t>
      </w:r>
      <w:r>
        <w:t>数据处理</w:t>
      </w:r>
    </w:p>
    <w:p>
      <w:pPr>
        <w:spacing w:line="61" w:lineRule="exact"/>
      </w:pPr>
    </w:p>
    <w:p>
      <w:pPr>
        <w:spacing w:line="61" w:lineRule="exact"/>
        <w:sectPr>
          <w:headerReference w:type="default" r:id="rId106"/>
          <w:footerReference w:type="default" r:id="rId107"/>
          <w:pgSz w:w="11900" w:h="16840"/>
          <w:pgMar w:top="1750" w:right="1264" w:bottom="1022" w:left="1420" w:header="1508" w:footer="863" w:gutter="0"/>
          <w:pgNumType w:start="29"/>
          <w:cols w:num="1" w:space="708" w:equalWidth="0">
            <w:col w:w="9216" w:space="0"/>
          </w:cols>
        </w:sectPr>
      </w:pPr>
    </w:p>
    <w:p>
      <w:pPr>
        <w:pStyle w:val="BodyText"/>
        <w:spacing w:before="47" w:line="219" w:lineRule="auto"/>
        <w:ind w:left="530"/>
      </w:pPr>
      <w:r>
        <w:rPr>
          <w:spacing w:val="24"/>
        </w:rPr>
        <w:t>按式(11)计算红外响应误差r:</w:t>
      </w:r>
    </w:p>
    <w:p>
      <w:pPr>
        <w:spacing w:before="57" w:line="580" w:lineRule="exact"/>
        <w:ind w:firstLine="3260"/>
      </w:pPr>
      <w:r>
        <w:rPr>
          <w:position w:val="-11"/>
        </w:rPr>
        <w:drawing>
          <wp:inline distT="0" distB="0" distL="0" distR="0">
            <wp:extent cx="1714494" cy="368280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1714494" cy="36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30" w:line="220" w:lineRule="auto"/>
        <w:ind w:left="530"/>
      </w:pPr>
      <w:r>
        <w:rPr>
          <w:spacing w:val="-6"/>
        </w:rPr>
        <w:t>式中：</w:t>
      </w:r>
    </w:p>
    <w:p>
      <w:pPr>
        <w:pStyle w:val="BodyText"/>
        <w:spacing w:before="81" w:line="275" w:lineRule="auto"/>
        <w:ind w:left="509" w:right="529" w:firstLine="10"/>
        <w:jc w:val="both"/>
      </w:pPr>
      <w:r>
        <w:rPr>
          <w:rFonts w:ascii="Times New Roman" w:eastAsia="Times New Roman" w:hAnsi="Times New Roman" w:cs="Times New Roman"/>
          <w:spacing w:val="17"/>
        </w:rPr>
        <w:t>Y(</w:t>
      </w:r>
      <w:r>
        <w:rPr>
          <w:rFonts w:ascii="Times New Roman" w:eastAsia="Times New Roman" w:hAnsi="Times New Roman" w:cs="Times New Roman"/>
        </w:rPr>
        <w:t>IR</w:t>
      </w:r>
      <w:r>
        <w:rPr>
          <w:rFonts w:ascii="Times New Roman" w:eastAsia="Times New Roman" w:hAnsi="Times New Roman" w:cs="Times New Roman"/>
          <w:spacing w:val="17"/>
        </w:rPr>
        <w:t>)</w:t>
      </w:r>
      <w:r>
        <w:rPr>
          <w:rFonts w:ascii="Times New Roman" w:eastAsia="Times New Roman" w:hAnsi="Times New Roman" w:cs="Times New Roman"/>
          <w:spacing w:val="36"/>
        </w:rPr>
        <w:t xml:space="preserve"> </w:t>
      </w:r>
      <w:r>
        <w:rPr>
          <w:rFonts w:ascii="Times New Roman" w:eastAsia="Times New Roman" w:hAnsi="Times New Roman" w:cs="Times New Roman"/>
          <w:strike/>
          <w:spacing w:val="3"/>
        </w:rPr>
        <w:t xml:space="preserve">        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spacing w:val="17"/>
        </w:rPr>
        <w:t>用2856 K 标准灯(加红外滤光片)照射</w:t>
      </w:r>
      <w:r>
        <w:rPr>
          <w:spacing w:val="16"/>
        </w:rPr>
        <w:t>光度头的显示值；</w:t>
      </w:r>
      <w:r>
        <w:t xml:space="preserve"> </w:t>
      </w:r>
      <w:r>
        <w:rPr>
          <w:rFonts w:ascii="Times New Roman" w:eastAsia="Times New Roman" w:hAnsi="Times New Roman" w:cs="Times New Roman"/>
          <w:spacing w:val="17"/>
        </w:rPr>
        <w:t xml:space="preserve">Y       </w:t>
      </w:r>
      <w:r>
        <w:rPr>
          <w:rFonts w:ascii="Times New Roman" w:eastAsia="Times New Roman" w:hAnsi="Times New Roman" w:cs="Times New Roman"/>
          <w:spacing w:val="17"/>
          <w:u w:val="single" w:color="auto"/>
        </w:rPr>
        <w:t xml:space="preserve">        </w:t>
      </w:r>
      <w:r>
        <w:rPr>
          <w:rFonts w:ascii="Times New Roman" w:eastAsia="Times New Roman" w:hAnsi="Times New Roman" w:cs="Times New Roman"/>
          <w:spacing w:val="-57"/>
        </w:rPr>
        <w:t xml:space="preserve"> </w:t>
      </w:r>
      <w:r>
        <w:rPr>
          <w:spacing w:val="17"/>
        </w:rPr>
        <w:t>用28</w:t>
      </w:r>
      <w:r>
        <w:rPr>
          <w:spacing w:val="16"/>
        </w:rPr>
        <w:t>56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16"/>
        </w:rPr>
        <w:t xml:space="preserve">K </w:t>
      </w:r>
      <w:r>
        <w:rPr>
          <w:spacing w:val="16"/>
        </w:rPr>
        <w:t>标准灯(无红外滤光片)照射光度头的显示值；</w:t>
      </w:r>
      <w:r>
        <w:t xml:space="preserve"> </w:t>
      </w:r>
      <w:r>
        <w:rPr>
          <w:rFonts w:ascii="Times New Roman" w:eastAsia="Times New Roman" w:hAnsi="Times New Roman" w:cs="Times New Roman"/>
          <w:spacing w:val="7"/>
        </w:rPr>
        <w:t>r₀        ——2856    K</w:t>
      </w:r>
      <w:r>
        <w:rPr>
          <w:spacing w:val="7"/>
        </w:rPr>
        <w:t>标准灯施照下的红外滤光片的积分透射比：</w:t>
      </w:r>
    </w:p>
    <w:p>
      <w:pPr>
        <w:spacing w:before="77" w:line="1080" w:lineRule="exact"/>
        <w:ind w:firstLine="3179"/>
      </w:pPr>
      <w:r>
        <w:rPr>
          <w:position w:val="-21"/>
        </w:rPr>
        <w:drawing>
          <wp:inline distT="0" distB="0" distL="0" distR="0">
            <wp:extent cx="1828824" cy="685874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1828824" cy="685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41" w:line="184" w:lineRule="auto"/>
        <w:ind w:left="540"/>
      </w:pPr>
      <w:r>
        <w:rPr>
          <w:spacing w:val="-4"/>
        </w:rPr>
        <w:t>式中：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60" w:lineRule="auto"/>
        <w:rPr>
          <w:rFonts w:ascii="Arial"/>
          <w:sz w:val="21"/>
        </w:rPr>
      </w:pPr>
    </w:p>
    <w:p>
      <w:pPr>
        <w:pStyle w:val="BodyText"/>
        <w:spacing w:before="76" w:line="222" w:lineRule="auto"/>
        <w:ind w:left="234"/>
      </w:pPr>
      <w:r>
        <w:rPr>
          <w:spacing w:val="-10"/>
        </w:rPr>
        <w:t>(11)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76" w:line="222" w:lineRule="auto"/>
        <w:ind w:left="234"/>
      </w:pPr>
      <w:r>
        <w:rPr>
          <w:spacing w:val="-10"/>
        </w:rPr>
        <w:t>(12)</w:t>
      </w:r>
    </w:p>
    <w:p>
      <w:pPr>
        <w:spacing w:line="222" w:lineRule="auto"/>
        <w:sectPr>
          <w:headerReference w:type="default" r:id="rId110"/>
          <w:footerReference w:type="default" r:id="rId111"/>
          <w:type w:val="continuous"/>
          <w:pgSz w:w="11900" w:h="16840"/>
          <w:pgMar w:top="1750" w:right="1264" w:bottom="1022" w:left="1420" w:header="1508" w:footer="863" w:gutter="0"/>
          <w:pgNumType w:start="30"/>
          <w:cols w:num="2" w:space="708" w:equalWidth="0">
            <w:col w:w="8396" w:space="100"/>
            <w:col w:w="720" w:space="0"/>
          </w:cols>
        </w:sectPr>
      </w:pPr>
    </w:p>
    <w:p>
      <w:pPr>
        <w:pStyle w:val="BodyText"/>
        <w:spacing w:before="130" w:line="219" w:lineRule="auto"/>
        <w:ind w:left="540"/>
      </w:pPr>
      <w:r>
        <w:rPr>
          <w:spacing w:val="2"/>
        </w:rPr>
        <w:t>r(λ)  ——红外滤光片的光谱透射比</w:t>
      </w:r>
    </w:p>
    <w:p>
      <w:pPr>
        <w:pStyle w:val="BodyText"/>
        <w:spacing w:before="81" w:line="379" w:lineRule="exact"/>
        <w:ind w:left="550"/>
      </w:pPr>
      <w:r>
        <w:rPr>
          <w:rFonts w:ascii="Times New Roman" w:eastAsia="Times New Roman" w:hAnsi="Times New Roman" w:cs="Times New Roman"/>
          <w:spacing w:val="9"/>
          <w:position w:val="11"/>
        </w:rPr>
        <w:t xml:space="preserve">P(λ)A  </w:t>
      </w:r>
      <w:r>
        <w:rPr>
          <w:rFonts w:ascii="Times New Roman" w:eastAsia="Times New Roman" w:hAnsi="Times New Roman" w:cs="Times New Roman"/>
          <w:strike/>
          <w:spacing w:val="9"/>
          <w:position w:val="11"/>
        </w:rPr>
        <w:t xml:space="preserve">        </w:t>
      </w:r>
      <w:r>
        <w:rPr>
          <w:rFonts w:ascii="Times New Roman" w:eastAsia="Times New Roman" w:hAnsi="Times New Roman" w:cs="Times New Roman"/>
          <w:spacing w:val="-33"/>
          <w:position w:val="11"/>
        </w:rPr>
        <w:t xml:space="preserve"> </w:t>
      </w:r>
      <w:r>
        <w:rPr>
          <w:spacing w:val="9"/>
          <w:position w:val="11"/>
        </w:rPr>
        <w:t>色温为2856</w:t>
      </w:r>
      <w:r>
        <w:rPr>
          <w:spacing w:val="-46"/>
          <w:position w:val="11"/>
        </w:rPr>
        <w:t xml:space="preserve"> </w:t>
      </w:r>
      <w:r>
        <w:rPr>
          <w:rFonts w:ascii="Times New Roman" w:eastAsia="Times New Roman" w:hAnsi="Times New Roman" w:cs="Times New Roman"/>
          <w:spacing w:val="9"/>
          <w:position w:val="11"/>
        </w:rPr>
        <w:t xml:space="preserve">K </w:t>
      </w:r>
      <w:r>
        <w:rPr>
          <w:spacing w:val="9"/>
          <w:position w:val="11"/>
        </w:rPr>
        <w:t>标准灯的相对光谱功率分布。</w:t>
      </w:r>
    </w:p>
    <w:p>
      <w:pPr>
        <w:pStyle w:val="BodyText"/>
        <w:spacing w:line="212" w:lineRule="auto"/>
        <w:ind w:left="540"/>
        <w:sectPr>
          <w:headerReference w:type="default" r:id="rId112"/>
          <w:footerReference w:type="default" r:id="rId113"/>
          <w:type w:val="continuous"/>
          <w:pgSz w:w="11900" w:h="16840"/>
          <w:pgMar w:top="1750" w:right="1264" w:bottom="1022" w:left="1420" w:header="1508" w:footer="863" w:gutter="0"/>
          <w:pgNumType w:start="31"/>
          <w:cols w:num="1" w:space="708" w:equalWidth="0">
            <w:col w:w="9216" w:space="0"/>
          </w:cols>
        </w:sectPr>
      </w:pPr>
      <w:r>
        <w:rPr>
          <w:spacing w:val="8"/>
        </w:rPr>
        <w:t>红外滤光片</w:t>
      </w:r>
      <w:r>
        <w:rPr>
          <w:spacing w:val="-13"/>
        </w:rPr>
        <w:t xml:space="preserve"> </w:t>
      </w:r>
      <w:r>
        <w:rPr>
          <w:rFonts w:ascii="Times New Roman" w:eastAsia="Times New Roman" w:hAnsi="Times New Roman" w:cs="Times New Roman"/>
        </w:rPr>
        <w:t>HWBgo</w:t>
      </w:r>
      <w:r>
        <w:rPr>
          <w:rFonts w:ascii="Times New Roman" w:eastAsia="Times New Roman" w:hAnsi="Times New Roman" w:cs="Times New Roman"/>
          <w:spacing w:val="8"/>
        </w:rPr>
        <w:t>₀</w:t>
      </w:r>
      <w:r>
        <w:rPr>
          <w:spacing w:val="8"/>
        </w:rPr>
        <w:t>的推荐数据，见表13。</w:t>
      </w:r>
    </w:p>
    <w:p>
      <w:pPr>
        <w:spacing w:before="76" w:line="212" w:lineRule="auto"/>
        <w:ind w:left="291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-18"/>
          <w:sz w:val="23"/>
          <w:szCs w:val="23"/>
        </w:rPr>
        <w:t>表13</w:t>
      </w:r>
      <w:r>
        <w:rPr>
          <w:rFonts w:ascii="SimHei" w:eastAsia="SimHei" w:hAnsi="SimHei" w:cs="SimHei"/>
          <w:spacing w:val="88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18"/>
          <w:sz w:val="23"/>
          <w:szCs w:val="23"/>
        </w:rPr>
        <w:t>红外滤光片</w:t>
      </w:r>
      <w:r>
        <w:rPr>
          <w:rFonts w:ascii="SimHei" w:eastAsia="SimHei" w:hAnsi="SimHei" w:cs="SimHei"/>
          <w:spacing w:val="-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8"/>
          <w:sz w:val="23"/>
          <w:szCs w:val="23"/>
        </w:rPr>
        <w:t>HWBgo</w:t>
      </w:r>
      <w:r>
        <w:rPr>
          <w:rFonts w:ascii="SimHei" w:eastAsia="SimHei" w:hAnsi="SimHei" w:cs="SimHei"/>
          <w:spacing w:val="-18"/>
          <w:sz w:val="23"/>
          <w:szCs w:val="23"/>
        </w:rPr>
        <w:t>的推荐数据</w:t>
      </w:r>
    </w:p>
    <w:p>
      <w:pPr>
        <w:spacing w:line="108" w:lineRule="exact"/>
      </w:pPr>
    </w:p>
    <w:tbl>
      <w:tblPr>
        <w:tblStyle w:val="TableNormal9"/>
        <w:tblW w:w="9150" w:type="dxa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180"/>
        <w:gridCol w:w="4970"/>
      </w:tblGrid>
      <w:tr>
        <w:tblPrEx>
          <w:tblW w:w="9150" w:type="dxa"/>
          <w:tblInd w:w="5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1"/>
        </w:trPr>
        <w:tc>
          <w:tcPr>
            <w:tcW w:w="4180" w:type="dxa"/>
            <w:vAlign w:val="top"/>
          </w:tcPr>
          <w:p>
            <w:pPr>
              <w:pStyle w:val="TableText"/>
              <w:spacing w:before="104" w:line="220" w:lineRule="auto"/>
              <w:ind w:left="124"/>
            </w:pPr>
            <w:r>
              <w:rPr>
                <w:spacing w:val="-2"/>
              </w:rPr>
              <w:t>厚度：3 mm</w:t>
            </w:r>
          </w:p>
        </w:tc>
        <w:tc>
          <w:tcPr>
            <w:tcW w:w="4970" w:type="dxa"/>
            <w:vAlign w:val="top"/>
          </w:tcPr>
          <w:p>
            <w:pPr>
              <w:pStyle w:val="TableText"/>
              <w:spacing w:before="102" w:line="219" w:lineRule="auto"/>
              <w:ind w:left="124"/>
            </w:pPr>
            <w:r>
              <w:rPr>
                <w:spacing w:val="1"/>
              </w:rPr>
              <w:t>最小尺寸：φ40</w:t>
            </w:r>
          </w:p>
        </w:tc>
      </w:tr>
      <w:tr>
        <w:tblPrEx>
          <w:tblW w:w="9150" w:type="dxa"/>
          <w:tblInd w:w="59" w:type="dxa"/>
          <w:tblLayout w:type="fixed"/>
        </w:tblPrEx>
        <w:trPr>
          <w:trHeight w:val="407"/>
        </w:trPr>
        <w:tc>
          <w:tcPr>
            <w:tcW w:w="4180" w:type="dxa"/>
            <w:vAlign w:val="top"/>
          </w:tcPr>
          <w:p>
            <w:pPr>
              <w:pStyle w:val="TableText"/>
              <w:spacing w:before="103" w:line="220" w:lineRule="auto"/>
              <w:ind w:left="124"/>
            </w:pPr>
            <w:r>
              <w:rPr>
                <w:spacing w:val="-1"/>
              </w:rPr>
              <w:t>界限波长：λ;=(800士10)nm</w:t>
            </w:r>
          </w:p>
        </w:tc>
        <w:tc>
          <w:tcPr>
            <w:tcW w:w="4970" w:type="dxa"/>
            <w:vAlign w:val="top"/>
          </w:tcPr>
          <w:p>
            <w:pPr>
              <w:pStyle w:val="TableText"/>
              <w:spacing w:before="102" w:line="219" w:lineRule="auto"/>
              <w:ind w:left="124"/>
            </w:pPr>
            <w:r>
              <w:rPr>
                <w:spacing w:val="1"/>
              </w:rPr>
              <w:t>斜率：K≥0.5</w:t>
            </w:r>
          </w:p>
        </w:tc>
      </w:tr>
      <w:tr>
        <w:tblPrEx>
          <w:tblW w:w="9150" w:type="dxa"/>
          <w:tblInd w:w="59" w:type="dxa"/>
          <w:tblLayout w:type="fixed"/>
        </w:tblPrEx>
        <w:trPr>
          <w:trHeight w:val="411"/>
        </w:trPr>
        <w:tc>
          <w:tcPr>
            <w:tcW w:w="4180" w:type="dxa"/>
            <w:vAlign w:val="top"/>
          </w:tcPr>
          <w:p>
            <w:pPr>
              <w:pStyle w:val="TableText"/>
              <w:spacing w:before="104" w:line="219" w:lineRule="auto"/>
              <w:ind w:left="124"/>
            </w:pPr>
            <w:r>
              <w:rPr>
                <w:spacing w:val="6"/>
              </w:rPr>
              <w:t>峰值波长：λ</w:t>
            </w:r>
            <w:r>
              <w:rPr>
                <w:rFonts w:ascii="Calibri" w:eastAsia="Calibri" w:hAnsi="Calibri" w:cs="Calibri"/>
                <w:spacing w:val="6"/>
              </w:rPr>
              <w:t>₀</w:t>
            </w:r>
            <w:r>
              <w:rPr>
                <w:spacing w:val="6"/>
              </w:rPr>
              <w:t>=900</w:t>
            </w:r>
            <w:r>
              <w:rPr>
                <w:spacing w:val="35"/>
              </w:rPr>
              <w:t xml:space="preserve"> </w:t>
            </w:r>
            <w:r>
              <w:t>nm</w:t>
            </w:r>
          </w:p>
        </w:tc>
        <w:tc>
          <w:tcPr>
            <w:tcW w:w="4970" w:type="dxa"/>
            <w:vAlign w:val="top"/>
          </w:tcPr>
          <w:p>
            <w:pPr>
              <w:pStyle w:val="TableText"/>
              <w:spacing w:before="105" w:line="219" w:lineRule="auto"/>
              <w:ind w:left="124"/>
            </w:pPr>
            <w:r>
              <w:rPr>
                <w:spacing w:val="-1"/>
              </w:rPr>
              <w:t>其光谱透射比r(λo)≥83.6%</w:t>
            </w:r>
          </w:p>
        </w:tc>
      </w:tr>
    </w:tbl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75" w:line="184" w:lineRule="auto"/>
        <w:ind w:left="79"/>
      </w:pPr>
      <w:r>
        <w:rPr>
          <w:spacing w:val="1"/>
        </w:rPr>
        <w:t>10.1.2.7.6</w:t>
      </w:r>
      <w:r>
        <w:rPr>
          <w:spacing w:val="34"/>
        </w:rPr>
        <w:t xml:space="preserve">  </w:t>
      </w:r>
      <w:r>
        <w:rPr>
          <w:spacing w:val="1"/>
        </w:rPr>
        <w:t>合格判据</w:t>
      </w:r>
    </w:p>
    <w:p>
      <w:pPr>
        <w:spacing w:line="184" w:lineRule="auto"/>
        <w:sectPr>
          <w:headerReference w:type="default" r:id="rId114"/>
          <w:footerReference w:type="default" r:id="rId115"/>
          <w:type w:val="nextPage"/>
          <w:pgSz w:w="11900" w:h="16840"/>
          <w:pgMar w:top="1750" w:right="1264" w:bottom="1022" w:left="1420" w:header="1508" w:footer="863" w:gutter="0"/>
          <w:pgNumType w:start="32"/>
          <w:cols w:num="1" w:space="708" w:equalWidth="0">
            <w:col w:w="9216" w:space="0"/>
          </w:cols>
          <w:titlePg w:val="0"/>
        </w:sectPr>
      </w:pPr>
    </w:p>
    <w:p>
      <w:pPr>
        <w:pStyle w:val="BodyText"/>
        <w:spacing w:before="239" w:line="219" w:lineRule="auto"/>
        <w:ind w:left="515"/>
      </w:pPr>
      <w:r>
        <w:rPr>
          <w:spacing w:val="12"/>
        </w:rPr>
        <w:t>各级照度计的红外响应误差应符合6.7的要求。</w:t>
      </w:r>
    </w:p>
    <w:p>
      <w:pPr>
        <w:pStyle w:val="BodyText"/>
        <w:spacing w:before="97" w:line="219" w:lineRule="auto"/>
        <w:ind w:left="45"/>
      </w:pPr>
      <w:hyperlink r:id="rId45" w:history="1">
        <w:r>
          <w:rPr>
            <w:spacing w:val="3"/>
          </w:rPr>
          <w:t>10.1.2.8</w:t>
        </w:r>
      </w:hyperlink>
      <w:r>
        <w:rPr>
          <w:spacing w:val="19"/>
        </w:rPr>
        <w:t xml:space="preserve">  </w:t>
      </w:r>
      <w:r>
        <w:rPr>
          <w:spacing w:val="3"/>
        </w:rPr>
        <w:t>紫外响应误差</w:t>
      </w:r>
    </w:p>
    <w:p>
      <w:pPr>
        <w:pStyle w:val="BodyText"/>
        <w:spacing w:before="78" w:line="221" w:lineRule="auto"/>
        <w:ind w:left="55"/>
      </w:pPr>
      <w:r>
        <w:rPr>
          <w:spacing w:val="2"/>
        </w:rPr>
        <w:t>10.1.2.8.1  试验目的</w:t>
      </w:r>
    </w:p>
    <w:p>
      <w:pPr>
        <w:pStyle w:val="BodyText"/>
        <w:spacing w:before="93" w:line="219" w:lineRule="auto"/>
        <w:ind w:left="495"/>
      </w:pPr>
      <w:r>
        <w:rPr>
          <w:spacing w:val="15"/>
        </w:rPr>
        <w:t>评定照度计的紫外响应误差是否满足6.8的要求</w:t>
      </w:r>
    </w:p>
    <w:p>
      <w:pPr>
        <w:pStyle w:val="BodyText"/>
        <w:spacing w:before="77" w:line="260" w:lineRule="auto"/>
        <w:ind w:left="514" w:right="6770" w:hanging="459"/>
      </w:pPr>
      <w:r>
        <w:t>10.1.2.8.2</w:t>
      </w:r>
      <w:r>
        <w:rPr>
          <w:spacing w:val="19"/>
        </w:rPr>
        <w:t xml:space="preserve">  </w:t>
      </w:r>
      <w:r>
        <w:t xml:space="preserve">试验环境 </w:t>
      </w:r>
      <w:r>
        <w:rPr>
          <w:spacing w:val="8"/>
        </w:rPr>
        <w:t>同</w:t>
      </w:r>
      <w:hyperlink r:id="rId62" w:history="1">
        <w:r>
          <w:rPr>
            <w:spacing w:val="8"/>
          </w:rPr>
          <w:t>10.1.1.1</w:t>
        </w:r>
      </w:hyperlink>
      <w:r>
        <w:rPr>
          <w:spacing w:val="8"/>
        </w:rPr>
        <w:t>。</w:t>
      </w:r>
    </w:p>
    <w:p>
      <w:pPr>
        <w:pStyle w:val="BodyText"/>
        <w:spacing w:before="103" w:line="221" w:lineRule="auto"/>
        <w:ind w:left="55"/>
      </w:pPr>
      <w:r>
        <w:rPr>
          <w:spacing w:val="1"/>
        </w:rPr>
        <w:t>10.1.2.8.3</w:t>
      </w:r>
      <w:r>
        <w:rPr>
          <w:spacing w:val="12"/>
        </w:rPr>
        <w:t xml:space="preserve">  </w:t>
      </w:r>
      <w:r>
        <w:rPr>
          <w:spacing w:val="1"/>
        </w:rPr>
        <w:t>试验设备</w:t>
      </w:r>
    </w:p>
    <w:p>
      <w:pPr>
        <w:pStyle w:val="BodyText"/>
        <w:spacing w:before="57" w:line="212" w:lineRule="auto"/>
        <w:ind w:left="515"/>
      </w:pPr>
      <w:r>
        <w:rPr>
          <w:spacing w:val="12"/>
        </w:rPr>
        <w:t>同</w:t>
      </w:r>
      <w:hyperlink r:id="rId63" w:history="1">
        <w:r>
          <w:rPr>
            <w:spacing w:val="12"/>
          </w:rPr>
          <w:t>10.1.1.2</w:t>
        </w:r>
      </w:hyperlink>
      <w:r>
        <w:rPr>
          <w:spacing w:val="12"/>
        </w:rPr>
        <w:t xml:space="preserve">,将标准灯换成黑光灯，紫外滤光片 </w:t>
      </w:r>
      <w:r>
        <w:rPr>
          <w:rFonts w:ascii="Times New Roman" w:eastAsia="Times New Roman" w:hAnsi="Times New Roman" w:cs="Times New Roman"/>
          <w:spacing w:val="12"/>
        </w:rPr>
        <w:t>(</w:t>
      </w:r>
      <w:r>
        <w:rPr>
          <w:rFonts w:ascii="Times New Roman" w:eastAsia="Times New Roman" w:hAnsi="Times New Roman" w:cs="Times New Roman"/>
        </w:rPr>
        <w:t>ZWB</w:t>
      </w:r>
      <w:r>
        <w:rPr>
          <w:rFonts w:ascii="Times New Roman" w:eastAsia="Times New Roman" w:hAnsi="Times New Roman" w:cs="Times New Roman"/>
          <w:spacing w:val="12"/>
        </w:rPr>
        <w:t>₁</w:t>
      </w:r>
      <w:r>
        <w:rPr>
          <w:rFonts w:ascii="Times New Roman" w:eastAsia="Times New Roman" w:hAnsi="Times New Roman" w:cs="Times New Roman"/>
          <w:spacing w:val="11"/>
        </w:rPr>
        <w:t>)</w:t>
      </w:r>
      <w:r>
        <w:rPr>
          <w:spacing w:val="11"/>
        </w:rPr>
        <w:t>。</w:t>
      </w:r>
    </w:p>
    <w:p>
      <w:pPr>
        <w:pStyle w:val="BodyText"/>
        <w:spacing w:before="133" w:line="220" w:lineRule="auto"/>
        <w:ind w:left="45"/>
      </w:pPr>
      <w:r>
        <w:rPr>
          <w:spacing w:val="1"/>
        </w:rPr>
        <w:t>10.1.2.8.4</w:t>
      </w:r>
      <w:r>
        <w:rPr>
          <w:spacing w:val="24"/>
        </w:rPr>
        <w:t xml:space="preserve">  </w:t>
      </w:r>
      <w:r>
        <w:rPr>
          <w:spacing w:val="1"/>
        </w:rPr>
        <w:t>试验程序</w:t>
      </w:r>
    </w:p>
    <w:p>
      <w:pPr>
        <w:pStyle w:val="BodyText"/>
        <w:spacing w:before="85" w:line="244" w:lineRule="auto"/>
        <w:ind w:left="35" w:right="12" w:firstLine="479"/>
      </w:pPr>
      <w:r>
        <w:rPr>
          <w:spacing w:val="10"/>
        </w:rPr>
        <w:t>将标准灯换成黑光灯，与照度计的光度头安装在光度测</w:t>
      </w:r>
      <w:r>
        <w:rPr>
          <w:spacing w:val="9"/>
        </w:rPr>
        <w:t>量装置的滑车上，黑光灯与</w:t>
      </w:r>
      <w:r>
        <w:t xml:space="preserve"> </w:t>
      </w:r>
      <w:r>
        <w:rPr>
          <w:spacing w:val="13"/>
        </w:rPr>
        <w:t xml:space="preserve">光度头之间放置紫外滤光片 </w:t>
      </w:r>
      <w:r>
        <w:rPr>
          <w:rFonts w:ascii="Times New Roman" w:eastAsia="Times New Roman" w:hAnsi="Times New Roman" w:cs="Times New Roman"/>
          <w:spacing w:val="13"/>
        </w:rPr>
        <w:t>(</w:t>
      </w:r>
      <w:r>
        <w:rPr>
          <w:rFonts w:ascii="Times New Roman" w:eastAsia="Times New Roman" w:hAnsi="Times New Roman" w:cs="Times New Roman"/>
        </w:rPr>
        <w:t>ZWB</w:t>
      </w:r>
      <w:r>
        <w:rPr>
          <w:rFonts w:ascii="Times New Roman" w:eastAsia="Times New Roman" w:hAnsi="Times New Roman" w:cs="Times New Roman"/>
          <w:spacing w:val="13"/>
        </w:rPr>
        <w:t xml:space="preserve">₁),     </w:t>
      </w:r>
      <w:r>
        <w:rPr>
          <w:spacing w:val="13"/>
        </w:rPr>
        <w:t>固定标准灯与光度头的位置，测定有无滤光片</w:t>
      </w:r>
    </w:p>
    <w:p>
      <w:pPr>
        <w:pStyle w:val="BodyText"/>
        <w:spacing w:before="132" w:line="219" w:lineRule="auto"/>
        <w:ind w:left="45"/>
      </w:pPr>
      <w:r>
        <w:rPr>
          <w:spacing w:val="11"/>
        </w:rPr>
        <w:t>两种情况下照度计的响应比(因有无滤光片时显示值相差很大，应及时换挡)。</w:t>
      </w:r>
    </w:p>
    <w:p>
      <w:pPr>
        <w:pStyle w:val="BodyText"/>
        <w:spacing w:before="77" w:line="219" w:lineRule="auto"/>
        <w:ind w:left="55"/>
      </w:pPr>
      <w:r>
        <w:rPr>
          <w:spacing w:val="1"/>
        </w:rPr>
        <w:t>10.1.2.8.5</w:t>
      </w:r>
      <w:r>
        <w:rPr>
          <w:spacing w:val="16"/>
        </w:rPr>
        <w:t xml:space="preserve">  </w:t>
      </w:r>
      <w:r>
        <w:rPr>
          <w:spacing w:val="1"/>
        </w:rPr>
        <w:t>数据处理</w:t>
      </w:r>
    </w:p>
    <w:p>
      <w:pPr>
        <w:spacing w:line="51" w:lineRule="exact"/>
      </w:pPr>
    </w:p>
    <w:p>
      <w:pPr>
        <w:spacing w:line="51" w:lineRule="exact"/>
        <w:sectPr>
          <w:headerReference w:type="default" r:id="rId116"/>
          <w:footerReference w:type="default" r:id="rId117"/>
          <w:pgSz w:w="11900" w:h="16840"/>
          <w:pgMar w:top="1779" w:right="1430" w:bottom="1065" w:left="1304" w:header="1514" w:footer="916" w:gutter="0"/>
          <w:pgNumType w:start="33"/>
          <w:cols w:num="1" w:space="708" w:equalWidth="0">
            <w:col w:w="9166" w:space="0"/>
          </w:cols>
        </w:sectPr>
      </w:pPr>
    </w:p>
    <w:p>
      <w:pPr>
        <w:pStyle w:val="BodyText"/>
        <w:spacing w:before="46" w:line="219" w:lineRule="auto"/>
        <w:ind w:left="515"/>
        <w:rPr>
          <w:rFonts w:ascii="Times New Roman" w:eastAsia="Times New Roman" w:hAnsi="Times New Roman" w:cs="Times New Roman"/>
        </w:rPr>
      </w:pPr>
      <w:r>
        <w:rPr>
          <w:spacing w:val="24"/>
        </w:rPr>
        <w:t>按式(13)计算紫外响应误差</w:t>
      </w:r>
      <w:r>
        <w:rPr>
          <w:rFonts w:ascii="Times New Roman" w:eastAsia="Times New Roman" w:hAnsi="Times New Roman" w:cs="Times New Roman"/>
          <w:spacing w:val="24"/>
        </w:rPr>
        <w:t>u:</w:t>
      </w:r>
    </w:p>
    <w:p>
      <w:pPr>
        <w:spacing w:before="58" w:line="580" w:lineRule="exact"/>
        <w:ind w:firstLine="3135"/>
      </w:pPr>
      <w:r>
        <w:rPr>
          <w:position w:val="-11"/>
        </w:rPr>
        <w:drawing>
          <wp:inline distT="0" distB="0" distL="0" distR="0">
            <wp:extent cx="1835171" cy="368280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835171" cy="36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0" w:line="220" w:lineRule="auto"/>
        <w:ind w:left="505"/>
      </w:pPr>
      <w:r>
        <w:rPr>
          <w:spacing w:val="-6"/>
        </w:rPr>
        <w:t>式中：</w:t>
      </w:r>
    </w:p>
    <w:p>
      <w:pPr>
        <w:pStyle w:val="BodyText"/>
        <w:spacing w:before="70" w:line="272" w:lineRule="auto"/>
        <w:ind w:left="485" w:right="1334" w:firstLine="19"/>
        <w:jc w:val="both"/>
      </w:pPr>
      <w:r>
        <w:rPr>
          <w:rFonts w:ascii="Times New Roman" w:eastAsia="Times New Roman" w:hAnsi="Times New Roman" w:cs="Times New Roman"/>
          <w:spacing w:val="15"/>
        </w:rPr>
        <w:t>Y(</w:t>
      </w:r>
      <w:r>
        <w:rPr>
          <w:rFonts w:ascii="Times New Roman" w:eastAsia="Times New Roman" w:hAnsi="Times New Roman" w:cs="Times New Roman"/>
        </w:rPr>
        <w:t>UV</w:t>
      </w:r>
      <w:r>
        <w:rPr>
          <w:rFonts w:ascii="Times New Roman" w:eastAsia="Times New Roman" w:hAnsi="Times New Roman" w:cs="Times New Roman"/>
          <w:spacing w:val="15"/>
        </w:rPr>
        <w:t xml:space="preserve">)——  </w:t>
      </w:r>
      <w:r>
        <w:rPr>
          <w:spacing w:val="15"/>
        </w:rPr>
        <w:t>用黑光灯(加紫外滤光片)照射光度头的显示值；</w:t>
      </w:r>
      <w:r>
        <w:rPr>
          <w:spacing w:val="12"/>
        </w:rPr>
        <w:t xml:space="preserve"> </w:t>
      </w:r>
      <w:r>
        <w:rPr>
          <w:rFonts w:ascii="Times New Roman" w:eastAsia="Times New Roman" w:hAnsi="Times New Roman" w:cs="Times New Roman"/>
          <w:spacing w:val="14"/>
        </w:rPr>
        <w:t xml:space="preserve">Y         </w:t>
      </w:r>
      <w:r>
        <w:rPr>
          <w:spacing w:val="14"/>
        </w:rPr>
        <w:t>——</w:t>
      </w:r>
      <w:r>
        <w:rPr>
          <w:spacing w:val="-41"/>
        </w:rPr>
        <w:t xml:space="preserve"> </w:t>
      </w:r>
      <w:r>
        <w:rPr>
          <w:spacing w:val="14"/>
        </w:rPr>
        <w:t>用黑光灯(无紫外滤光片)照射光度头的显示值；</w:t>
      </w:r>
      <w:r>
        <w:t xml:space="preserve"> </w:t>
      </w:r>
      <w:r>
        <w:rPr>
          <w:spacing w:val="5"/>
        </w:rPr>
        <w:t>u</w:t>
      </w:r>
      <w:r>
        <w:rPr>
          <w:rFonts w:ascii="Calibri" w:eastAsia="Calibri" w:hAnsi="Calibri" w:cs="Calibri"/>
          <w:spacing w:val="5"/>
        </w:rPr>
        <w:t xml:space="preserve">₀          </w:t>
      </w:r>
      <w:r>
        <w:rPr>
          <w:spacing w:val="5"/>
        </w:rPr>
        <w:t>——</w:t>
      </w:r>
      <w:r>
        <w:rPr>
          <w:spacing w:val="-61"/>
        </w:rPr>
        <w:t xml:space="preserve"> </w:t>
      </w:r>
      <w:r>
        <w:rPr>
          <w:spacing w:val="5"/>
        </w:rPr>
        <w:t>黑光灯施照下的紫外滤光片的积分透射比：</w:t>
      </w:r>
    </w:p>
    <w:p>
      <w:pPr>
        <w:spacing w:before="99" w:line="1050" w:lineRule="exact"/>
        <w:ind w:firstLine="3195"/>
      </w:pPr>
      <w:r>
        <w:rPr>
          <w:position w:val="-20"/>
        </w:rPr>
        <w:drawing>
          <wp:inline distT="0" distB="0" distL="0" distR="0">
            <wp:extent cx="1758926" cy="666733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1758926" cy="666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0" w:line="220" w:lineRule="auto"/>
        <w:ind w:left="505"/>
      </w:pPr>
      <w:r>
        <w:rPr>
          <w:spacing w:val="-8"/>
        </w:rPr>
        <w:t>式中：</w:t>
      </w:r>
    </w:p>
    <w:p>
      <w:pPr>
        <w:pStyle w:val="BodyText"/>
        <w:spacing w:before="106" w:line="219" w:lineRule="auto"/>
        <w:ind w:left="505"/>
      </w:pPr>
      <w:r>
        <w:rPr>
          <w:spacing w:val="3"/>
        </w:rPr>
        <w:t>r(a)—— 紫外滤光片的光谱透射比；</w:t>
      </w:r>
    </w:p>
    <w:p>
      <w:pPr>
        <w:pStyle w:val="BodyText"/>
        <w:spacing w:before="75" w:line="219" w:lineRule="auto"/>
        <w:ind w:left="505"/>
      </w:pPr>
      <w:r>
        <w:rPr>
          <w:spacing w:val="4"/>
        </w:rPr>
        <w:t>S(λ)——黑光灯的相对光谱功率分布。</w:t>
      </w:r>
    </w:p>
    <w:p>
      <w:pPr>
        <w:pStyle w:val="BodyText"/>
        <w:spacing w:before="107" w:line="219" w:lineRule="auto"/>
        <w:ind w:left="505"/>
      </w:pPr>
      <w:r>
        <w:rPr>
          <w:spacing w:val="6"/>
        </w:rPr>
        <w:t>紫外滤光片 (</w:t>
      </w:r>
      <w:r>
        <w:t>ZWB</w:t>
      </w:r>
      <w:r>
        <w:rPr>
          <w:rFonts w:ascii="Calibri" w:eastAsia="Calibri" w:hAnsi="Calibri" w:cs="Calibri"/>
          <w:spacing w:val="6"/>
        </w:rPr>
        <w:t>₁</w:t>
      </w:r>
      <w:r>
        <w:rPr>
          <w:spacing w:val="6"/>
        </w:rPr>
        <w:t>)</w:t>
      </w:r>
      <w:r>
        <w:rPr>
          <w:spacing w:val="16"/>
        </w:rPr>
        <w:t xml:space="preserve">   </w:t>
      </w:r>
      <w:r>
        <w:rPr>
          <w:spacing w:val="6"/>
        </w:rPr>
        <w:t>的推荐数据见表14。</w:t>
      </w:r>
    </w:p>
    <w:p>
      <w:pPr>
        <w:pStyle w:val="BodyText"/>
        <w:spacing w:before="79" w:line="187" w:lineRule="auto"/>
        <w:ind w:left="2704"/>
        <w:rPr>
          <w:rFonts w:ascii="SimHei" w:eastAsia="SimHei" w:hAnsi="SimHei" w:cs="SimHei"/>
        </w:rPr>
      </w:pPr>
      <w:r>
        <w:rPr>
          <w:rFonts w:ascii="SimHei" w:eastAsia="SimHei" w:hAnsi="SimHei" w:cs="SimHei"/>
          <w:spacing w:val="-12"/>
        </w:rPr>
        <w:t>表14</w:t>
      </w:r>
      <w:r>
        <w:rPr>
          <w:rFonts w:ascii="SimHei" w:eastAsia="SimHei" w:hAnsi="SimHei" w:cs="SimHei"/>
          <w:spacing w:val="111"/>
        </w:rPr>
        <w:t xml:space="preserve"> </w:t>
      </w:r>
      <w:r>
        <w:rPr>
          <w:rFonts w:ascii="SimHei" w:eastAsia="SimHei" w:hAnsi="SimHei" w:cs="SimHei"/>
          <w:spacing w:val="-12"/>
        </w:rPr>
        <w:t>紫外滤光片</w:t>
      </w:r>
      <w:r>
        <w:rPr>
          <w:rFonts w:ascii="SimHei" w:eastAsia="SimHei" w:hAnsi="SimHei" w:cs="SimHei"/>
          <w:spacing w:val="-12"/>
        </w:rPr>
        <w:t xml:space="preserve"> </w:t>
      </w:r>
      <w:r>
        <w:rPr>
          <w:spacing w:val="-12"/>
        </w:rPr>
        <w:t>(ZWB</w:t>
      </w:r>
      <w:r>
        <w:rPr>
          <w:rFonts w:ascii="Calibri" w:eastAsia="Calibri" w:hAnsi="Calibri" w:cs="Calibri"/>
          <w:spacing w:val="-12"/>
        </w:rPr>
        <w:t>₁</w:t>
      </w:r>
      <w:r>
        <w:rPr>
          <w:spacing w:val="-12"/>
        </w:rPr>
        <w:t>)</w:t>
      </w:r>
      <w:r>
        <w:rPr>
          <w:spacing w:val="14"/>
        </w:rPr>
        <w:t xml:space="preserve">  </w:t>
      </w:r>
      <w:r>
        <w:rPr>
          <w:rFonts w:ascii="SimHei" w:eastAsia="SimHei" w:hAnsi="SimHei" w:cs="SimHei"/>
          <w:spacing w:val="-12"/>
        </w:rPr>
        <w:t>的推荐数据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66" w:line="222" w:lineRule="auto"/>
        <w:ind w:left="240"/>
        <w:rPr>
          <w:sz w:val="20"/>
          <w:szCs w:val="20"/>
        </w:rPr>
      </w:pPr>
      <w:r>
        <w:rPr>
          <w:spacing w:val="-9"/>
          <w:sz w:val="20"/>
          <w:szCs w:val="20"/>
        </w:rPr>
        <w:t>(13)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75" w:line="222" w:lineRule="auto"/>
        <w:ind w:left="240"/>
      </w:pPr>
      <w:r>
        <w:rPr>
          <w:spacing w:val="-10"/>
        </w:rPr>
        <w:t>(14)</w:t>
      </w:r>
    </w:p>
    <w:p>
      <w:pPr>
        <w:spacing w:line="222" w:lineRule="auto"/>
        <w:sectPr>
          <w:headerReference w:type="default" r:id="rId120"/>
          <w:footerReference w:type="default" r:id="rId121"/>
          <w:type w:val="continuous"/>
          <w:pgSz w:w="11900" w:h="16840"/>
          <w:pgMar w:top="1779" w:right="1430" w:bottom="1065" w:left="1304" w:header="1514" w:footer="916" w:gutter="0"/>
          <w:pgNumType w:start="34"/>
          <w:cols w:num="2" w:space="708" w:equalWidth="0">
            <w:col w:w="8346" w:space="100"/>
            <w:col w:w="720" w:space="0"/>
          </w:cols>
        </w:sectPr>
      </w:pPr>
    </w:p>
    <w:tbl>
      <w:tblPr>
        <w:tblStyle w:val="TableNormal10"/>
        <w:tblW w:w="91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180"/>
        <w:gridCol w:w="4960"/>
      </w:tblGrid>
      <w:tr>
        <w:tblPrEx>
          <w:tblW w:w="91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02"/>
        </w:trPr>
        <w:tc>
          <w:tcPr>
            <w:tcW w:w="4180" w:type="dxa"/>
            <w:vAlign w:val="top"/>
          </w:tcPr>
          <w:p>
            <w:pPr>
              <w:pStyle w:val="TableText"/>
              <w:spacing w:before="104" w:line="220" w:lineRule="auto"/>
              <w:ind w:left="95"/>
            </w:pPr>
            <w:r>
              <w:rPr>
                <w:spacing w:val="-2"/>
              </w:rPr>
              <w:t>厚度：1 mm</w:t>
            </w:r>
          </w:p>
        </w:tc>
        <w:tc>
          <w:tcPr>
            <w:tcW w:w="4960" w:type="dxa"/>
            <w:vAlign w:val="top"/>
          </w:tcPr>
          <w:p>
            <w:pPr>
              <w:pStyle w:val="TableText"/>
              <w:spacing w:before="102" w:line="219" w:lineRule="auto"/>
              <w:ind w:left="115"/>
            </w:pPr>
            <w:r>
              <w:rPr>
                <w:spacing w:val="1"/>
              </w:rPr>
              <w:t>最小尺寸：φ40</w:t>
            </w:r>
          </w:p>
        </w:tc>
      </w:tr>
      <w:tr>
        <w:tblPrEx>
          <w:tblW w:w="9140" w:type="dxa"/>
          <w:tblInd w:w="5" w:type="dxa"/>
          <w:tblLayout w:type="fixed"/>
        </w:tblPrEx>
        <w:trPr>
          <w:trHeight w:val="398"/>
        </w:trPr>
        <w:tc>
          <w:tcPr>
            <w:tcW w:w="4180" w:type="dxa"/>
            <w:tcBorders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</w:tc>
        <w:tc>
          <w:tcPr>
            <w:tcW w:w="4960" w:type="dxa"/>
            <w:vAlign w:val="top"/>
          </w:tcPr>
          <w:p>
            <w:pPr>
              <w:pStyle w:val="TableText"/>
              <w:spacing w:before="121" w:line="234" w:lineRule="auto"/>
              <w:ind w:left="115"/>
            </w:pPr>
            <w:r>
              <w:rPr>
                <w:spacing w:val="-1"/>
              </w:rPr>
              <w:t>280 nm:≥50.0%</w:t>
            </w:r>
          </w:p>
        </w:tc>
      </w:tr>
    </w:tbl>
    <w:p>
      <w:pPr>
        <w:sectPr>
          <w:headerReference w:type="default" r:id="rId122"/>
          <w:footerReference w:type="default" r:id="rId123"/>
          <w:type w:val="continuous"/>
          <w:pgSz w:w="11900" w:h="16840"/>
          <w:pgMar w:top="1779" w:right="1430" w:bottom="1065" w:left="1304" w:header="1514" w:footer="916" w:gutter="0"/>
          <w:pgNumType w:start="35"/>
          <w:cols w:num="1" w:space="708" w:equalWidth="0">
            <w:col w:w="9166" w:space="0"/>
          </w:cols>
        </w:sectPr>
      </w:pPr>
    </w:p>
    <w:tbl>
      <w:tblPr>
        <w:tblStyle w:val="TableNormal11"/>
        <w:tblW w:w="91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180"/>
        <w:gridCol w:w="4960"/>
      </w:tblGrid>
      <w:tr>
        <w:tblPrEx>
          <w:tblW w:w="91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98"/>
        </w:trPr>
        <w:tc>
          <w:tcPr>
            <w:tcW w:w="4180" w:type="dxa"/>
            <w:vMerge w:val="restart"/>
            <w:tcBorders>
              <w:bottom w:val="nil"/>
            </w:tcBorders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95"/>
            </w:pPr>
            <w:r>
              <w:rPr>
                <w:spacing w:val="6"/>
              </w:rPr>
              <w:t>光谱透射比a)</w:t>
            </w:r>
          </w:p>
        </w:tc>
        <w:tc>
          <w:tcPr>
            <w:tcW w:w="4960" w:type="dxa"/>
            <w:vAlign w:val="top"/>
          </w:tcPr>
          <w:p/>
        </w:tc>
      </w:tr>
      <w:tr>
        <w:tblPrEx>
          <w:tblW w:w="9140" w:type="dxa"/>
          <w:tblInd w:w="5" w:type="dxa"/>
          <w:tblLayout w:type="fixed"/>
        </w:tblPrEx>
        <w:trPr>
          <w:trHeight w:val="418"/>
        </w:trPr>
        <w:tc>
          <w:tcPr>
            <w:tcW w:w="41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60" w:type="dxa"/>
            <w:vAlign w:val="top"/>
          </w:tcPr>
          <w:p>
            <w:pPr>
              <w:pStyle w:val="TableText"/>
              <w:spacing w:before="134" w:line="237" w:lineRule="auto"/>
              <w:ind w:left="115"/>
            </w:pPr>
            <w:r>
              <w:rPr>
                <w:spacing w:val="-1"/>
              </w:rPr>
              <w:t>313 nm:≥81.3%</w:t>
            </w:r>
          </w:p>
        </w:tc>
      </w:tr>
      <w:tr>
        <w:tblPrEx>
          <w:tblW w:w="9140" w:type="dxa"/>
          <w:tblInd w:w="5" w:type="dxa"/>
          <w:tblLayout w:type="fixed"/>
        </w:tblPrEx>
        <w:trPr>
          <w:trHeight w:val="398"/>
        </w:trPr>
        <w:tc>
          <w:tcPr>
            <w:tcW w:w="41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60" w:type="dxa"/>
            <w:vAlign w:val="top"/>
          </w:tcPr>
          <w:p>
            <w:pPr>
              <w:pStyle w:val="TableText"/>
              <w:spacing w:before="124" w:line="232" w:lineRule="auto"/>
              <w:ind w:left="115"/>
            </w:pPr>
            <w:r>
              <w:rPr>
                <w:spacing w:val="-1"/>
              </w:rPr>
              <w:t>405 nm:≤1.0%</w:t>
            </w:r>
          </w:p>
        </w:tc>
      </w:tr>
      <w:tr>
        <w:tblPrEx>
          <w:tblW w:w="9140" w:type="dxa"/>
          <w:tblInd w:w="5" w:type="dxa"/>
          <w:tblLayout w:type="fixed"/>
        </w:tblPrEx>
        <w:trPr>
          <w:trHeight w:val="413"/>
        </w:trPr>
        <w:tc>
          <w:tcPr>
            <w:tcW w:w="41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60" w:type="dxa"/>
            <w:vAlign w:val="top"/>
          </w:tcPr>
          <w:p>
            <w:pPr>
              <w:pStyle w:val="TableText"/>
              <w:spacing w:before="126" w:line="236" w:lineRule="auto"/>
              <w:ind w:left="115"/>
            </w:pPr>
            <w:r>
              <w:rPr>
                <w:spacing w:val="-2"/>
              </w:rPr>
              <w:t>700 nm:≤30.0%</w:t>
            </w:r>
          </w:p>
        </w:tc>
      </w:tr>
    </w:tbl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  <w:ind w:left="14"/>
      </w:pPr>
      <w:r>
        <w:rPr>
          <w:spacing w:val="1"/>
        </w:rPr>
        <w:t>10.1.2.8.6</w:t>
      </w:r>
      <w:r>
        <w:rPr>
          <w:spacing w:val="19"/>
        </w:rPr>
        <w:t xml:space="preserve">  </w:t>
      </w:r>
      <w:r>
        <w:rPr>
          <w:spacing w:val="1"/>
        </w:rPr>
        <w:t>合格判据</w:t>
      </w:r>
    </w:p>
    <w:p>
      <w:pPr>
        <w:pStyle w:val="BodyText"/>
        <w:spacing w:before="107" w:line="219" w:lineRule="auto"/>
        <w:ind w:left="475"/>
      </w:pPr>
      <w:r>
        <w:rPr>
          <w:spacing w:val="13"/>
        </w:rPr>
        <w:t>各级照度计的紫外响应误差应符合6.8的要求。</w:t>
      </w:r>
    </w:p>
    <w:p>
      <w:pPr>
        <w:pStyle w:val="BodyText"/>
        <w:spacing w:before="68" w:line="184" w:lineRule="auto"/>
        <w:ind w:left="4"/>
      </w:pPr>
      <w:hyperlink r:id="rId46" w:history="1">
        <w:r>
          <w:rPr>
            <w:spacing w:val="2"/>
          </w:rPr>
          <w:t>10.1.2.9</w:t>
        </w:r>
      </w:hyperlink>
      <w:r>
        <w:rPr>
          <w:spacing w:val="18"/>
        </w:rPr>
        <w:t xml:space="preserve">  </w:t>
      </w:r>
      <w:r>
        <w:rPr>
          <w:spacing w:val="2"/>
        </w:rPr>
        <w:t>非线性误差</w:t>
      </w:r>
    </w:p>
    <w:p>
      <w:pPr>
        <w:spacing w:line="184" w:lineRule="auto"/>
        <w:sectPr>
          <w:headerReference w:type="default" r:id="rId124"/>
          <w:footerReference w:type="default" r:id="rId125"/>
          <w:type w:val="nextPage"/>
          <w:pgSz w:w="11900" w:h="16840"/>
          <w:pgMar w:top="1779" w:right="1430" w:bottom="1065" w:left="1304" w:header="1514" w:footer="916" w:gutter="0"/>
          <w:pgNumType w:start="36"/>
          <w:cols w:num="1" w:space="708" w:equalWidth="0">
            <w:col w:w="9166" w:space="0"/>
          </w:cols>
          <w:titlePg w:val="0"/>
        </w:sectPr>
      </w:pPr>
    </w:p>
    <w:p>
      <w:pPr>
        <w:pStyle w:val="BodyText"/>
        <w:spacing w:before="230" w:line="221" w:lineRule="auto"/>
        <w:ind w:left="49"/>
        <w:rPr>
          <w:sz w:val="22"/>
          <w:szCs w:val="22"/>
        </w:rPr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2736813</wp:posOffset>
            </wp:positionH>
            <wp:positionV relativeFrom="page">
              <wp:posOffset>4260892</wp:posOffset>
            </wp:positionV>
            <wp:extent cx="2120958" cy="368280"/>
            <wp:effectExtent l="0" t="0" r="0" b="0"/>
            <wp:wrapNone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2120958" cy="368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4"/>
          <w:sz w:val="22"/>
          <w:szCs w:val="22"/>
        </w:rPr>
        <w:t>10.1.2.9.1</w:t>
      </w:r>
      <w:r>
        <w:rPr>
          <w:spacing w:val="40"/>
          <w:sz w:val="22"/>
          <w:szCs w:val="22"/>
        </w:rPr>
        <w:t xml:space="preserve">  </w:t>
      </w:r>
      <w:r>
        <w:rPr>
          <w:spacing w:val="4"/>
          <w:sz w:val="22"/>
          <w:szCs w:val="22"/>
        </w:rPr>
        <w:t>试验目的</w:t>
      </w:r>
    </w:p>
    <w:p>
      <w:pPr>
        <w:pStyle w:val="BodyText"/>
        <w:spacing w:before="115" w:line="219" w:lineRule="auto"/>
        <w:ind w:left="499"/>
        <w:rPr>
          <w:sz w:val="22"/>
          <w:szCs w:val="22"/>
        </w:rPr>
      </w:pPr>
      <w:r>
        <w:rPr>
          <w:spacing w:val="22"/>
          <w:sz w:val="22"/>
          <w:szCs w:val="22"/>
        </w:rPr>
        <w:t>评定照度计的非线性误差是否满足6.9的要求。</w:t>
      </w:r>
    </w:p>
    <w:p>
      <w:pPr>
        <w:pStyle w:val="BodyText"/>
        <w:spacing w:before="88" w:line="263" w:lineRule="auto"/>
        <w:ind w:left="518" w:right="6840" w:hanging="469"/>
        <w:rPr>
          <w:sz w:val="22"/>
          <w:szCs w:val="22"/>
        </w:rPr>
      </w:pPr>
      <w:r>
        <w:rPr>
          <w:spacing w:val="5"/>
          <w:sz w:val="22"/>
          <w:szCs w:val="22"/>
        </w:rPr>
        <w:t>10.1.2.9.2</w:t>
      </w:r>
      <w:r>
        <w:rPr>
          <w:spacing w:val="39"/>
          <w:sz w:val="22"/>
          <w:szCs w:val="22"/>
        </w:rPr>
        <w:t xml:space="preserve">  </w:t>
      </w:r>
      <w:r>
        <w:rPr>
          <w:spacing w:val="5"/>
          <w:sz w:val="22"/>
          <w:szCs w:val="22"/>
        </w:rPr>
        <w:t>试验环境</w:t>
      </w:r>
      <w:r>
        <w:rPr>
          <w:sz w:val="22"/>
          <w:szCs w:val="22"/>
        </w:rPr>
        <w:t xml:space="preserve"> </w:t>
      </w:r>
      <w:r>
        <w:rPr>
          <w:spacing w:val="12"/>
          <w:sz w:val="22"/>
          <w:szCs w:val="22"/>
        </w:rPr>
        <w:t>同</w:t>
      </w:r>
      <w:hyperlink r:id="rId62" w:history="1">
        <w:r>
          <w:rPr>
            <w:spacing w:val="12"/>
            <w:sz w:val="22"/>
            <w:szCs w:val="22"/>
          </w:rPr>
          <w:t>10.1.1.1</w:t>
        </w:r>
      </w:hyperlink>
      <w:r>
        <w:rPr>
          <w:spacing w:val="12"/>
          <w:sz w:val="22"/>
          <w:szCs w:val="22"/>
        </w:rPr>
        <w:t>。</w:t>
      </w:r>
    </w:p>
    <w:p>
      <w:pPr>
        <w:pStyle w:val="BodyText"/>
        <w:spacing w:before="114" w:line="254" w:lineRule="auto"/>
        <w:ind w:left="518" w:right="6859" w:hanging="469"/>
        <w:rPr>
          <w:sz w:val="22"/>
          <w:szCs w:val="22"/>
        </w:rPr>
      </w:pPr>
      <w:r>
        <w:rPr>
          <w:spacing w:val="3"/>
          <w:sz w:val="22"/>
          <w:szCs w:val="22"/>
        </w:rPr>
        <w:t>10.1.2.9.3</w:t>
      </w:r>
      <w:r>
        <w:rPr>
          <w:spacing w:val="43"/>
          <w:sz w:val="22"/>
          <w:szCs w:val="22"/>
        </w:rPr>
        <w:t xml:space="preserve">  </w:t>
      </w:r>
      <w:r>
        <w:rPr>
          <w:spacing w:val="3"/>
          <w:sz w:val="22"/>
          <w:szCs w:val="22"/>
        </w:rPr>
        <w:t>试验设备</w:t>
      </w:r>
      <w:r>
        <w:rPr>
          <w:spacing w:val="1"/>
          <w:sz w:val="22"/>
          <w:szCs w:val="22"/>
        </w:rPr>
        <w:t xml:space="preserve"> </w:t>
      </w:r>
      <w:r>
        <w:rPr>
          <w:spacing w:val="12"/>
          <w:sz w:val="22"/>
          <w:szCs w:val="22"/>
        </w:rPr>
        <w:t>同</w:t>
      </w:r>
      <w:hyperlink r:id="rId63" w:history="1">
        <w:r>
          <w:rPr>
            <w:spacing w:val="12"/>
            <w:sz w:val="22"/>
            <w:szCs w:val="22"/>
          </w:rPr>
          <w:t>10.1.1.2</w:t>
        </w:r>
      </w:hyperlink>
      <w:r>
        <w:rPr>
          <w:spacing w:val="12"/>
          <w:sz w:val="22"/>
          <w:szCs w:val="22"/>
        </w:rPr>
        <w:t>。</w:t>
      </w:r>
    </w:p>
    <w:p>
      <w:pPr>
        <w:pStyle w:val="BodyText"/>
        <w:spacing w:before="104" w:line="220" w:lineRule="auto"/>
        <w:ind w:left="29"/>
        <w:rPr>
          <w:sz w:val="22"/>
          <w:szCs w:val="22"/>
        </w:rPr>
      </w:pPr>
      <w:r>
        <w:rPr>
          <w:spacing w:val="4"/>
          <w:sz w:val="22"/>
          <w:szCs w:val="22"/>
        </w:rPr>
        <w:t>10.1.2.9.4</w:t>
      </w:r>
      <w:r>
        <w:rPr>
          <w:spacing w:val="52"/>
          <w:sz w:val="22"/>
          <w:szCs w:val="22"/>
        </w:rPr>
        <w:t xml:space="preserve">  </w:t>
      </w:r>
      <w:r>
        <w:rPr>
          <w:spacing w:val="4"/>
          <w:sz w:val="22"/>
          <w:szCs w:val="22"/>
        </w:rPr>
        <w:t>试验程序</w:t>
      </w:r>
    </w:p>
    <w:p>
      <w:pPr>
        <w:pStyle w:val="BodyText"/>
        <w:spacing w:before="118" w:line="284" w:lineRule="auto"/>
        <w:ind w:left="9" w:right="98" w:firstLine="489"/>
        <w:jc w:val="both"/>
        <w:rPr>
          <w:sz w:val="22"/>
          <w:szCs w:val="22"/>
        </w:rPr>
      </w:pPr>
      <w:r>
        <w:rPr>
          <w:spacing w:val="27"/>
          <w:sz w:val="22"/>
          <w:szCs w:val="22"/>
        </w:rPr>
        <w:t>将照度计的光度头和标准灯按要求安装在光度测量装置上，固定光度</w:t>
      </w:r>
      <w:r>
        <w:rPr>
          <w:spacing w:val="26"/>
          <w:sz w:val="22"/>
          <w:szCs w:val="22"/>
        </w:rPr>
        <w:t>头的位置不</w:t>
      </w:r>
      <w:r>
        <w:rPr>
          <w:sz w:val="22"/>
          <w:szCs w:val="22"/>
        </w:rPr>
        <w:t xml:space="preserve"> </w:t>
      </w:r>
      <w:r>
        <w:rPr>
          <w:spacing w:val="25"/>
          <w:sz w:val="22"/>
          <w:szCs w:val="22"/>
        </w:rPr>
        <w:t>变，然后移动标准灯，使照度计的显示值</w:t>
      </w:r>
      <w:r>
        <w:rPr>
          <w:rFonts w:ascii="Times New Roman" w:eastAsia="Times New Roman" w:hAnsi="Times New Roman" w:cs="Times New Roman"/>
          <w:spacing w:val="25"/>
          <w:sz w:val="22"/>
          <w:szCs w:val="22"/>
        </w:rPr>
        <w:t xml:space="preserve">Y </w:t>
      </w:r>
      <w:r>
        <w:rPr>
          <w:spacing w:val="25"/>
          <w:sz w:val="22"/>
          <w:szCs w:val="22"/>
        </w:rPr>
        <w:t>达到1/10满量程，此时对</w:t>
      </w:r>
      <w:r>
        <w:rPr>
          <w:spacing w:val="24"/>
          <w:sz w:val="22"/>
          <w:szCs w:val="22"/>
        </w:rPr>
        <w:t>应的标准照度值</w:t>
      </w:r>
      <w:r>
        <w:rPr>
          <w:sz w:val="22"/>
          <w:szCs w:val="22"/>
        </w:rPr>
        <w:t xml:space="preserve"> </w:t>
      </w:r>
      <w:r>
        <w:rPr>
          <w:spacing w:val="25"/>
          <w:sz w:val="22"/>
          <w:szCs w:val="22"/>
        </w:rPr>
        <w:t>为</w:t>
      </w:r>
      <w:r>
        <w:rPr>
          <w:spacing w:val="-34"/>
          <w:sz w:val="22"/>
          <w:szCs w:val="22"/>
        </w:rPr>
        <w:t xml:space="preserve"> </w:t>
      </w:r>
      <w:r>
        <w:rPr>
          <w:spacing w:val="25"/>
          <w:sz w:val="22"/>
          <w:szCs w:val="22"/>
        </w:rPr>
        <w:t>X,</w:t>
      </w:r>
      <w:r>
        <w:rPr>
          <w:spacing w:val="96"/>
          <w:sz w:val="22"/>
          <w:szCs w:val="22"/>
        </w:rPr>
        <w:t xml:space="preserve"> </w:t>
      </w:r>
      <w:r>
        <w:rPr>
          <w:spacing w:val="25"/>
          <w:sz w:val="22"/>
          <w:szCs w:val="22"/>
        </w:rPr>
        <w:t>然后移动标准灯，使照度计的显示值</w:t>
      </w:r>
      <w:r>
        <w:rPr>
          <w:sz w:val="22"/>
          <w:szCs w:val="22"/>
        </w:rPr>
        <w:t>Ymx</w:t>
      </w:r>
      <w:r>
        <w:rPr>
          <w:spacing w:val="12"/>
          <w:sz w:val="22"/>
          <w:szCs w:val="22"/>
        </w:rPr>
        <w:t xml:space="preserve">  </w:t>
      </w:r>
      <w:r>
        <w:rPr>
          <w:spacing w:val="25"/>
          <w:sz w:val="22"/>
          <w:szCs w:val="22"/>
        </w:rPr>
        <w:t>(接近满量程),得到对应标准照度值</w:t>
      </w:r>
      <w:r>
        <w:rPr>
          <w:spacing w:val="1"/>
          <w:sz w:val="22"/>
          <w:szCs w:val="22"/>
        </w:rPr>
        <w:t xml:space="preserve"> </w:t>
      </w:r>
      <w:r>
        <w:rPr>
          <w:spacing w:val="-6"/>
          <w:sz w:val="22"/>
          <w:szCs w:val="22"/>
        </w:rPr>
        <w:t>为</w:t>
      </w:r>
      <w:r>
        <w:rPr>
          <w:spacing w:val="-47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2"/>
          <w:szCs w:val="22"/>
        </w:rPr>
        <w:t>Xmax</w:t>
      </w:r>
      <w:r>
        <w:rPr>
          <w:spacing w:val="-6"/>
          <w:sz w:val="22"/>
          <w:szCs w:val="22"/>
        </w:rPr>
        <w:t>。</w:t>
      </w:r>
    </w:p>
    <w:p>
      <w:pPr>
        <w:pStyle w:val="BodyText"/>
        <w:spacing w:before="85" w:line="219" w:lineRule="auto"/>
        <w:ind w:left="39"/>
        <w:rPr>
          <w:sz w:val="22"/>
          <w:szCs w:val="22"/>
        </w:rPr>
      </w:pPr>
      <w:r>
        <w:rPr>
          <w:spacing w:val="4"/>
          <w:sz w:val="22"/>
          <w:szCs w:val="22"/>
        </w:rPr>
        <w:t>10.1.2.9.5</w:t>
      </w:r>
      <w:r>
        <w:rPr>
          <w:spacing w:val="45"/>
          <w:sz w:val="22"/>
          <w:szCs w:val="22"/>
        </w:rPr>
        <w:t xml:space="preserve">  </w:t>
      </w:r>
      <w:r>
        <w:rPr>
          <w:spacing w:val="4"/>
          <w:sz w:val="22"/>
          <w:szCs w:val="22"/>
        </w:rPr>
        <w:t>数据处理</w:t>
      </w:r>
    </w:p>
    <w:p>
      <w:pPr>
        <w:pStyle w:val="BodyText"/>
        <w:spacing w:before="129" w:line="219" w:lineRule="auto"/>
        <w:ind w:left="489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pacing w:val="29"/>
          <w:sz w:val="22"/>
          <w:szCs w:val="22"/>
        </w:rPr>
        <w:t>按式(15)计算照度计的非线性误差</w:t>
      </w:r>
      <w:r>
        <w:rPr>
          <w:rFonts w:ascii="Times New Roman" w:eastAsia="Times New Roman" w:hAnsi="Times New Roman" w:cs="Times New Roman"/>
          <w:spacing w:val="29"/>
          <w:sz w:val="22"/>
          <w:szCs w:val="22"/>
        </w:rPr>
        <w:t>f₃:</w:t>
      </w:r>
    </w:p>
    <w:p>
      <w:pPr>
        <w:pStyle w:val="BodyText"/>
        <w:spacing w:before="243" w:line="222" w:lineRule="auto"/>
        <w:ind w:left="8689"/>
        <w:rPr>
          <w:sz w:val="22"/>
          <w:szCs w:val="22"/>
        </w:rPr>
      </w:pPr>
      <w:r>
        <w:rPr>
          <w:spacing w:val="-9"/>
          <w:sz w:val="22"/>
          <w:szCs w:val="22"/>
        </w:rPr>
        <w:t>(15)</w:t>
      </w:r>
    </w:p>
    <w:p>
      <w:pPr>
        <w:pStyle w:val="BodyText"/>
        <w:spacing w:before="252" w:line="220" w:lineRule="auto"/>
        <w:ind w:left="489"/>
        <w:rPr>
          <w:sz w:val="22"/>
          <w:szCs w:val="22"/>
        </w:rPr>
      </w:pPr>
      <w:r>
        <w:rPr>
          <w:spacing w:val="-5"/>
          <w:sz w:val="22"/>
          <w:szCs w:val="22"/>
        </w:rPr>
        <w:t>式中：</w:t>
      </w:r>
    </w:p>
    <w:p>
      <w:pPr>
        <w:pStyle w:val="BodyText"/>
        <w:spacing w:before="118" w:line="219" w:lineRule="auto"/>
        <w:ind w:left="499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8"/>
          <w:sz w:val="22"/>
          <w:szCs w:val="22"/>
        </w:rPr>
        <w:t xml:space="preserve">X    </w:t>
      </w:r>
      <w:r>
        <w:rPr>
          <w:spacing w:val="8"/>
          <w:sz w:val="22"/>
          <w:szCs w:val="22"/>
        </w:rPr>
        <w:t>——</w:t>
      </w:r>
      <w:r>
        <w:rPr>
          <w:spacing w:val="-44"/>
          <w:sz w:val="22"/>
          <w:szCs w:val="22"/>
        </w:rPr>
        <w:t xml:space="preserve"> </w:t>
      </w:r>
      <w:r>
        <w:rPr>
          <w:spacing w:val="8"/>
          <w:sz w:val="22"/>
          <w:szCs w:val="22"/>
        </w:rPr>
        <w:t>标准照度值；</w:t>
      </w:r>
    </w:p>
    <w:p>
      <w:pPr>
        <w:pStyle w:val="BodyText"/>
        <w:spacing w:before="98" w:line="370" w:lineRule="exact"/>
        <w:ind w:left="469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12"/>
          <w:position w:val="11"/>
          <w:sz w:val="22"/>
          <w:szCs w:val="22"/>
        </w:rPr>
        <w:t>Y</w:t>
      </w:r>
      <w:r>
        <w:rPr>
          <w:rFonts w:ascii="Times New Roman" w:eastAsia="Times New Roman" w:hAnsi="Times New Roman" w:cs="Times New Roman"/>
          <w:spacing w:val="3"/>
          <w:position w:val="11"/>
          <w:sz w:val="22"/>
          <w:szCs w:val="22"/>
        </w:rPr>
        <w:t xml:space="preserve">     </w:t>
      </w:r>
      <w:r>
        <w:rPr>
          <w:spacing w:val="12"/>
          <w:position w:val="11"/>
          <w:sz w:val="22"/>
          <w:szCs w:val="22"/>
        </w:rPr>
        <w:t>——</w:t>
      </w:r>
      <w:r>
        <w:rPr>
          <w:spacing w:val="-31"/>
          <w:position w:val="11"/>
          <w:sz w:val="22"/>
          <w:szCs w:val="22"/>
        </w:rPr>
        <w:t xml:space="preserve"> </w:t>
      </w:r>
      <w:r>
        <w:rPr>
          <w:spacing w:val="12"/>
          <w:position w:val="11"/>
          <w:sz w:val="22"/>
          <w:szCs w:val="22"/>
        </w:rPr>
        <w:t>标准照度值</w:t>
      </w:r>
      <w:r>
        <w:rPr>
          <w:spacing w:val="-39"/>
          <w:position w:val="1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12"/>
          <w:position w:val="11"/>
          <w:sz w:val="22"/>
          <w:szCs w:val="22"/>
        </w:rPr>
        <w:t>X</w:t>
      </w:r>
      <w:r>
        <w:rPr>
          <w:rFonts w:ascii="Times New Roman" w:eastAsia="Times New Roman" w:hAnsi="Times New Roman" w:cs="Times New Roman"/>
          <w:spacing w:val="1"/>
          <w:position w:val="11"/>
          <w:sz w:val="22"/>
          <w:szCs w:val="22"/>
        </w:rPr>
        <w:t xml:space="preserve">  </w:t>
      </w:r>
      <w:r>
        <w:rPr>
          <w:spacing w:val="12"/>
          <w:position w:val="11"/>
          <w:sz w:val="22"/>
          <w:szCs w:val="22"/>
        </w:rPr>
        <w:t>照射光度头的显示值；</w:t>
      </w:r>
    </w:p>
    <w:p>
      <w:pPr>
        <w:pStyle w:val="BodyText"/>
        <w:spacing w:before="1" w:line="219" w:lineRule="auto"/>
        <w:ind w:left="489"/>
        <w:rPr>
          <w:sz w:val="22"/>
          <w:szCs w:val="22"/>
        </w:rPr>
      </w:pPr>
      <w:r>
        <w:rPr>
          <w:sz w:val="22"/>
          <w:szCs w:val="22"/>
        </w:rPr>
        <w:t>Xmax</w:t>
      </w:r>
      <w:r>
        <w:rPr>
          <w:spacing w:val="21"/>
          <w:sz w:val="22"/>
          <w:szCs w:val="22"/>
        </w:rPr>
        <w:t>——对应于最大显示值</w:t>
      </w:r>
      <w:r>
        <w:rPr>
          <w:sz w:val="22"/>
          <w:szCs w:val="22"/>
        </w:rPr>
        <w:t>Ymx</w:t>
      </w:r>
      <w:r>
        <w:rPr>
          <w:spacing w:val="21"/>
          <w:sz w:val="22"/>
          <w:szCs w:val="22"/>
        </w:rPr>
        <w:t xml:space="preserve"> 的标准照度值；</w:t>
      </w:r>
    </w:p>
    <w:p>
      <w:pPr>
        <w:pStyle w:val="BodyText"/>
        <w:spacing w:before="89" w:line="219" w:lineRule="auto"/>
        <w:ind w:left="489"/>
        <w:rPr>
          <w:sz w:val="22"/>
          <w:szCs w:val="22"/>
        </w:rPr>
      </w:pPr>
      <w:r>
        <w:rPr>
          <w:sz w:val="22"/>
          <w:szCs w:val="22"/>
        </w:rPr>
        <w:t>Ymax</w:t>
      </w:r>
      <w:r>
        <w:rPr>
          <w:spacing w:val="9"/>
          <w:sz w:val="22"/>
          <w:szCs w:val="22"/>
        </w:rPr>
        <w:t>——</w:t>
      </w:r>
      <w:r>
        <w:rPr>
          <w:spacing w:val="-63"/>
          <w:sz w:val="22"/>
          <w:szCs w:val="22"/>
        </w:rPr>
        <w:t xml:space="preserve"> </w:t>
      </w:r>
      <w:r>
        <w:rPr>
          <w:spacing w:val="9"/>
          <w:sz w:val="22"/>
          <w:szCs w:val="22"/>
        </w:rPr>
        <w:t>最大显示值。</w:t>
      </w:r>
    </w:p>
    <w:p>
      <w:pPr>
        <w:pStyle w:val="BodyText"/>
        <w:spacing w:before="99" w:line="219" w:lineRule="auto"/>
        <w:ind w:left="19"/>
        <w:rPr>
          <w:sz w:val="22"/>
          <w:szCs w:val="22"/>
        </w:rPr>
      </w:pPr>
      <w:r>
        <w:rPr>
          <w:spacing w:val="5"/>
          <w:sz w:val="22"/>
          <w:szCs w:val="22"/>
        </w:rPr>
        <w:t>10.1.2.9.6</w:t>
      </w:r>
      <w:r>
        <w:rPr>
          <w:spacing w:val="50"/>
          <w:sz w:val="22"/>
          <w:szCs w:val="22"/>
        </w:rPr>
        <w:t xml:space="preserve">  </w:t>
      </w:r>
      <w:r>
        <w:rPr>
          <w:spacing w:val="5"/>
          <w:sz w:val="22"/>
          <w:szCs w:val="22"/>
        </w:rPr>
        <w:t>合格判据</w:t>
      </w:r>
    </w:p>
    <w:p>
      <w:pPr>
        <w:pStyle w:val="BodyText"/>
        <w:spacing w:before="119" w:line="219" w:lineRule="auto"/>
        <w:ind w:left="499"/>
        <w:rPr>
          <w:sz w:val="22"/>
          <w:szCs w:val="22"/>
        </w:rPr>
      </w:pPr>
      <w:r>
        <w:rPr>
          <w:spacing w:val="21"/>
          <w:sz w:val="22"/>
          <w:szCs w:val="22"/>
        </w:rPr>
        <w:t>各级照度计的非线性误差应符合6.9的要求。</w:t>
      </w:r>
    </w:p>
    <w:p>
      <w:pPr>
        <w:pStyle w:val="BodyText"/>
        <w:spacing w:before="89" w:line="219" w:lineRule="auto"/>
        <w:ind w:left="19"/>
        <w:rPr>
          <w:sz w:val="22"/>
          <w:szCs w:val="22"/>
        </w:rPr>
      </w:pPr>
      <w:r>
        <w:rPr>
          <w:spacing w:val="10"/>
          <w:sz w:val="22"/>
          <w:szCs w:val="22"/>
        </w:rPr>
        <w:t>10.2</w:t>
      </w:r>
      <w:r>
        <w:rPr>
          <w:spacing w:val="24"/>
          <w:sz w:val="22"/>
          <w:szCs w:val="22"/>
        </w:rPr>
        <w:t xml:space="preserve">  </w:t>
      </w:r>
      <w:r>
        <w:rPr>
          <w:spacing w:val="10"/>
          <w:sz w:val="22"/>
          <w:szCs w:val="22"/>
        </w:rPr>
        <w:t>通用技术要求</w:t>
      </w:r>
    </w:p>
    <w:p>
      <w:pPr>
        <w:pStyle w:val="BodyText"/>
        <w:spacing w:before="100" w:line="270" w:lineRule="auto"/>
        <w:ind w:left="28" w:right="7092" w:hanging="9"/>
        <w:rPr>
          <w:sz w:val="22"/>
          <w:szCs w:val="22"/>
        </w:rPr>
      </w:pPr>
      <w:r>
        <w:rPr>
          <w:spacing w:val="4"/>
          <w:sz w:val="22"/>
          <w:szCs w:val="22"/>
        </w:rPr>
        <w:t>10.2.1</w:t>
      </w:r>
      <w:r>
        <w:rPr>
          <w:spacing w:val="46"/>
          <w:sz w:val="22"/>
          <w:szCs w:val="22"/>
        </w:rPr>
        <w:t xml:space="preserve">  </w:t>
      </w:r>
      <w:r>
        <w:rPr>
          <w:spacing w:val="4"/>
          <w:sz w:val="22"/>
          <w:szCs w:val="22"/>
        </w:rPr>
        <w:t>电气安全性</w:t>
      </w:r>
      <w:r>
        <w:rPr>
          <w:spacing w:val="1"/>
          <w:sz w:val="22"/>
          <w:szCs w:val="22"/>
        </w:rPr>
        <w:t xml:space="preserve"> </w:t>
      </w:r>
      <w:hyperlink r:id="rId49" w:history="1">
        <w:r>
          <w:rPr>
            <w:spacing w:val="6"/>
            <w:sz w:val="22"/>
            <w:szCs w:val="22"/>
          </w:rPr>
          <w:t>10.2.1.1</w:t>
        </w:r>
      </w:hyperlink>
      <w:r>
        <w:rPr>
          <w:spacing w:val="32"/>
          <w:sz w:val="22"/>
          <w:szCs w:val="22"/>
        </w:rPr>
        <w:t xml:space="preserve">  </w:t>
      </w:r>
      <w:r>
        <w:rPr>
          <w:spacing w:val="6"/>
          <w:sz w:val="22"/>
          <w:szCs w:val="22"/>
        </w:rPr>
        <w:t>绝缘电阻</w:t>
      </w:r>
    </w:p>
    <w:p>
      <w:pPr>
        <w:pStyle w:val="BodyText"/>
        <w:spacing w:before="86" w:line="221" w:lineRule="auto"/>
        <w:ind w:left="29"/>
        <w:rPr>
          <w:sz w:val="22"/>
          <w:szCs w:val="22"/>
        </w:rPr>
      </w:pPr>
      <w:r>
        <w:rPr>
          <w:spacing w:val="5"/>
          <w:sz w:val="22"/>
          <w:szCs w:val="22"/>
        </w:rPr>
        <w:t>10.2.1.1.1</w:t>
      </w:r>
      <w:r>
        <w:rPr>
          <w:spacing w:val="43"/>
          <w:sz w:val="22"/>
          <w:szCs w:val="22"/>
        </w:rPr>
        <w:t xml:space="preserve">  </w:t>
      </w:r>
      <w:r>
        <w:rPr>
          <w:spacing w:val="5"/>
          <w:sz w:val="22"/>
          <w:szCs w:val="22"/>
        </w:rPr>
        <w:t>试验目的</w:t>
      </w:r>
    </w:p>
    <w:p>
      <w:pPr>
        <w:pStyle w:val="BodyText"/>
        <w:spacing w:before="115" w:line="360" w:lineRule="exact"/>
        <w:ind w:left="499"/>
        <w:rPr>
          <w:sz w:val="22"/>
          <w:szCs w:val="22"/>
        </w:rPr>
      </w:pPr>
      <w:r>
        <w:rPr>
          <w:spacing w:val="19"/>
          <w:position w:val="10"/>
          <w:sz w:val="22"/>
          <w:szCs w:val="22"/>
        </w:rPr>
        <w:t>评定外接交流电源的照度计的绝缘电阻是否满足</w:t>
      </w:r>
      <w:hyperlink r:id="rId20" w:history="1">
        <w:r>
          <w:rPr>
            <w:spacing w:val="19"/>
            <w:position w:val="10"/>
            <w:sz w:val="22"/>
            <w:szCs w:val="22"/>
          </w:rPr>
          <w:t>7.2.2.</w:t>
        </w:r>
        <w:r>
          <w:rPr>
            <w:spacing w:val="-60"/>
            <w:position w:val="10"/>
            <w:sz w:val="22"/>
            <w:szCs w:val="22"/>
          </w:rPr>
          <w:t xml:space="preserve"> </w:t>
        </w:r>
        <w:r>
          <w:rPr>
            <w:spacing w:val="19"/>
            <w:position w:val="10"/>
            <w:sz w:val="22"/>
            <w:szCs w:val="22"/>
          </w:rPr>
          <w:t>1</w:t>
        </w:r>
      </w:hyperlink>
      <w:r>
        <w:rPr>
          <w:spacing w:val="19"/>
          <w:position w:val="10"/>
          <w:sz w:val="22"/>
          <w:szCs w:val="22"/>
        </w:rPr>
        <w:t>要求。</w:t>
      </w:r>
    </w:p>
    <w:p>
      <w:pPr>
        <w:pStyle w:val="BodyText"/>
        <w:spacing w:before="1" w:line="219" w:lineRule="auto"/>
        <w:ind w:left="19"/>
        <w:rPr>
          <w:sz w:val="22"/>
          <w:szCs w:val="22"/>
        </w:rPr>
      </w:pPr>
      <w:r>
        <w:rPr>
          <w:spacing w:val="5"/>
          <w:sz w:val="22"/>
          <w:szCs w:val="22"/>
        </w:rPr>
        <w:t>10.2.1.1.2</w:t>
      </w:r>
      <w:r>
        <w:rPr>
          <w:spacing w:val="49"/>
          <w:sz w:val="22"/>
          <w:szCs w:val="22"/>
        </w:rPr>
        <w:t xml:space="preserve">  </w:t>
      </w:r>
      <w:r>
        <w:rPr>
          <w:spacing w:val="5"/>
          <w:sz w:val="22"/>
          <w:szCs w:val="22"/>
        </w:rPr>
        <w:t>试验条件</w:t>
      </w:r>
    </w:p>
    <w:p>
      <w:pPr>
        <w:pStyle w:val="BodyText"/>
        <w:spacing w:before="64" w:line="212" w:lineRule="auto"/>
        <w:ind w:left="489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32"/>
          <w:sz w:val="22"/>
          <w:szCs w:val="22"/>
        </w:rPr>
        <w:t>a)</w:t>
      </w:r>
      <w:r>
        <w:rPr>
          <w:rFonts w:ascii="Times New Roman" w:eastAsia="Times New Roman" w:hAnsi="Times New Roman" w:cs="Times New Roman"/>
          <w:spacing w:val="9"/>
          <w:sz w:val="22"/>
          <w:szCs w:val="22"/>
        </w:rPr>
        <w:t xml:space="preserve">  </w:t>
      </w:r>
      <w:r>
        <w:rPr>
          <w:spacing w:val="32"/>
          <w:sz w:val="22"/>
          <w:szCs w:val="22"/>
        </w:rPr>
        <w:t>温度：(0～40)℃;</w:t>
      </w:r>
    </w:p>
    <w:p>
      <w:pPr>
        <w:pStyle w:val="BodyText"/>
        <w:spacing w:before="143" w:line="220" w:lineRule="auto"/>
        <w:ind w:left="469"/>
        <w:rPr>
          <w:sz w:val="22"/>
          <w:szCs w:val="22"/>
        </w:rPr>
      </w:pPr>
      <w:r>
        <w:rPr>
          <w:spacing w:val="30"/>
          <w:sz w:val="22"/>
          <w:szCs w:val="22"/>
        </w:rPr>
        <w:t>b)</w:t>
      </w:r>
      <w:r>
        <w:rPr>
          <w:spacing w:val="-5"/>
          <w:sz w:val="22"/>
          <w:szCs w:val="22"/>
        </w:rPr>
        <w:t xml:space="preserve"> </w:t>
      </w:r>
      <w:r>
        <w:rPr>
          <w:spacing w:val="30"/>
          <w:sz w:val="22"/>
          <w:szCs w:val="22"/>
        </w:rPr>
        <w:t>相对湿度：≤85%;</w:t>
      </w:r>
    </w:p>
    <w:p>
      <w:pPr>
        <w:pStyle w:val="BodyText"/>
        <w:spacing w:before="62" w:line="212" w:lineRule="auto"/>
        <w:ind w:left="489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14"/>
          <w:sz w:val="22"/>
          <w:szCs w:val="22"/>
        </w:rPr>
        <w:t xml:space="preserve">c)  </w:t>
      </w:r>
      <w:r>
        <w:rPr>
          <w:spacing w:val="14"/>
          <w:sz w:val="22"/>
          <w:szCs w:val="22"/>
        </w:rPr>
        <w:t xml:space="preserve">电源电压：(220±22) </w:t>
      </w:r>
      <w:r>
        <w:rPr>
          <w:rFonts w:ascii="Times New Roman" w:eastAsia="Times New Roman" w:hAnsi="Times New Roman" w:cs="Times New Roman"/>
          <w:spacing w:val="14"/>
          <w:sz w:val="22"/>
          <w:szCs w:val="22"/>
        </w:rPr>
        <w:t xml:space="preserve">V;   </w:t>
      </w:r>
      <w:r>
        <w:rPr>
          <w:spacing w:val="14"/>
          <w:sz w:val="22"/>
          <w:szCs w:val="22"/>
        </w:rPr>
        <w:t xml:space="preserve">频率：(50±0.5) </w:t>
      </w:r>
      <w:r>
        <w:rPr>
          <w:rFonts w:ascii="Times New Roman" w:eastAsia="Times New Roman" w:hAnsi="Times New Roman" w:cs="Times New Roman"/>
          <w:sz w:val="22"/>
          <w:szCs w:val="22"/>
        </w:rPr>
        <w:t>Hz</w:t>
      </w:r>
      <w:r>
        <w:rPr>
          <w:rFonts w:ascii="Times New Roman" w:eastAsia="Times New Roman" w:hAnsi="Times New Roman" w:cs="Times New Roman"/>
          <w:spacing w:val="14"/>
          <w:sz w:val="22"/>
          <w:szCs w:val="22"/>
        </w:rPr>
        <w:t>;</w:t>
      </w:r>
    </w:p>
    <w:p>
      <w:pPr>
        <w:pStyle w:val="BodyText"/>
        <w:spacing w:before="128" w:line="268" w:lineRule="auto"/>
        <w:ind w:left="29" w:right="759" w:firstLine="469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19"/>
          <w:sz w:val="22"/>
          <w:szCs w:val="22"/>
        </w:rPr>
        <w:t>d)</w:t>
      </w:r>
      <w:r>
        <w:rPr>
          <w:rFonts w:ascii="Times New Roman" w:eastAsia="Times New Roman" w:hAnsi="Times New Roman" w:cs="Times New Roman"/>
          <w:spacing w:val="54"/>
          <w:w w:val="101"/>
          <w:sz w:val="22"/>
          <w:szCs w:val="22"/>
        </w:rPr>
        <w:t xml:space="preserve"> </w:t>
      </w:r>
      <w:r>
        <w:rPr>
          <w:spacing w:val="19"/>
          <w:sz w:val="22"/>
          <w:szCs w:val="22"/>
        </w:rPr>
        <w:t>试验环境应在无污染、振动、电磁干扰，不影响测量结果的条件下进行。</w:t>
      </w:r>
      <w:r>
        <w:rPr>
          <w:sz w:val="22"/>
          <w:szCs w:val="22"/>
        </w:rPr>
        <w:t xml:space="preserve"> </w:t>
      </w:r>
      <w:r>
        <w:rPr>
          <w:spacing w:val="4"/>
          <w:sz w:val="22"/>
          <w:szCs w:val="22"/>
        </w:rPr>
        <w:t>10.2.1.1.3</w:t>
      </w:r>
      <w:r>
        <w:rPr>
          <w:spacing w:val="51"/>
          <w:sz w:val="22"/>
          <w:szCs w:val="22"/>
        </w:rPr>
        <w:t xml:space="preserve">  </w:t>
      </w:r>
      <w:r>
        <w:rPr>
          <w:spacing w:val="4"/>
          <w:sz w:val="22"/>
          <w:szCs w:val="22"/>
        </w:rPr>
        <w:t>试验设备</w:t>
      </w:r>
      <w:r>
        <w:rPr>
          <w:sz w:val="22"/>
          <w:szCs w:val="22"/>
        </w:rPr>
        <w:br/>
      </w:r>
      <w:r>
        <w:rPr>
          <w:sz w:val="22"/>
          <w:szCs w:val="2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https://d.book118.com/338045143032006027</w:t>
        </w:r>
      </w:hyperlink>
    </w:p>
    <w:p>
      <w:pPr>
        <w:pStyle w:val="BodyText"/>
        <w:spacing w:before="128" w:line="268" w:lineRule="auto"/>
        <w:ind w:left="29" w:right="759" w:firstLine="469"/>
        <w:rPr>
          <w:sz w:val="22"/>
          <w:szCs w:val="22"/>
        </w:rPr>
      </w:pPr>
    </w:p>
    <w:sectPr>
      <w:headerReference w:type="default" r:id="rId128"/>
      <w:footerReference w:type="default" r:id="rId129"/>
      <w:pgSz w:w="11900" w:h="16840"/>
      <w:pgMar w:top="1770" w:right="1250" w:bottom="1052" w:left="1410" w:header="1501" w:footer="893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890"/>
      <w:rPr>
        <w:sz w:val="15"/>
        <w:szCs w:val="15"/>
      </w:rPr>
    </w:pPr>
    <w:r>
      <w:rPr>
        <w:sz w:val="15"/>
        <w:szCs w:val="15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890"/>
      <w:rPr>
        <w:sz w:val="15"/>
        <w:szCs w:val="15"/>
      </w:rPr>
    </w:pPr>
    <w:r>
      <w:rPr>
        <w:sz w:val="15"/>
        <w:szCs w:val="15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30"/>
      <w:rPr>
        <w:sz w:val="16"/>
        <w:szCs w:val="16"/>
      </w:rPr>
    </w:pPr>
    <w:r>
      <w:rPr>
        <w:sz w:val="16"/>
        <w:szCs w:val="16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30"/>
      <w:rPr>
        <w:sz w:val="16"/>
        <w:szCs w:val="16"/>
      </w:rPr>
    </w:pPr>
    <w:r>
      <w:rPr>
        <w:sz w:val="16"/>
        <w:szCs w:val="16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910"/>
      <w:rPr>
        <w:sz w:val="15"/>
        <w:szCs w:val="15"/>
      </w:rPr>
    </w:pPr>
    <w:r>
      <w:rPr>
        <w:sz w:val="15"/>
        <w:szCs w:val="15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910"/>
      <w:rPr>
        <w:sz w:val="15"/>
        <w:szCs w:val="15"/>
      </w:rPr>
    </w:pPr>
    <w:r>
      <w:rPr>
        <w:sz w:val="15"/>
        <w:szCs w:val="15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40"/>
      <w:rPr>
        <w:sz w:val="15"/>
        <w:szCs w:val="15"/>
      </w:rPr>
    </w:pPr>
    <w:r>
      <w:rPr>
        <w:sz w:val="15"/>
        <w:szCs w:val="15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40"/>
      <w:rPr>
        <w:sz w:val="15"/>
        <w:szCs w:val="15"/>
      </w:rPr>
    </w:pPr>
    <w:r>
      <w:rPr>
        <w:sz w:val="15"/>
        <w:szCs w:val="15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8890"/>
      <w:rPr>
        <w:sz w:val="15"/>
        <w:szCs w:val="15"/>
      </w:rPr>
    </w:pPr>
    <w:r>
      <w:rPr>
        <w:sz w:val="15"/>
        <w:szCs w:val="15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8890"/>
      <w:rPr>
        <w:sz w:val="15"/>
        <w:szCs w:val="15"/>
      </w:rPr>
    </w:pPr>
    <w:r>
      <w:rPr>
        <w:sz w:val="15"/>
        <w:szCs w:val="15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40"/>
      <w:rPr>
        <w:sz w:val="15"/>
        <w:szCs w:val="15"/>
      </w:rPr>
    </w:pPr>
    <w:r>
      <w:rPr>
        <w:sz w:val="15"/>
        <w:szCs w:val="15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40"/>
      <w:rPr>
        <w:sz w:val="15"/>
        <w:szCs w:val="15"/>
      </w:rPr>
    </w:pPr>
    <w:r>
      <w:rPr>
        <w:sz w:val="15"/>
        <w:szCs w:val="15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8910"/>
      <w:rPr>
        <w:sz w:val="14"/>
        <w:szCs w:val="14"/>
      </w:rPr>
    </w:pPr>
    <w:r>
      <w:rPr>
        <w:sz w:val="14"/>
        <w:szCs w:val="14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8910"/>
      <w:rPr>
        <w:sz w:val="14"/>
        <w:szCs w:val="14"/>
      </w:rPr>
    </w:pPr>
    <w:r>
      <w:rPr>
        <w:sz w:val="14"/>
        <w:szCs w:val="14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3" w:lineRule="auto"/>
      <w:ind w:left="140"/>
      <w:rPr>
        <w:rFonts w:ascii="FZYaoTi" w:eastAsia="FZYaoTi" w:hAnsi="FZYaoTi" w:cs="FZYaoTi"/>
        <w:sz w:val="14"/>
        <w:szCs w:val="14"/>
      </w:rPr>
    </w:pPr>
    <w:r>
      <w:rPr>
        <w:rFonts w:ascii="FZYaoTi" w:eastAsia="FZYaoTi" w:hAnsi="FZYaoTi" w:cs="FZYaoTi"/>
        <w:sz w:val="14"/>
        <w:szCs w:val="14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3" w:lineRule="auto"/>
      <w:ind w:left="140"/>
      <w:rPr>
        <w:rFonts w:ascii="FZYaoTi" w:eastAsia="FZYaoTi" w:hAnsi="FZYaoTi" w:cs="FZYaoTi"/>
        <w:sz w:val="14"/>
        <w:szCs w:val="14"/>
      </w:rPr>
    </w:pPr>
    <w:r>
      <w:rPr>
        <w:rFonts w:ascii="FZYaoTi" w:eastAsia="FZYaoTi" w:hAnsi="FZYaoTi" w:cs="FZYaoTi"/>
        <w:sz w:val="14"/>
        <w:szCs w:val="14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919"/>
      <w:rPr>
        <w:sz w:val="15"/>
        <w:szCs w:val="15"/>
      </w:rPr>
    </w:pPr>
    <w:r>
      <w:rPr>
        <w:sz w:val="15"/>
        <w:szCs w:val="15"/>
      </w:rPr>
      <w:t>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919"/>
      <w:rPr>
        <w:sz w:val="15"/>
        <w:szCs w:val="15"/>
      </w:rPr>
    </w:pPr>
    <w:r>
      <w:rPr>
        <w:sz w:val="15"/>
        <w:szCs w:val="15"/>
      </w:rPr>
      <w:t>9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919"/>
      <w:rPr>
        <w:sz w:val="15"/>
        <w:szCs w:val="15"/>
      </w:rPr>
    </w:pPr>
    <w:r>
      <w:rPr>
        <w:sz w:val="15"/>
        <w:szCs w:val="15"/>
      </w:rPr>
      <w:t>9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40"/>
      <w:rPr>
        <w:sz w:val="16"/>
        <w:szCs w:val="16"/>
      </w:rPr>
    </w:pPr>
    <w:r>
      <w:rPr>
        <w:spacing w:val="-5"/>
        <w:sz w:val="16"/>
        <w:szCs w:val="16"/>
      </w:rPr>
      <w:t>10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40"/>
      <w:rPr>
        <w:sz w:val="16"/>
        <w:szCs w:val="16"/>
      </w:rPr>
    </w:pPr>
    <w:r>
      <w:rPr>
        <w:spacing w:val="-5"/>
        <w:sz w:val="16"/>
        <w:szCs w:val="16"/>
      </w:rPr>
      <w:t>10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40"/>
      <w:rPr>
        <w:sz w:val="16"/>
        <w:szCs w:val="16"/>
      </w:rPr>
    </w:pPr>
    <w:r>
      <w:rPr>
        <w:spacing w:val="-5"/>
        <w:sz w:val="16"/>
        <w:szCs w:val="16"/>
      </w:rPr>
      <w:t>10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40"/>
      <w:rPr>
        <w:sz w:val="16"/>
        <w:szCs w:val="16"/>
      </w:rPr>
    </w:pPr>
    <w:r>
      <w:rPr>
        <w:spacing w:val="-5"/>
        <w:sz w:val="16"/>
        <w:szCs w:val="16"/>
      </w:rPr>
      <w:t>10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819"/>
      <w:rPr>
        <w:sz w:val="15"/>
        <w:szCs w:val="15"/>
      </w:rPr>
    </w:pPr>
    <w:r>
      <w:rPr>
        <w:spacing w:val="-5"/>
        <w:sz w:val="15"/>
        <w:szCs w:val="15"/>
      </w:rPr>
      <w:t>11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819"/>
      <w:rPr>
        <w:sz w:val="15"/>
        <w:szCs w:val="15"/>
      </w:rPr>
    </w:pPr>
    <w:r>
      <w:rPr>
        <w:spacing w:val="-5"/>
        <w:sz w:val="15"/>
        <w:szCs w:val="15"/>
      </w:rPr>
      <w:t>11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819"/>
      <w:rPr>
        <w:sz w:val="15"/>
        <w:szCs w:val="15"/>
      </w:rPr>
    </w:pPr>
    <w:r>
      <w:rPr>
        <w:spacing w:val="-5"/>
        <w:sz w:val="15"/>
        <w:szCs w:val="15"/>
      </w:rPr>
      <w:t>11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50"/>
      <w:rPr>
        <w:sz w:val="15"/>
        <w:szCs w:val="15"/>
      </w:rPr>
    </w:pPr>
    <w:r>
      <w:rPr>
        <w:spacing w:val="-5"/>
        <w:sz w:val="15"/>
        <w:szCs w:val="15"/>
      </w:rPr>
      <w:t>12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50"/>
      <w:rPr>
        <w:sz w:val="15"/>
        <w:szCs w:val="15"/>
      </w:rPr>
    </w:pPr>
    <w:r>
      <w:rPr>
        <w:spacing w:val="-5"/>
        <w:sz w:val="15"/>
        <w:szCs w:val="15"/>
      </w:rPr>
      <w:t>12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829"/>
      <w:rPr>
        <w:sz w:val="16"/>
        <w:szCs w:val="16"/>
      </w:rPr>
    </w:pPr>
    <w:r>
      <w:rPr>
        <w:spacing w:val="-5"/>
        <w:sz w:val="16"/>
        <w:szCs w:val="16"/>
      </w:rPr>
      <w:t>13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829"/>
      <w:rPr>
        <w:sz w:val="16"/>
        <w:szCs w:val="16"/>
      </w:rPr>
    </w:pPr>
    <w:r>
      <w:rPr>
        <w:spacing w:val="-5"/>
        <w:sz w:val="16"/>
        <w:szCs w:val="16"/>
      </w:rPr>
      <w:t>13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829"/>
      <w:rPr>
        <w:sz w:val="16"/>
        <w:szCs w:val="16"/>
      </w:rPr>
    </w:pPr>
    <w:r>
      <w:rPr>
        <w:spacing w:val="-5"/>
        <w:sz w:val="16"/>
        <w:szCs w:val="16"/>
      </w:rPr>
      <w:t>13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829"/>
      <w:rPr>
        <w:sz w:val="16"/>
        <w:szCs w:val="16"/>
      </w:rPr>
    </w:pPr>
    <w:r>
      <w:rPr>
        <w:spacing w:val="-5"/>
        <w:sz w:val="16"/>
        <w:szCs w:val="16"/>
      </w:rPr>
      <w:t>13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35"/>
      <w:rPr>
        <w:sz w:val="15"/>
        <w:szCs w:val="15"/>
      </w:rPr>
    </w:pPr>
    <w:r>
      <w:rPr>
        <w:spacing w:val="-5"/>
        <w:sz w:val="15"/>
        <w:szCs w:val="15"/>
      </w:rPr>
      <w:t>14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35"/>
      <w:rPr>
        <w:sz w:val="15"/>
        <w:szCs w:val="15"/>
      </w:rPr>
    </w:pPr>
    <w:r>
      <w:rPr>
        <w:spacing w:val="-5"/>
        <w:sz w:val="15"/>
        <w:szCs w:val="15"/>
      </w:rPr>
      <w:t>14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35"/>
      <w:rPr>
        <w:sz w:val="15"/>
        <w:szCs w:val="15"/>
      </w:rPr>
    </w:pPr>
    <w:r>
      <w:rPr>
        <w:spacing w:val="-5"/>
        <w:sz w:val="15"/>
        <w:szCs w:val="15"/>
      </w:rPr>
      <w:t>14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35"/>
      <w:rPr>
        <w:sz w:val="15"/>
        <w:szCs w:val="15"/>
      </w:rPr>
    </w:pPr>
    <w:r>
      <w:rPr>
        <w:spacing w:val="-5"/>
        <w:sz w:val="15"/>
        <w:szCs w:val="15"/>
      </w:rPr>
      <w:t>14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789"/>
      <w:rPr>
        <w:sz w:val="16"/>
        <w:szCs w:val="16"/>
      </w:rPr>
    </w:pPr>
    <w:r>
      <w:rPr>
        <w:spacing w:val="-5"/>
        <w:sz w:val="16"/>
        <w:szCs w:val="16"/>
      </w:rPr>
      <w:t>15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70"/>
    </w:pPr>
    <w:r>
      <w:rPr>
        <w:spacing w:val="-15"/>
      </w:rPr>
      <w:t>JJF</w:t>
    </w:r>
    <w:r>
      <w:rPr>
        <w:spacing w:val="11"/>
      </w:rPr>
      <w:t xml:space="preserve"> </w:t>
    </w:r>
    <w:r>
      <w:rPr>
        <w:spacing w:val="-15"/>
      </w:rPr>
      <w:t>1605—2016</w:t>
    </w:r>
  </w:p>
  <w:p>
    <w:pPr>
      <w:spacing w:before="68" w:line="10" w:lineRule="exact"/>
    </w:pPr>
    <w:r>
      <w:drawing>
        <wp:inline distT="0" distB="0" distL="0" distR="0">
          <wp:extent cx="5829311" cy="6375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311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70"/>
    </w:pPr>
    <w:r>
      <w:rPr>
        <w:spacing w:val="-15"/>
      </w:rPr>
      <w:t>JJF</w:t>
    </w:r>
    <w:r>
      <w:rPr>
        <w:spacing w:val="11"/>
      </w:rPr>
      <w:t xml:space="preserve"> </w:t>
    </w:r>
    <w:r>
      <w:rPr>
        <w:spacing w:val="-15"/>
      </w:rPr>
      <w:t>1605—2016</w:t>
    </w:r>
  </w:p>
  <w:p>
    <w:pPr>
      <w:spacing w:before="68" w:line="10" w:lineRule="exact"/>
    </w:pPr>
    <w:r>
      <w:drawing>
        <wp:inline distT="0" distB="0" distL="0" distR="0">
          <wp:extent cx="5829311" cy="6375"/>
          <wp:effectExtent l="0" t="0" r="0" b="0"/>
          <wp:docPr id="166856915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856915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311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52"/>
      <w:rPr>
        <w:sz w:val="20"/>
        <w:szCs w:val="20"/>
      </w:rPr>
    </w:pPr>
    <w:r>
      <w:rPr>
        <w:b/>
        <w:bCs/>
        <w:spacing w:val="-5"/>
        <w:sz w:val="20"/>
        <w:szCs w:val="20"/>
      </w:rPr>
      <w:t>JJF</w:t>
    </w:r>
    <w:r>
      <w:rPr>
        <w:spacing w:val="48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1605—2016</w:t>
    </w:r>
  </w:p>
  <w:p>
    <w:pPr>
      <w:spacing w:before="86" w:line="10" w:lineRule="exact"/>
    </w:pPr>
    <w:r>
      <w:drawing>
        <wp:inline distT="0" distB="0" distL="0" distR="0">
          <wp:extent cx="5810269" cy="6375"/>
          <wp:effectExtent l="0" t="0" r="0" b="0"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10269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52"/>
      <w:rPr>
        <w:sz w:val="20"/>
        <w:szCs w:val="20"/>
      </w:rPr>
    </w:pPr>
    <w:r>
      <w:rPr>
        <w:b/>
        <w:bCs/>
        <w:spacing w:val="-5"/>
        <w:sz w:val="20"/>
        <w:szCs w:val="20"/>
      </w:rPr>
      <w:t>JJF</w:t>
    </w:r>
    <w:r>
      <w:rPr>
        <w:spacing w:val="48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1605—2016</w:t>
    </w:r>
  </w:p>
  <w:p>
    <w:pPr>
      <w:spacing w:before="86" w:line="10" w:lineRule="exact"/>
    </w:pPr>
    <w:r>
      <w:drawing>
        <wp:inline distT="0" distB="0" distL="0" distR="0">
          <wp:extent cx="5810269" cy="6375"/>
          <wp:effectExtent l="0" t="0" r="0" b="0"/>
          <wp:docPr id="1460742159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0742159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10269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92"/>
      <w:rPr>
        <w:sz w:val="22"/>
        <w:szCs w:val="22"/>
      </w:rPr>
    </w:pPr>
    <w:r>
      <w:rPr>
        <w:b/>
        <w:bCs/>
        <w:spacing w:val="-12"/>
        <w:sz w:val="22"/>
        <w:szCs w:val="22"/>
      </w:rPr>
      <w:t>JJF</w:t>
    </w:r>
    <w:r>
      <w:rPr>
        <w:spacing w:val="16"/>
        <w:sz w:val="22"/>
        <w:szCs w:val="22"/>
      </w:rPr>
      <w:t xml:space="preserve"> </w:t>
    </w:r>
    <w:r>
      <w:rPr>
        <w:b/>
        <w:bCs/>
        <w:spacing w:val="-12"/>
        <w:sz w:val="22"/>
        <w:szCs w:val="22"/>
      </w:rPr>
      <w:t>1605—2016</w:t>
    </w:r>
  </w:p>
  <w:p>
    <w:pPr>
      <w:spacing w:before="93" w:line="10" w:lineRule="exact"/>
    </w:pPr>
    <w:r>
      <w:drawing>
        <wp:inline distT="0" distB="0" distL="0" distR="0">
          <wp:extent cx="5835657" cy="6375"/>
          <wp:effectExtent l="0" t="0" r="0" b="0"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35657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92"/>
      <w:rPr>
        <w:sz w:val="22"/>
        <w:szCs w:val="22"/>
      </w:rPr>
    </w:pPr>
    <w:r>
      <w:rPr>
        <w:b/>
        <w:bCs/>
        <w:spacing w:val="-12"/>
        <w:sz w:val="22"/>
        <w:szCs w:val="22"/>
      </w:rPr>
      <w:t>JJF</w:t>
    </w:r>
    <w:r>
      <w:rPr>
        <w:spacing w:val="16"/>
        <w:sz w:val="22"/>
        <w:szCs w:val="22"/>
      </w:rPr>
      <w:t xml:space="preserve"> </w:t>
    </w:r>
    <w:r>
      <w:rPr>
        <w:b/>
        <w:bCs/>
        <w:spacing w:val="-12"/>
        <w:sz w:val="22"/>
        <w:szCs w:val="22"/>
      </w:rPr>
      <w:t>1605—2016</w:t>
    </w:r>
  </w:p>
  <w:p>
    <w:pPr>
      <w:spacing w:before="93" w:line="10" w:lineRule="exact"/>
    </w:pPr>
    <w:r>
      <w:drawing>
        <wp:inline distT="0" distB="0" distL="0" distR="0">
          <wp:extent cx="5835657" cy="6375"/>
          <wp:effectExtent l="0" t="0" r="0" b="0"/>
          <wp:docPr id="1789876463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9876463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35657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82"/>
      <w:rPr>
        <w:sz w:val="19"/>
        <w:szCs w:val="19"/>
      </w:rPr>
    </w:pPr>
    <w:r>
      <w:rPr>
        <w:b/>
        <w:bCs/>
        <w:spacing w:val="-5"/>
        <w:sz w:val="19"/>
        <w:szCs w:val="19"/>
      </w:rPr>
      <w:t>JJF</w:t>
    </w:r>
    <w:r>
      <w:rPr>
        <w:spacing w:val="12"/>
        <w:sz w:val="19"/>
        <w:szCs w:val="19"/>
      </w:rPr>
      <w:t xml:space="preserve">  </w:t>
    </w:r>
    <w:r>
      <w:rPr>
        <w:b/>
        <w:bCs/>
        <w:spacing w:val="-5"/>
        <w:sz w:val="19"/>
        <w:szCs w:val="19"/>
      </w:rPr>
      <w:t>1605—2016</w:t>
    </w:r>
  </w:p>
  <w:p>
    <w:pPr>
      <w:spacing w:before="98" w:line="10" w:lineRule="exact"/>
      <w:ind w:firstLine="19"/>
    </w:pPr>
    <w:r>
      <w:drawing>
        <wp:inline distT="0" distB="0" distL="0" distR="0">
          <wp:extent cx="5816617" cy="6375"/>
          <wp:effectExtent l="0" t="0" r="0" b="0"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16617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82"/>
      <w:rPr>
        <w:sz w:val="19"/>
        <w:szCs w:val="19"/>
      </w:rPr>
    </w:pPr>
    <w:r>
      <w:rPr>
        <w:b/>
        <w:bCs/>
        <w:spacing w:val="-5"/>
        <w:sz w:val="19"/>
        <w:szCs w:val="19"/>
      </w:rPr>
      <w:t>JJF</w:t>
    </w:r>
    <w:r>
      <w:rPr>
        <w:spacing w:val="12"/>
        <w:sz w:val="19"/>
        <w:szCs w:val="19"/>
      </w:rPr>
      <w:t xml:space="preserve">  </w:t>
    </w:r>
    <w:r>
      <w:rPr>
        <w:b/>
        <w:bCs/>
        <w:spacing w:val="-5"/>
        <w:sz w:val="19"/>
        <w:szCs w:val="19"/>
      </w:rPr>
      <w:t>1605—2016</w:t>
    </w:r>
  </w:p>
  <w:p>
    <w:pPr>
      <w:spacing w:before="98" w:line="10" w:lineRule="exact"/>
      <w:ind w:firstLine="19"/>
    </w:pPr>
    <w:r>
      <w:drawing>
        <wp:inline distT="0" distB="0" distL="0" distR="0">
          <wp:extent cx="5816617" cy="6375"/>
          <wp:effectExtent l="0" t="0" r="0" b="0"/>
          <wp:docPr id="1828347705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8347705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16617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69"/>
      <w:rPr>
        <w:sz w:val="19"/>
        <w:szCs w:val="19"/>
      </w:rPr>
    </w:pPr>
    <w:r>
      <w:rPr>
        <w:spacing w:val="-3"/>
        <w:sz w:val="19"/>
        <w:szCs w:val="19"/>
      </w:rPr>
      <w:t>JJF</w:t>
    </w:r>
    <w:r>
      <w:rPr>
        <w:spacing w:val="24"/>
        <w:sz w:val="19"/>
        <w:szCs w:val="19"/>
      </w:rPr>
      <w:t xml:space="preserve">  </w:t>
    </w:r>
    <w:r>
      <w:rPr>
        <w:spacing w:val="-3"/>
        <w:sz w:val="19"/>
        <w:szCs w:val="19"/>
      </w:rPr>
      <w:t>1605—2016</w:t>
    </w:r>
  </w:p>
  <w:p>
    <w:pPr>
      <w:spacing w:before="85" w:line="10" w:lineRule="exact"/>
    </w:pPr>
    <w:r>
      <w:drawing>
        <wp:inline distT="0" distB="0" distL="0" distR="0">
          <wp:extent cx="5829311" cy="6375"/>
          <wp:effectExtent l="0" t="0" r="0" b="0"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311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69"/>
      <w:rPr>
        <w:sz w:val="19"/>
        <w:szCs w:val="19"/>
      </w:rPr>
    </w:pPr>
    <w:r>
      <w:rPr>
        <w:spacing w:val="-3"/>
        <w:sz w:val="19"/>
        <w:szCs w:val="19"/>
      </w:rPr>
      <w:t>JJF</w:t>
    </w:r>
    <w:r>
      <w:rPr>
        <w:spacing w:val="24"/>
        <w:sz w:val="19"/>
        <w:szCs w:val="19"/>
      </w:rPr>
      <w:t xml:space="preserve">  </w:t>
    </w:r>
    <w:r>
      <w:rPr>
        <w:spacing w:val="-3"/>
        <w:sz w:val="19"/>
        <w:szCs w:val="19"/>
      </w:rPr>
      <w:t>1605—2016</w:t>
    </w:r>
  </w:p>
  <w:p>
    <w:pPr>
      <w:spacing w:before="85" w:line="10" w:lineRule="exact"/>
    </w:pPr>
    <w:r>
      <w:drawing>
        <wp:inline distT="0" distB="0" distL="0" distR="0">
          <wp:extent cx="5829311" cy="6375"/>
          <wp:effectExtent l="0" t="0" r="0" b="0"/>
          <wp:docPr id="1838305072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8305072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311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52"/>
    </w:pPr>
    <w:r>
      <w:rPr>
        <w:b/>
        <w:bCs/>
        <w:spacing w:val="-20"/>
      </w:rPr>
      <w:t>JJF</w:t>
    </w:r>
    <w:r>
      <w:rPr>
        <w:spacing w:val="18"/>
      </w:rPr>
      <w:t xml:space="preserve"> </w:t>
    </w:r>
    <w:r>
      <w:rPr>
        <w:b/>
        <w:bCs/>
        <w:spacing w:val="-20"/>
      </w:rPr>
      <w:t>1605—2016</w:t>
    </w:r>
  </w:p>
  <w:p>
    <w:pPr>
      <w:spacing w:before="81" w:line="10" w:lineRule="exact"/>
    </w:pPr>
    <w:r>
      <w:drawing>
        <wp:inline distT="0" distB="0" distL="0" distR="0">
          <wp:extent cx="5822962" cy="6375"/>
          <wp:effectExtent l="0" t="0" r="0" b="0"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2962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52"/>
    </w:pPr>
    <w:r>
      <w:rPr>
        <w:b/>
        <w:bCs/>
        <w:spacing w:val="-20"/>
      </w:rPr>
      <w:t>JJF</w:t>
    </w:r>
    <w:r>
      <w:rPr>
        <w:spacing w:val="18"/>
      </w:rPr>
      <w:t xml:space="preserve"> </w:t>
    </w:r>
    <w:r>
      <w:rPr>
        <w:b/>
        <w:bCs/>
        <w:spacing w:val="-20"/>
      </w:rPr>
      <w:t>1605—2016</w:t>
    </w:r>
  </w:p>
  <w:p>
    <w:pPr>
      <w:spacing w:before="81" w:line="10" w:lineRule="exact"/>
    </w:pPr>
    <w:r>
      <w:drawing>
        <wp:inline distT="0" distB="0" distL="0" distR="0">
          <wp:extent cx="5822962" cy="6375"/>
          <wp:effectExtent l="0" t="0" r="0" b="0"/>
          <wp:docPr id="967143617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7143617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2962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92"/>
      <w:rPr>
        <w:sz w:val="20"/>
        <w:szCs w:val="20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908065</wp:posOffset>
          </wp:positionH>
          <wp:positionV relativeFrom="page">
            <wp:posOffset>1123981</wp:posOffset>
          </wp:positionV>
          <wp:extent cx="5835658" cy="12617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35658" cy="126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20"/>
        <w:szCs w:val="20"/>
      </w:rPr>
      <w:t>JJF</w:t>
    </w:r>
    <w:r>
      <w:rPr>
        <w:spacing w:val="68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1605—2016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92"/>
      <w:rPr>
        <w:sz w:val="20"/>
        <w:szCs w:val="20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908065</wp:posOffset>
          </wp:positionH>
          <wp:positionV relativeFrom="page">
            <wp:posOffset>1123981</wp:posOffset>
          </wp:positionV>
          <wp:extent cx="5835658" cy="12617"/>
          <wp:effectExtent l="0" t="0" r="0" b="0"/>
          <wp:wrapNone/>
          <wp:docPr id="1112533240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2533240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35658" cy="126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20"/>
        <w:szCs w:val="20"/>
      </w:rPr>
      <w:t>JJF</w:t>
    </w:r>
    <w:r>
      <w:rPr>
        <w:spacing w:val="68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1605—2016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50"/>
      <w:rPr>
        <w:sz w:val="21"/>
        <w:szCs w:val="21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806429</wp:posOffset>
          </wp:positionH>
          <wp:positionV relativeFrom="page">
            <wp:posOffset>1123981</wp:posOffset>
          </wp:positionV>
          <wp:extent cx="5822962" cy="12617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2962" cy="126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7"/>
        <w:sz w:val="21"/>
        <w:szCs w:val="21"/>
      </w:rPr>
      <w:t>JJF</w:t>
    </w:r>
    <w:r>
      <w:rPr>
        <w:spacing w:val="27"/>
        <w:sz w:val="21"/>
        <w:szCs w:val="21"/>
      </w:rPr>
      <w:t xml:space="preserve"> </w:t>
    </w:r>
    <w:r>
      <w:rPr>
        <w:spacing w:val="-7"/>
        <w:sz w:val="21"/>
        <w:szCs w:val="21"/>
      </w:rPr>
      <w:t>1605—2016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50"/>
      <w:rPr>
        <w:sz w:val="21"/>
        <w:szCs w:val="21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806429</wp:posOffset>
          </wp:positionH>
          <wp:positionV relativeFrom="page">
            <wp:posOffset>1123981</wp:posOffset>
          </wp:positionV>
          <wp:extent cx="5822962" cy="12617"/>
          <wp:effectExtent l="0" t="0" r="0" b="0"/>
          <wp:wrapNone/>
          <wp:docPr id="701650073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1650073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2962" cy="126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7"/>
        <w:sz w:val="21"/>
        <w:szCs w:val="21"/>
      </w:rPr>
      <w:t>JJF</w:t>
    </w:r>
    <w:r>
      <w:rPr>
        <w:spacing w:val="27"/>
        <w:sz w:val="21"/>
        <w:szCs w:val="21"/>
      </w:rPr>
      <w:t xml:space="preserve"> </w:t>
    </w:r>
    <w:r>
      <w:rPr>
        <w:spacing w:val="-7"/>
        <w:sz w:val="21"/>
        <w:szCs w:val="21"/>
      </w:rPr>
      <w:t>1605—2016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69"/>
      <w:rPr>
        <w:rFonts w:ascii="Times New Roman" w:eastAsia="Times New Roman" w:hAnsi="Times New Roman" w:cs="Times New Roman"/>
        <w:sz w:val="15"/>
        <w:szCs w:val="15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908065</wp:posOffset>
          </wp:positionH>
          <wp:positionV relativeFrom="page">
            <wp:posOffset>1092203</wp:posOffset>
          </wp:positionV>
          <wp:extent cx="5842005" cy="6350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200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5"/>
        <w:szCs w:val="15"/>
      </w:rPr>
      <w:t>JJF</w:t>
    </w:r>
    <w:r>
      <w:rPr>
        <w:rFonts w:ascii="Times New Roman" w:eastAsia="Times New Roman" w:hAnsi="Times New Roman" w:cs="Times New Roman"/>
        <w:spacing w:val="2"/>
        <w:sz w:val="15"/>
        <w:szCs w:val="15"/>
      </w:rPr>
      <w:t xml:space="preserve">            </w:t>
    </w:r>
    <w:r>
      <w:rPr>
        <w:rFonts w:ascii="Times New Roman" w:eastAsia="Times New Roman" w:hAnsi="Times New Roman" w:cs="Times New Roman"/>
        <w:spacing w:val="-2"/>
        <w:sz w:val="15"/>
        <w:szCs w:val="15"/>
      </w:rPr>
      <w:t>1605—2016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69"/>
      <w:rPr>
        <w:rFonts w:ascii="Times New Roman" w:eastAsia="Times New Roman" w:hAnsi="Times New Roman" w:cs="Times New Roman"/>
        <w:sz w:val="15"/>
        <w:szCs w:val="15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908065</wp:posOffset>
          </wp:positionH>
          <wp:positionV relativeFrom="page">
            <wp:posOffset>1092203</wp:posOffset>
          </wp:positionV>
          <wp:extent cx="5842005" cy="6350"/>
          <wp:effectExtent l="0" t="0" r="0" b="0"/>
          <wp:wrapNone/>
          <wp:docPr id="1670033329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0033329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200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5"/>
        <w:szCs w:val="15"/>
      </w:rPr>
      <w:t>JJF</w:t>
    </w:r>
    <w:r>
      <w:rPr>
        <w:rFonts w:ascii="Times New Roman" w:eastAsia="Times New Roman" w:hAnsi="Times New Roman" w:cs="Times New Roman"/>
        <w:spacing w:val="2"/>
        <w:sz w:val="15"/>
        <w:szCs w:val="15"/>
      </w:rPr>
      <w:t xml:space="preserve">            </w:t>
    </w:r>
    <w:r>
      <w:rPr>
        <w:rFonts w:ascii="Times New Roman" w:eastAsia="Times New Roman" w:hAnsi="Times New Roman" w:cs="Times New Roman"/>
        <w:spacing w:val="-2"/>
        <w:sz w:val="15"/>
        <w:szCs w:val="15"/>
      </w:rPr>
      <w:t>1605—2016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69"/>
      <w:rPr>
        <w:rFonts w:ascii="Times New Roman" w:eastAsia="Times New Roman" w:hAnsi="Times New Roman" w:cs="Times New Roman"/>
        <w:sz w:val="15"/>
        <w:szCs w:val="15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908065</wp:posOffset>
          </wp:positionH>
          <wp:positionV relativeFrom="page">
            <wp:posOffset>1092203</wp:posOffset>
          </wp:positionV>
          <wp:extent cx="5842005" cy="6350"/>
          <wp:effectExtent l="0" t="0" r="0" b="0"/>
          <wp:wrapNone/>
          <wp:docPr id="1310996421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0996421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200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5"/>
        <w:szCs w:val="15"/>
      </w:rPr>
      <w:t>JJF</w:t>
    </w:r>
    <w:r>
      <w:rPr>
        <w:rFonts w:ascii="Times New Roman" w:eastAsia="Times New Roman" w:hAnsi="Times New Roman" w:cs="Times New Roman"/>
        <w:spacing w:val="2"/>
        <w:sz w:val="15"/>
        <w:szCs w:val="15"/>
      </w:rPr>
      <w:t xml:space="preserve">            </w:t>
    </w:r>
    <w:r>
      <w:rPr>
        <w:rFonts w:ascii="Times New Roman" w:eastAsia="Times New Roman" w:hAnsi="Times New Roman" w:cs="Times New Roman"/>
        <w:spacing w:val="-2"/>
        <w:sz w:val="15"/>
        <w:szCs w:val="15"/>
      </w:rPr>
      <w:t>1605—2016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6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JJF</w:t>
    </w:r>
    <w:r>
      <w:rPr>
        <w:rFonts w:ascii="Times New Roman" w:eastAsia="Times New Roman" w:hAnsi="Times New Roman" w:cs="Times New Roman"/>
        <w:spacing w:val="2"/>
        <w:sz w:val="18"/>
        <w:szCs w:val="18"/>
      </w:rPr>
      <w:t xml:space="preserve">       </w:t>
    </w:r>
    <w:r>
      <w:rPr>
        <w:rFonts w:ascii="Times New Roman" w:eastAsia="Times New Roman" w:hAnsi="Times New Roman" w:cs="Times New Roman"/>
        <w:spacing w:val="-3"/>
        <w:sz w:val="18"/>
        <w:szCs w:val="18"/>
      </w:rPr>
      <w:t>1605—2016</w:t>
    </w:r>
  </w:p>
  <w:p>
    <w:pPr>
      <w:spacing w:before="73" w:line="10" w:lineRule="exact"/>
      <w:ind w:firstLine="9"/>
    </w:pPr>
    <w:r>
      <w:drawing>
        <wp:inline distT="0" distB="0" distL="0" distR="0">
          <wp:extent cx="5822962" cy="6375"/>
          <wp:effectExtent l="0" t="0" r="0" b="0"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2962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6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JJF</w:t>
    </w:r>
    <w:r>
      <w:rPr>
        <w:rFonts w:ascii="Times New Roman" w:eastAsia="Times New Roman" w:hAnsi="Times New Roman" w:cs="Times New Roman"/>
        <w:spacing w:val="2"/>
        <w:sz w:val="18"/>
        <w:szCs w:val="18"/>
      </w:rPr>
      <w:t xml:space="preserve">       </w:t>
    </w:r>
    <w:r>
      <w:rPr>
        <w:rFonts w:ascii="Times New Roman" w:eastAsia="Times New Roman" w:hAnsi="Times New Roman" w:cs="Times New Roman"/>
        <w:spacing w:val="-3"/>
        <w:sz w:val="18"/>
        <w:szCs w:val="18"/>
      </w:rPr>
      <w:t>1605—2016</w:t>
    </w:r>
  </w:p>
  <w:p>
    <w:pPr>
      <w:spacing w:before="73" w:line="10" w:lineRule="exact"/>
      <w:ind w:firstLine="9"/>
    </w:pPr>
    <w:r>
      <w:drawing>
        <wp:inline distT="0" distB="0" distL="0" distR="0">
          <wp:extent cx="5822962" cy="6375"/>
          <wp:effectExtent l="0" t="0" r="0" b="0"/>
          <wp:docPr id="904474089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4474089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2962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6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JJF</w:t>
    </w:r>
    <w:r>
      <w:rPr>
        <w:rFonts w:ascii="Times New Roman" w:eastAsia="Times New Roman" w:hAnsi="Times New Roman" w:cs="Times New Roman"/>
        <w:spacing w:val="2"/>
        <w:sz w:val="18"/>
        <w:szCs w:val="18"/>
      </w:rPr>
      <w:t xml:space="preserve">       </w:t>
    </w:r>
    <w:r>
      <w:rPr>
        <w:rFonts w:ascii="Times New Roman" w:eastAsia="Times New Roman" w:hAnsi="Times New Roman" w:cs="Times New Roman"/>
        <w:spacing w:val="-3"/>
        <w:sz w:val="18"/>
        <w:szCs w:val="18"/>
      </w:rPr>
      <w:t>1605—2016</w:t>
    </w:r>
  </w:p>
  <w:p>
    <w:pPr>
      <w:spacing w:before="73" w:line="10" w:lineRule="exact"/>
      <w:ind w:firstLine="9"/>
    </w:pPr>
    <w:r>
      <w:drawing>
        <wp:inline distT="0" distB="0" distL="0" distR="0">
          <wp:extent cx="5822962" cy="6375"/>
          <wp:effectExtent l="0" t="0" r="0" b="0"/>
          <wp:docPr id="1322538413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2538413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2962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6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JJF</w:t>
    </w:r>
    <w:r>
      <w:rPr>
        <w:rFonts w:ascii="Times New Roman" w:eastAsia="Times New Roman" w:hAnsi="Times New Roman" w:cs="Times New Roman"/>
        <w:spacing w:val="2"/>
        <w:sz w:val="18"/>
        <w:szCs w:val="18"/>
      </w:rPr>
      <w:t xml:space="preserve">       </w:t>
    </w:r>
    <w:r>
      <w:rPr>
        <w:rFonts w:ascii="Times New Roman" w:eastAsia="Times New Roman" w:hAnsi="Times New Roman" w:cs="Times New Roman"/>
        <w:spacing w:val="-3"/>
        <w:sz w:val="18"/>
        <w:szCs w:val="18"/>
      </w:rPr>
      <w:t>1605—2016</w:t>
    </w:r>
  </w:p>
  <w:p>
    <w:pPr>
      <w:spacing w:before="73" w:line="10" w:lineRule="exact"/>
      <w:ind w:firstLine="9"/>
    </w:pPr>
    <w:r>
      <w:drawing>
        <wp:inline distT="0" distB="0" distL="0" distR="0">
          <wp:extent cx="5822962" cy="6375"/>
          <wp:effectExtent l="0" t="0" r="0" b="0"/>
          <wp:docPr id="152931353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9313538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2962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60"/>
      <w:rPr>
        <w:rFonts w:ascii="Times New Roman" w:eastAsia="Times New Roman" w:hAnsi="Times New Roman" w:cs="Times New Roman"/>
        <w:sz w:val="17"/>
        <w:szCs w:val="17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914412</wp:posOffset>
          </wp:positionH>
          <wp:positionV relativeFrom="page">
            <wp:posOffset>1092203</wp:posOffset>
          </wp:positionV>
          <wp:extent cx="5842005" cy="6350"/>
          <wp:effectExtent l="0" t="0" r="0" b="0"/>
          <wp:wrapNone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200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7"/>
        <w:szCs w:val="17"/>
      </w:rPr>
      <w:t>JJF         1605—2016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60"/>
      <w:rPr>
        <w:rFonts w:ascii="Times New Roman" w:eastAsia="Times New Roman" w:hAnsi="Times New Roman" w:cs="Times New Roman"/>
        <w:sz w:val="17"/>
        <w:szCs w:val="17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914412</wp:posOffset>
          </wp:positionH>
          <wp:positionV relativeFrom="page">
            <wp:posOffset>1092203</wp:posOffset>
          </wp:positionV>
          <wp:extent cx="5842005" cy="6350"/>
          <wp:effectExtent l="0" t="0" r="0" b="0"/>
          <wp:wrapNone/>
          <wp:docPr id="1001312482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1312482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200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7"/>
        <w:szCs w:val="17"/>
      </w:rPr>
      <w:t>JJF         1605—2016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60"/>
      <w:rPr>
        <w:rFonts w:ascii="Times New Roman" w:eastAsia="Times New Roman" w:hAnsi="Times New Roman" w:cs="Times New Roman"/>
        <w:sz w:val="17"/>
        <w:szCs w:val="17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914412</wp:posOffset>
          </wp:positionH>
          <wp:positionV relativeFrom="page">
            <wp:posOffset>1092203</wp:posOffset>
          </wp:positionV>
          <wp:extent cx="5842005" cy="6350"/>
          <wp:effectExtent l="0" t="0" r="0" b="0"/>
          <wp:wrapNone/>
          <wp:docPr id="612305323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2305323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200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7"/>
        <w:szCs w:val="17"/>
      </w:rPr>
      <w:t>JJF         1605—2016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JJF       1605—2016</w:t>
    </w:r>
  </w:p>
  <w:p>
    <w:pPr>
      <w:spacing w:before="73" w:line="10" w:lineRule="exact"/>
    </w:pPr>
    <w:r>
      <w:drawing>
        <wp:inline distT="0" distB="0" distL="0" distR="0">
          <wp:extent cx="5822963" cy="6375"/>
          <wp:effectExtent l="0" t="0" r="0" b="0"/>
          <wp:docPr id="4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 4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2963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JJF       1605—2016</w:t>
    </w:r>
  </w:p>
  <w:p>
    <w:pPr>
      <w:spacing w:before="73" w:line="10" w:lineRule="exact"/>
    </w:pPr>
    <w:r>
      <w:drawing>
        <wp:inline distT="0" distB="0" distL="0" distR="0">
          <wp:extent cx="5822963" cy="6375"/>
          <wp:effectExtent l="0" t="0" r="0" b="0"/>
          <wp:docPr id="1029984589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9984589" name="IM 4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2963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69"/>
      <w:rPr>
        <w:rFonts w:ascii="Times New Roman" w:eastAsia="Times New Roman" w:hAnsi="Times New Roman" w:cs="Times New Roman"/>
        <w:sz w:val="16"/>
        <w:szCs w:val="16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901717</wp:posOffset>
          </wp:positionH>
          <wp:positionV relativeFrom="page">
            <wp:posOffset>1104927</wp:posOffset>
          </wp:positionV>
          <wp:extent cx="5835658" cy="6350"/>
          <wp:effectExtent l="0" t="0" r="0" b="0"/>
          <wp:wrapNone/>
          <wp:docPr id="50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 5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3565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6"/>
        <w:szCs w:val="16"/>
      </w:rPr>
      <w:t>JJF</w:t>
    </w:r>
    <w:r>
      <w:rPr>
        <w:rFonts w:ascii="Times New Roman" w:eastAsia="Times New Roman" w:hAnsi="Times New Roman" w:cs="Times New Roman"/>
        <w:spacing w:val="2"/>
        <w:sz w:val="16"/>
        <w:szCs w:val="16"/>
      </w:rPr>
      <w:t xml:space="preserve">          </w:t>
    </w:r>
    <w:r>
      <w:rPr>
        <w:rFonts w:ascii="Times New Roman" w:eastAsia="Times New Roman" w:hAnsi="Times New Roman" w:cs="Times New Roman"/>
        <w:spacing w:val="-2"/>
        <w:sz w:val="16"/>
        <w:szCs w:val="16"/>
      </w:rPr>
      <w:t>1605—2016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69"/>
      <w:rPr>
        <w:rFonts w:ascii="Times New Roman" w:eastAsia="Times New Roman" w:hAnsi="Times New Roman" w:cs="Times New Roman"/>
        <w:sz w:val="16"/>
        <w:szCs w:val="16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901717</wp:posOffset>
          </wp:positionH>
          <wp:positionV relativeFrom="page">
            <wp:posOffset>1104927</wp:posOffset>
          </wp:positionV>
          <wp:extent cx="5835658" cy="6350"/>
          <wp:effectExtent l="0" t="0" r="0" b="0"/>
          <wp:wrapNone/>
          <wp:docPr id="355278661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5278661" name="IM 5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3565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6"/>
        <w:szCs w:val="16"/>
      </w:rPr>
      <w:t>JJF</w:t>
    </w:r>
    <w:r>
      <w:rPr>
        <w:rFonts w:ascii="Times New Roman" w:eastAsia="Times New Roman" w:hAnsi="Times New Roman" w:cs="Times New Roman"/>
        <w:spacing w:val="2"/>
        <w:sz w:val="16"/>
        <w:szCs w:val="16"/>
      </w:rPr>
      <w:t xml:space="preserve">          </w:t>
    </w:r>
    <w:r>
      <w:rPr>
        <w:rFonts w:ascii="Times New Roman" w:eastAsia="Times New Roman" w:hAnsi="Times New Roman" w:cs="Times New Roman"/>
        <w:spacing w:val="-2"/>
        <w:sz w:val="16"/>
        <w:szCs w:val="16"/>
      </w:rPr>
      <w:t>1605—2016</w: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69"/>
      <w:rPr>
        <w:rFonts w:ascii="Times New Roman" w:eastAsia="Times New Roman" w:hAnsi="Times New Roman" w:cs="Times New Roman"/>
        <w:sz w:val="16"/>
        <w:szCs w:val="16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901717</wp:posOffset>
          </wp:positionH>
          <wp:positionV relativeFrom="page">
            <wp:posOffset>1104927</wp:posOffset>
          </wp:positionV>
          <wp:extent cx="5835658" cy="6350"/>
          <wp:effectExtent l="0" t="0" r="0" b="0"/>
          <wp:wrapNone/>
          <wp:docPr id="2009819421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9819421" name="IM 5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3565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6"/>
        <w:szCs w:val="16"/>
      </w:rPr>
      <w:t>JJF</w:t>
    </w:r>
    <w:r>
      <w:rPr>
        <w:rFonts w:ascii="Times New Roman" w:eastAsia="Times New Roman" w:hAnsi="Times New Roman" w:cs="Times New Roman"/>
        <w:spacing w:val="2"/>
        <w:sz w:val="16"/>
        <w:szCs w:val="16"/>
      </w:rPr>
      <w:t xml:space="preserve">          </w:t>
    </w:r>
    <w:r>
      <w:rPr>
        <w:rFonts w:ascii="Times New Roman" w:eastAsia="Times New Roman" w:hAnsi="Times New Roman" w:cs="Times New Roman"/>
        <w:spacing w:val="-2"/>
        <w:sz w:val="16"/>
        <w:szCs w:val="16"/>
      </w:rPr>
      <w:t>1605—2016</w: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69"/>
      <w:rPr>
        <w:rFonts w:ascii="Times New Roman" w:eastAsia="Times New Roman" w:hAnsi="Times New Roman" w:cs="Times New Roman"/>
        <w:sz w:val="16"/>
        <w:szCs w:val="16"/>
      </w:rPr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901717</wp:posOffset>
          </wp:positionH>
          <wp:positionV relativeFrom="page">
            <wp:posOffset>1104927</wp:posOffset>
          </wp:positionV>
          <wp:extent cx="5835658" cy="6350"/>
          <wp:effectExtent l="0" t="0" r="0" b="0"/>
          <wp:wrapNone/>
          <wp:docPr id="1379255851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9255851" name="IM 5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3565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6"/>
        <w:szCs w:val="16"/>
      </w:rPr>
      <w:t>JJF</w:t>
    </w:r>
    <w:r>
      <w:rPr>
        <w:rFonts w:ascii="Times New Roman" w:eastAsia="Times New Roman" w:hAnsi="Times New Roman" w:cs="Times New Roman"/>
        <w:spacing w:val="2"/>
        <w:sz w:val="16"/>
        <w:szCs w:val="16"/>
      </w:rPr>
      <w:t xml:space="preserve">          </w:t>
    </w:r>
    <w:r>
      <w:rPr>
        <w:rFonts w:ascii="Times New Roman" w:eastAsia="Times New Roman" w:hAnsi="Times New Roman" w:cs="Times New Roman"/>
        <w:spacing w:val="-2"/>
        <w:sz w:val="16"/>
        <w:szCs w:val="16"/>
      </w:rPr>
      <w:t>1605—2016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5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JJF</w:t>
    </w:r>
    <w:r>
      <w:rPr>
        <w:rFonts w:ascii="Times New Roman" w:eastAsia="Times New Roman" w:hAnsi="Times New Roman" w:cs="Times New Roman"/>
        <w:spacing w:val="2"/>
        <w:sz w:val="18"/>
        <w:szCs w:val="18"/>
      </w:rPr>
      <w:t xml:space="preserve">       </w:t>
    </w:r>
    <w:r>
      <w:rPr>
        <w:rFonts w:ascii="Times New Roman" w:eastAsia="Times New Roman" w:hAnsi="Times New Roman" w:cs="Times New Roman"/>
        <w:spacing w:val="-3"/>
        <w:sz w:val="18"/>
        <w:szCs w:val="18"/>
      </w:rPr>
      <w:t>1605—2016</w:t>
    </w:r>
  </w:p>
  <w:p>
    <w:pPr>
      <w:spacing w:before="83" w:line="10" w:lineRule="exact"/>
      <w:ind w:firstLine="5"/>
    </w:pPr>
    <w:r>
      <w:drawing>
        <wp:inline distT="0" distB="0" distL="0" distR="0">
          <wp:extent cx="5816616" cy="6375"/>
          <wp:effectExtent l="0" t="0" r="0" b="0"/>
          <wp:docPr id="56" name="IM 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IM 5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16616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5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JJF</w:t>
    </w:r>
    <w:r>
      <w:rPr>
        <w:rFonts w:ascii="Times New Roman" w:eastAsia="Times New Roman" w:hAnsi="Times New Roman" w:cs="Times New Roman"/>
        <w:spacing w:val="2"/>
        <w:sz w:val="18"/>
        <w:szCs w:val="18"/>
      </w:rPr>
      <w:t xml:space="preserve">       </w:t>
    </w:r>
    <w:r>
      <w:rPr>
        <w:rFonts w:ascii="Times New Roman" w:eastAsia="Times New Roman" w:hAnsi="Times New Roman" w:cs="Times New Roman"/>
        <w:spacing w:val="-3"/>
        <w:sz w:val="18"/>
        <w:szCs w:val="18"/>
      </w:rPr>
      <w:t>1605—2016</w:t>
    </w:r>
  </w:p>
  <w:p>
    <w:pPr>
      <w:spacing w:before="83" w:line="10" w:lineRule="exact"/>
      <w:ind w:firstLine="5"/>
    </w:pPr>
    <w:r>
      <w:drawing>
        <wp:inline distT="0" distB="0" distL="0" distR="0">
          <wp:extent cx="5816616" cy="6375"/>
          <wp:effectExtent l="0" t="0" r="0" b="0"/>
          <wp:docPr id="665996643" name="IM 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5996643" name="IM 5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16616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5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JJF</w:t>
    </w:r>
    <w:r>
      <w:rPr>
        <w:rFonts w:ascii="Times New Roman" w:eastAsia="Times New Roman" w:hAnsi="Times New Roman" w:cs="Times New Roman"/>
        <w:spacing w:val="2"/>
        <w:sz w:val="18"/>
        <w:szCs w:val="18"/>
      </w:rPr>
      <w:t xml:space="preserve">       </w:t>
    </w:r>
    <w:r>
      <w:rPr>
        <w:rFonts w:ascii="Times New Roman" w:eastAsia="Times New Roman" w:hAnsi="Times New Roman" w:cs="Times New Roman"/>
        <w:spacing w:val="-3"/>
        <w:sz w:val="18"/>
        <w:szCs w:val="18"/>
      </w:rPr>
      <w:t>1605—2016</w:t>
    </w:r>
  </w:p>
  <w:p>
    <w:pPr>
      <w:spacing w:before="83" w:line="10" w:lineRule="exact"/>
      <w:ind w:firstLine="5"/>
    </w:pPr>
    <w:r>
      <w:drawing>
        <wp:inline distT="0" distB="0" distL="0" distR="0">
          <wp:extent cx="5816616" cy="6375"/>
          <wp:effectExtent l="0" t="0" r="0" b="0"/>
          <wp:docPr id="638740857" name="IM 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8740857" name="IM 5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16616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5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JJF</w:t>
    </w:r>
    <w:r>
      <w:rPr>
        <w:rFonts w:ascii="Times New Roman" w:eastAsia="Times New Roman" w:hAnsi="Times New Roman" w:cs="Times New Roman"/>
        <w:spacing w:val="2"/>
        <w:sz w:val="18"/>
        <w:szCs w:val="18"/>
      </w:rPr>
      <w:t xml:space="preserve">       </w:t>
    </w:r>
    <w:r>
      <w:rPr>
        <w:rFonts w:ascii="Times New Roman" w:eastAsia="Times New Roman" w:hAnsi="Times New Roman" w:cs="Times New Roman"/>
        <w:spacing w:val="-3"/>
        <w:sz w:val="18"/>
        <w:szCs w:val="18"/>
      </w:rPr>
      <w:t>1605—2016</w:t>
    </w:r>
  </w:p>
  <w:p>
    <w:pPr>
      <w:spacing w:before="83" w:line="10" w:lineRule="exact"/>
      <w:ind w:firstLine="5"/>
    </w:pPr>
    <w:r>
      <w:drawing>
        <wp:inline distT="0" distB="0" distL="0" distR="0">
          <wp:extent cx="5816616" cy="6375"/>
          <wp:effectExtent l="0" t="0" r="0" b="0"/>
          <wp:docPr id="627295891" name="IM 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7295891" name="IM 5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16616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60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2"/>
        <w:sz w:val="17"/>
        <w:szCs w:val="17"/>
      </w:rPr>
      <w:t>JJF         1605—2016</w:t>
    </w:r>
  </w:p>
  <w:p>
    <w:pPr>
      <w:spacing w:before="95" w:line="10" w:lineRule="exact"/>
    </w:pPr>
    <w:r>
      <w:drawing>
        <wp:inline distT="0" distB="0" distL="0" distR="0">
          <wp:extent cx="5829310" cy="6375"/>
          <wp:effectExtent l="0" t="0" r="0" b="0"/>
          <wp:docPr id="62" name="IM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IM 6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310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3"/>
      <w:szCs w:val="23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image" Target="media/image20.png" /><Relationship Id="rId101" Type="http://schemas.openxmlformats.org/officeDocument/2006/relationships/image" Target="media/image21.png" /><Relationship Id="rId102" Type="http://schemas.openxmlformats.org/officeDocument/2006/relationships/header" Target="header27.xml" /><Relationship Id="rId103" Type="http://schemas.openxmlformats.org/officeDocument/2006/relationships/footer" Target="footer27.xml" /><Relationship Id="rId104" Type="http://schemas.openxmlformats.org/officeDocument/2006/relationships/header" Target="header28.xml" /><Relationship Id="rId105" Type="http://schemas.openxmlformats.org/officeDocument/2006/relationships/footer" Target="footer28.xml" /><Relationship Id="rId106" Type="http://schemas.openxmlformats.org/officeDocument/2006/relationships/header" Target="header29.xml" /><Relationship Id="rId107" Type="http://schemas.openxmlformats.org/officeDocument/2006/relationships/footer" Target="footer29.xml" /><Relationship Id="rId108" Type="http://schemas.openxmlformats.org/officeDocument/2006/relationships/image" Target="media/image23.png" /><Relationship Id="rId109" Type="http://schemas.openxmlformats.org/officeDocument/2006/relationships/image" Target="media/image24.png" /><Relationship Id="rId11" Type="http://schemas.openxmlformats.org/officeDocument/2006/relationships/footer" Target="footer4.xml" /><Relationship Id="rId110" Type="http://schemas.openxmlformats.org/officeDocument/2006/relationships/header" Target="header30.xml" /><Relationship Id="rId111" Type="http://schemas.openxmlformats.org/officeDocument/2006/relationships/footer" Target="footer30.xml" /><Relationship Id="rId112" Type="http://schemas.openxmlformats.org/officeDocument/2006/relationships/header" Target="header31.xml" /><Relationship Id="rId113" Type="http://schemas.openxmlformats.org/officeDocument/2006/relationships/footer" Target="footer31.xml" /><Relationship Id="rId114" Type="http://schemas.openxmlformats.org/officeDocument/2006/relationships/header" Target="header32.xml" /><Relationship Id="rId115" Type="http://schemas.openxmlformats.org/officeDocument/2006/relationships/footer" Target="footer32.xml" /><Relationship Id="rId116" Type="http://schemas.openxmlformats.org/officeDocument/2006/relationships/header" Target="header33.xml" /><Relationship Id="rId117" Type="http://schemas.openxmlformats.org/officeDocument/2006/relationships/footer" Target="footer33.xml" /><Relationship Id="rId118" Type="http://schemas.openxmlformats.org/officeDocument/2006/relationships/image" Target="media/image26.png" /><Relationship Id="rId119" Type="http://schemas.openxmlformats.org/officeDocument/2006/relationships/image" Target="media/image27.png" /><Relationship Id="rId12" Type="http://schemas.openxmlformats.org/officeDocument/2006/relationships/header" Target="header5.xml" /><Relationship Id="rId120" Type="http://schemas.openxmlformats.org/officeDocument/2006/relationships/header" Target="header34.xml" /><Relationship Id="rId121" Type="http://schemas.openxmlformats.org/officeDocument/2006/relationships/footer" Target="footer34.xml" /><Relationship Id="rId122" Type="http://schemas.openxmlformats.org/officeDocument/2006/relationships/header" Target="header35.xml" /><Relationship Id="rId123" Type="http://schemas.openxmlformats.org/officeDocument/2006/relationships/footer" Target="footer35.xml" /><Relationship Id="rId124" Type="http://schemas.openxmlformats.org/officeDocument/2006/relationships/header" Target="header36.xml" /><Relationship Id="rId125" Type="http://schemas.openxmlformats.org/officeDocument/2006/relationships/footer" Target="footer36.xml" /><Relationship Id="rId126" Type="http://schemas.openxmlformats.org/officeDocument/2006/relationships/image" Target="media/image28.png" /><Relationship Id="rId127" Type="http://schemas.openxmlformats.org/officeDocument/2006/relationships/hyperlink" Target="https://d.book118.com/338045143032006027" TargetMode="External" /><Relationship Id="rId128" Type="http://schemas.openxmlformats.org/officeDocument/2006/relationships/header" Target="header37.xml" /><Relationship Id="rId129" Type="http://schemas.openxmlformats.org/officeDocument/2006/relationships/footer" Target="footer37.xml" /><Relationship Id="rId13" Type="http://schemas.openxmlformats.org/officeDocument/2006/relationships/footer" Target="footer5.xml" /><Relationship Id="rId130" Type="http://schemas.openxmlformats.org/officeDocument/2006/relationships/theme" Target="theme/theme1.xml" /><Relationship Id="rId131" Type="http://schemas.openxmlformats.org/officeDocument/2006/relationships/styles" Target="styles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yperlink" Target="7.2.2.1" TargetMode="External" /><Relationship Id="rId21" Type="http://schemas.openxmlformats.org/officeDocument/2006/relationships/hyperlink" Target="7.2.2.2" TargetMode="External" /><Relationship Id="rId22" Type="http://schemas.openxmlformats.org/officeDocument/2006/relationships/hyperlink" Target="7.3.1.1" TargetMode="External" /><Relationship Id="rId23" Type="http://schemas.openxmlformats.org/officeDocument/2006/relationships/hyperlink" Target="7.3.1.2" TargetMode="External" /><Relationship Id="rId24" Type="http://schemas.openxmlformats.org/officeDocument/2006/relationships/hyperlink" Target="7.3.1.3" TargetMode="External" /><Relationship Id="rId25" Type="http://schemas.openxmlformats.org/officeDocument/2006/relationships/hyperlink" Target="7.3.1.4" TargetMode="External" /><Relationship Id="rId26" Type="http://schemas.openxmlformats.org/officeDocument/2006/relationships/hyperlink" Target="7.3.1.5" TargetMode="External" /><Relationship Id="rId27" Type="http://schemas.openxmlformats.org/officeDocument/2006/relationships/hyperlink" Target="7.3.1.6" TargetMode="External" /><Relationship Id="rId28" Type="http://schemas.openxmlformats.org/officeDocument/2006/relationships/header" Target="header9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hyperlink" Target="7.3.2.1" TargetMode="External" /><Relationship Id="rId31" Type="http://schemas.openxmlformats.org/officeDocument/2006/relationships/hyperlink" Target="7.3.2.2" TargetMode="External" /><Relationship Id="rId32" Type="http://schemas.openxmlformats.org/officeDocument/2006/relationships/hyperlink" Target="7.3.3.1" TargetMode="External" /><Relationship Id="rId33" Type="http://schemas.openxmlformats.org/officeDocument/2006/relationships/header" Target="header10.xml" /><Relationship Id="rId34" Type="http://schemas.openxmlformats.org/officeDocument/2006/relationships/footer" Target="footer10.xml" /><Relationship Id="rId35" Type="http://schemas.openxmlformats.org/officeDocument/2006/relationships/hyperlink" Target="7.3.3.2" TargetMode="External" /><Relationship Id="rId36" Type="http://schemas.openxmlformats.org/officeDocument/2006/relationships/hyperlink" Target="10.1.2.1" TargetMode="External" /><Relationship Id="rId37" Type="http://schemas.openxmlformats.org/officeDocument/2006/relationships/header" Target="header11.xml" /><Relationship Id="rId38" Type="http://schemas.openxmlformats.org/officeDocument/2006/relationships/footer" Target="footer11.xml" /><Relationship Id="rId39" Type="http://schemas.openxmlformats.org/officeDocument/2006/relationships/hyperlink" Target="10.1.2.2" TargetMode="External" /><Relationship Id="rId4" Type="http://schemas.openxmlformats.org/officeDocument/2006/relationships/header" Target="header1.xml" /><Relationship Id="rId40" Type="http://schemas.openxmlformats.org/officeDocument/2006/relationships/hyperlink" Target="10.1.2.3" TargetMode="External" /><Relationship Id="rId41" Type="http://schemas.openxmlformats.org/officeDocument/2006/relationships/hyperlink" Target="10.1.2.4" TargetMode="External" /><Relationship Id="rId42" Type="http://schemas.openxmlformats.org/officeDocument/2006/relationships/hyperlink" Target="10.1.2.5" TargetMode="External" /><Relationship Id="rId43" Type="http://schemas.openxmlformats.org/officeDocument/2006/relationships/hyperlink" Target="10.1.2.6" TargetMode="External" /><Relationship Id="rId44" Type="http://schemas.openxmlformats.org/officeDocument/2006/relationships/hyperlink" Target="10.1.2.7" TargetMode="External" /><Relationship Id="rId45" Type="http://schemas.openxmlformats.org/officeDocument/2006/relationships/hyperlink" Target="10.1.2.8" TargetMode="External" /><Relationship Id="rId46" Type="http://schemas.openxmlformats.org/officeDocument/2006/relationships/hyperlink" Target="10.1.2.9" TargetMode="External" /><Relationship Id="rId47" Type="http://schemas.openxmlformats.org/officeDocument/2006/relationships/header" Target="header12.xml" /><Relationship Id="rId48" Type="http://schemas.openxmlformats.org/officeDocument/2006/relationships/footer" Target="footer12.xml" /><Relationship Id="rId49" Type="http://schemas.openxmlformats.org/officeDocument/2006/relationships/hyperlink" Target="10.2.1.1" TargetMode="External" /><Relationship Id="rId5" Type="http://schemas.openxmlformats.org/officeDocument/2006/relationships/footer" Target="footer1.xml" /><Relationship Id="rId50" Type="http://schemas.openxmlformats.org/officeDocument/2006/relationships/hyperlink" Target="10.2.1.2" TargetMode="External" /><Relationship Id="rId51" Type="http://schemas.openxmlformats.org/officeDocument/2006/relationships/hyperlink" Target="10.2.2.1" TargetMode="External" /><Relationship Id="rId52" Type="http://schemas.openxmlformats.org/officeDocument/2006/relationships/hyperlink" Target="10.2.2.2" TargetMode="External" /><Relationship Id="rId53" Type="http://schemas.openxmlformats.org/officeDocument/2006/relationships/hyperlink" Target="10.2.2.3" TargetMode="External" /><Relationship Id="rId54" Type="http://schemas.openxmlformats.org/officeDocument/2006/relationships/hyperlink" Target="10.2.2.4" TargetMode="External" /><Relationship Id="rId55" Type="http://schemas.openxmlformats.org/officeDocument/2006/relationships/hyperlink" Target="10.2.2.5" TargetMode="External" /><Relationship Id="rId56" Type="http://schemas.openxmlformats.org/officeDocument/2006/relationships/hyperlink" Target="10.2.2.6" TargetMode="External" /><Relationship Id="rId57" Type="http://schemas.openxmlformats.org/officeDocument/2006/relationships/hyperlink" Target="10.2.2.7" TargetMode="External" /><Relationship Id="rId58" Type="http://schemas.openxmlformats.org/officeDocument/2006/relationships/hyperlink" Target="10.2.2.8" TargetMode="External" /><Relationship Id="rId59" Type="http://schemas.openxmlformats.org/officeDocument/2006/relationships/hyperlink" Target="10.2.3.1" TargetMode="External" /><Relationship Id="rId6" Type="http://schemas.openxmlformats.org/officeDocument/2006/relationships/header" Target="header2.xml" /><Relationship Id="rId60" Type="http://schemas.openxmlformats.org/officeDocument/2006/relationships/header" Target="header13.xml" /><Relationship Id="rId61" Type="http://schemas.openxmlformats.org/officeDocument/2006/relationships/footer" Target="footer13.xml" /><Relationship Id="rId62" Type="http://schemas.openxmlformats.org/officeDocument/2006/relationships/hyperlink" Target="10.1.1.1" TargetMode="External" /><Relationship Id="rId63" Type="http://schemas.openxmlformats.org/officeDocument/2006/relationships/hyperlink" Target="10.1.1.2" TargetMode="External" /><Relationship Id="rId64" Type="http://schemas.openxmlformats.org/officeDocument/2006/relationships/header" Target="header14.xml" /><Relationship Id="rId65" Type="http://schemas.openxmlformats.org/officeDocument/2006/relationships/footer" Target="footer14.xml" /><Relationship Id="rId66" Type="http://schemas.openxmlformats.org/officeDocument/2006/relationships/image" Target="media/image8.jpeg" /><Relationship Id="rId67" Type="http://schemas.openxmlformats.org/officeDocument/2006/relationships/header" Target="header15.xml" /><Relationship Id="rId68" Type="http://schemas.openxmlformats.org/officeDocument/2006/relationships/footer" Target="footer15.xml" /><Relationship Id="rId69" Type="http://schemas.openxmlformats.org/officeDocument/2006/relationships/header" Target="header16.xml" /><Relationship Id="rId7" Type="http://schemas.openxmlformats.org/officeDocument/2006/relationships/footer" Target="footer2.xml" /><Relationship Id="rId70" Type="http://schemas.openxmlformats.org/officeDocument/2006/relationships/footer" Target="footer16.xml" /><Relationship Id="rId71" Type="http://schemas.openxmlformats.org/officeDocument/2006/relationships/image" Target="media/image10.png" /><Relationship Id="rId72" Type="http://schemas.openxmlformats.org/officeDocument/2006/relationships/image" Target="media/image11.png" /><Relationship Id="rId73" Type="http://schemas.openxmlformats.org/officeDocument/2006/relationships/header" Target="header17.xml" /><Relationship Id="rId74" Type="http://schemas.openxmlformats.org/officeDocument/2006/relationships/footer" Target="footer17.xml" /><Relationship Id="rId75" Type="http://schemas.openxmlformats.org/officeDocument/2006/relationships/header" Target="header18.xml" /><Relationship Id="rId76" Type="http://schemas.openxmlformats.org/officeDocument/2006/relationships/footer" Target="footer18.xml" /><Relationship Id="rId77" Type="http://schemas.openxmlformats.org/officeDocument/2006/relationships/image" Target="media/image13.png" /><Relationship Id="rId78" Type="http://schemas.openxmlformats.org/officeDocument/2006/relationships/header" Target="header19.xml" /><Relationship Id="rId79" Type="http://schemas.openxmlformats.org/officeDocument/2006/relationships/footer" Target="footer19.xml" /><Relationship Id="rId8" Type="http://schemas.openxmlformats.org/officeDocument/2006/relationships/header" Target="header3.xml" /><Relationship Id="rId80" Type="http://schemas.openxmlformats.org/officeDocument/2006/relationships/header" Target="header20.xml" /><Relationship Id="rId81" Type="http://schemas.openxmlformats.org/officeDocument/2006/relationships/footer" Target="footer20.xml" /><Relationship Id="rId82" Type="http://schemas.openxmlformats.org/officeDocument/2006/relationships/image" Target="media/image14.png" /><Relationship Id="rId83" Type="http://schemas.openxmlformats.org/officeDocument/2006/relationships/image" Target="media/image15.png" /><Relationship Id="rId84" Type="http://schemas.openxmlformats.org/officeDocument/2006/relationships/image" Target="media/image16.png" /><Relationship Id="rId85" Type="http://schemas.openxmlformats.org/officeDocument/2006/relationships/header" Target="header21.xml" /><Relationship Id="rId86" Type="http://schemas.openxmlformats.org/officeDocument/2006/relationships/footer" Target="footer21.xml" /><Relationship Id="rId87" Type="http://schemas.openxmlformats.org/officeDocument/2006/relationships/header" Target="header22.xml" /><Relationship Id="rId88" Type="http://schemas.openxmlformats.org/officeDocument/2006/relationships/footer" Target="footer22.xml" /><Relationship Id="rId89" Type="http://schemas.openxmlformats.org/officeDocument/2006/relationships/header" Target="header23.xml" /><Relationship Id="rId9" Type="http://schemas.openxmlformats.org/officeDocument/2006/relationships/footer" Target="footer3.xml" /><Relationship Id="rId90" Type="http://schemas.openxmlformats.org/officeDocument/2006/relationships/footer" Target="footer23.xml" /><Relationship Id="rId91" Type="http://schemas.openxmlformats.org/officeDocument/2006/relationships/header" Target="header24.xml" /><Relationship Id="rId92" Type="http://schemas.openxmlformats.org/officeDocument/2006/relationships/footer" Target="footer24.xml" /><Relationship Id="rId93" Type="http://schemas.openxmlformats.org/officeDocument/2006/relationships/image" Target="media/image17.png" /><Relationship Id="rId94" Type="http://schemas.openxmlformats.org/officeDocument/2006/relationships/image" Target="media/image18.jpeg" /><Relationship Id="rId95" Type="http://schemas.openxmlformats.org/officeDocument/2006/relationships/header" Target="header25.xml" /><Relationship Id="rId96" Type="http://schemas.openxmlformats.org/officeDocument/2006/relationships/footer" Target="footer25.xml" /><Relationship Id="rId97" Type="http://schemas.openxmlformats.org/officeDocument/2006/relationships/image" Target="media/image19.png" /><Relationship Id="rId98" Type="http://schemas.openxmlformats.org/officeDocument/2006/relationships/header" Target="header26.xml" /><Relationship Id="rId99" Type="http://schemas.openxmlformats.org/officeDocument/2006/relationships/footer" Target="footer26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2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2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2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2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2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2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25.jpe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25.jpe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25.jpe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25.jpe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2024-01-18T16:33:37Z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2024-01-18T16:33:43Z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65a8e252f23622001fad18f1wl</vt:lpwstr>
  </property>
</Properties>
</file>