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金属氢化物－镍(MHNI)蓄电池相关行业公司成立报告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(一)、金属氢化物－镍(MHNI)蓄电池项目选址原则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(五)、金属氢化物－镍(MHNI)蓄电池项目选址综合评价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(七)、金属氢化物－镍(MHNI)蓄电池项目建设必要性分析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五、金属氢化物－镍(MHNI)蓄电池筹建公司基本信息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六、金属氢化物－镍(MHNI)蓄电池项目风险分析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(一)、金属氢化物－镍(MHNI)蓄电池项目风险分析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(二)、金属氢化物－镍(MHNI)蓄电池项目风险对策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45" w:history="1">
        <w:r>
          <w:rPr>
            <w:rFonts w:ascii="仿宋" w:eastAsia="仿宋" w:hAnsi="仿宋" w:cs="仿宋" w:hint="eastAsia"/>
            <w:lang w:eastAsia="zh-CN"/>
          </w:rPr>
          <w:t>(五)、金属氢化物－镍(MHNI)蓄电池项目总投资</w:t>
        </w:r>
        <w:r>
          <w:tab/>
        </w:r>
        <w:r>
          <w:fldChar w:fldCharType="begin"/>
        </w:r>
        <w:r>
          <w:instrText xml:space="preserve"> PAGEREF _Toc29545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八、金属氢化物－镍(MHNI)蓄电池项目经济效益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(三)、金属氢化物－镍(MHNI)蓄电池项目盈利能力分析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(一)、金属氢化物－镍(MHNI)蓄电池项目进度安排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(二)、金属氢化物－镍(MHNI)蓄电池项目实施保障措施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2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45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https://d.book118.com/338103007134006027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103007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2023-12-31T20:56:00Z</dcterms:created>
  <dcterms:modified xsi:type="dcterms:W3CDTF">2023-12-31T20:56:37Z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F08454CDA6CE4C9A8D97CF705F128E86_11</vt:lpwstr>
  </property>
  <property fmtid="{D5CDD505-2E9C-101B-9397-08002B2CF9AE}" pid="3" name="KSOProductBuildVer">
    <vt:lpwstr>2052-12.1.0.16120</vt:lpwstr>
  </property>
</Properties>
</file>