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spacing w:val="-56"/>
          <w:w w:val="95"/>
        </w:rPr>
        <w:t xml:space="preserve">第 </w:t>
      </w:r>
      <w:r>
        <w:rPr>
          <w:rFonts w:ascii="Times New Roman" w:eastAsia="Times New Roman"/>
          <w:w w:val="95"/>
        </w:rPr>
        <w:t>3</w:t>
      </w:r>
      <w:r>
        <w:rPr>
          <w:rFonts w:ascii="Times New Roman" w:eastAsia="Times New Roman"/>
          <w:spacing w:val="28"/>
          <w:w w:val="95"/>
        </w:rPr>
        <w:t xml:space="preserve"> </w:t>
      </w:r>
      <w:r>
        <w:rPr>
          <w:spacing w:val="15"/>
          <w:w w:val="95"/>
        </w:rPr>
        <w:t>节 盐类的水解</w:t>
      </w:r>
    </w:p>
    <w:p>
      <w:pPr>
        <w:pStyle w:val="BodyText"/>
        <w:spacing w:before="4"/>
        <w:rPr>
          <w:rFonts w:ascii="黑体"/>
          <w:b/>
          <w:sz w:val="75"/>
        </w:rPr>
      </w:pPr>
    </w:p>
    <w:p>
      <w:pPr>
        <w:tabs>
          <w:tab w:val="left" w:pos="8839"/>
        </w:tabs>
        <w:spacing w:before="1"/>
        <w:ind w:left="2679" w:right="0" w:firstLine="0"/>
        <w:jc w:val="left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备考要点</w:t>
        <w:tab/>
        <w:t>素养要求</w:t>
      </w:r>
    </w:p>
    <w:p>
      <w:pPr>
        <w:spacing w:before="6" w:line="470" w:lineRule="atLeast"/>
        <w:ind w:left="8979" w:right="2800" w:firstLine="0"/>
        <w:jc w:val="left"/>
        <w:rPr>
          <w:rFonts w:ascii="宋体" w:eastAsia="宋体" w:hint="eastAsia"/>
          <w:sz w:val="27"/>
        </w:rPr>
      </w:pPr>
      <w:r>
        <w:rPr>
          <w:b/>
          <w:sz w:val="27"/>
        </w:rPr>
        <w:t>1</w:t>
      </w:r>
      <w:r>
        <w:rPr>
          <w:rFonts w:ascii="Arial Narrow" w:eastAsia="Arial Narrow"/>
          <w:sz w:val="27"/>
        </w:rPr>
        <w:t>.</w:t>
      </w:r>
      <w:r>
        <w:rPr>
          <w:rFonts w:ascii="宋体" w:eastAsia="宋体" w:hint="eastAsia"/>
          <w:sz w:val="27"/>
        </w:rPr>
        <w:t>变化观念与平衡思想</w:t>
      </w:r>
      <w:r>
        <w:rPr>
          <w:rFonts w:ascii="Arial Narrow" w:eastAsia="Arial Narrow"/>
          <w:sz w:val="27"/>
        </w:rPr>
        <w:t>:</w:t>
      </w:r>
      <w:r>
        <w:rPr>
          <w:rFonts w:ascii="宋体" w:eastAsia="宋体" w:hint="eastAsia"/>
          <w:sz w:val="27"/>
        </w:rPr>
        <w:t>从水的电离及平衡移动分析</w:t>
      </w:r>
      <w:r>
        <w:rPr>
          <w:rFonts w:ascii="宋体" w:eastAsia="宋体" w:hint="eastAsia"/>
          <w:spacing w:val="-12"/>
          <w:sz w:val="27"/>
        </w:rPr>
        <w:t>盐类水解的实质。运用化学平衡原理分析外界条件对</w:t>
      </w:r>
    </w:p>
    <w:p>
      <w:pPr>
        <w:spacing w:after="0" w:line="470" w:lineRule="atLeast"/>
        <w:jc w:val="left"/>
        <w:rPr>
          <w:rFonts w:ascii="宋体" w:eastAsia="宋体" w:hint="eastAsia"/>
          <w:sz w:val="27"/>
        </w:rPr>
        <w:sectPr>
          <w:type w:val="continuous"/>
          <w:pgSz w:w="17860" w:h="25260"/>
          <w:pgMar w:top="1640" w:right="0" w:bottom="280" w:left="0" w:header="708" w:footer="708"/>
          <w:cols w:space="708"/>
        </w:sectPr>
      </w:pPr>
    </w:p>
    <w:p>
      <w:pPr>
        <w:pStyle w:val="ListParagraph"/>
        <w:numPr>
          <w:ilvl w:val="0"/>
          <w:numId w:val="31"/>
        </w:numPr>
        <w:tabs>
          <w:tab w:val="left" w:pos="3007"/>
        </w:tabs>
        <w:spacing w:before="0" w:after="0" w:line="253" w:lineRule="exact"/>
        <w:ind w:left="3006" w:right="0" w:hanging="206"/>
        <w:jc w:val="left"/>
        <w:rPr>
          <w:sz w:val="27"/>
        </w:rPr>
      </w:pPr>
      <w:r>
        <w:rPr>
          <w:sz w:val="27"/>
        </w:rPr>
        <w:t>能用化学用语正确表示水溶液中的盐类水解平</w:t>
      </w:r>
    </w:p>
    <w:p>
      <w:pPr>
        <w:spacing w:before="122" w:line="324" w:lineRule="auto"/>
        <w:ind w:left="2801" w:right="66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pacing w:val="-1"/>
          <w:sz w:val="27"/>
        </w:rPr>
        <w:t>衡。能从盐类水解平衡的角度分析溶液的酸碱性</w:t>
      </w:r>
      <w:r>
        <w:rPr>
          <w:rFonts w:ascii="宋体" w:eastAsia="宋体" w:hint="eastAsia"/>
          <w:sz w:val="27"/>
        </w:rPr>
        <w:t>等。</w:t>
      </w:r>
    </w:p>
    <w:p>
      <w:pPr>
        <w:pStyle w:val="ListParagraph"/>
        <w:numPr>
          <w:ilvl w:val="0"/>
          <w:numId w:val="31"/>
        </w:numPr>
        <w:tabs>
          <w:tab w:val="left" w:pos="3007"/>
        </w:tabs>
        <w:spacing w:before="2" w:after="0" w:line="240" w:lineRule="auto"/>
        <w:ind w:left="3006" w:right="0" w:hanging="206"/>
        <w:jc w:val="left"/>
        <w:rPr>
          <w:rFonts w:ascii="Arial Narrow" w:eastAsia="Arial Narrow"/>
          <w:sz w:val="27"/>
        </w:rPr>
      </w:pPr>
      <w:r>
        <w:rPr>
          <w:sz w:val="27"/>
        </w:rPr>
        <w:t>能通过试验证明水溶液中存在的盐类水解平衡</w:t>
      </w:r>
      <w:r>
        <w:rPr>
          <w:rFonts w:ascii="Arial Narrow" w:eastAsia="Arial Narrow"/>
          <w:sz w:val="27"/>
        </w:rPr>
        <w:t>,</w:t>
      </w:r>
    </w:p>
    <w:p>
      <w:pPr>
        <w:spacing w:before="122"/>
        <w:ind w:left="280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生疏影响盐类水解的主要因素。</w:t>
      </w:r>
    </w:p>
    <w:p>
      <w:pPr>
        <w:pStyle w:val="ListParagraph"/>
        <w:numPr>
          <w:ilvl w:val="0"/>
          <w:numId w:val="31"/>
        </w:numPr>
        <w:tabs>
          <w:tab w:val="left" w:pos="3007"/>
        </w:tabs>
        <w:spacing w:before="122" w:after="0" w:line="324" w:lineRule="auto"/>
        <w:ind w:left="2801" w:right="0" w:firstLine="0"/>
        <w:jc w:val="both"/>
        <w:rPr>
          <w:sz w:val="27"/>
        </w:rPr>
      </w:pPr>
      <w:r>
        <w:rPr>
          <w:sz w:val="27"/>
        </w:rPr>
        <w:t>结合真实情景中的应用实例</w:t>
      </w:r>
      <w:r>
        <w:rPr>
          <w:rFonts w:ascii="Arial Narrow" w:eastAsia="Arial Narrow"/>
          <w:sz w:val="27"/>
        </w:rPr>
        <w:t>,</w:t>
      </w:r>
      <w:r>
        <w:rPr>
          <w:sz w:val="27"/>
        </w:rPr>
        <w:t>能综合运用离子反响、化学平衡原理</w:t>
      </w:r>
      <w:r>
        <w:rPr>
          <w:rFonts w:ascii="Arial Narrow" w:eastAsia="Arial Narrow"/>
          <w:sz w:val="27"/>
        </w:rPr>
        <w:t>,</w:t>
      </w:r>
      <w:r>
        <w:rPr>
          <w:sz w:val="27"/>
        </w:rPr>
        <w:t>分析和解决生产、生活中有关电解质溶液的实际问题</w:t>
      </w:r>
    </w:p>
    <w:p>
      <w:pPr>
        <w:spacing w:before="140"/>
        <w:ind w:left="399" w:right="0" w:firstLine="0"/>
        <w:jc w:val="left"/>
        <w:rPr>
          <w:rFonts w:ascii="宋体" w:eastAsia="宋体" w:hint="eastAsia"/>
          <w:sz w:val="27"/>
        </w:rPr>
      </w:pPr>
      <w:r>
        <w:br w:type="column"/>
      </w:r>
      <w:r>
        <w:rPr>
          <w:rFonts w:ascii="宋体" w:eastAsia="宋体" w:hint="eastAsia"/>
          <w:sz w:val="27"/>
        </w:rPr>
        <w:t>盐类水解的影响。</w:t>
      </w:r>
    </w:p>
    <w:p>
      <w:pPr>
        <w:pStyle w:val="ListParagraph"/>
        <w:numPr>
          <w:ilvl w:val="0"/>
          <w:numId w:val="30"/>
        </w:numPr>
        <w:tabs>
          <w:tab w:val="left" w:pos="606"/>
        </w:tabs>
        <w:spacing w:before="123" w:after="0" w:line="324" w:lineRule="auto"/>
        <w:ind w:left="399" w:right="2868" w:firstLine="0"/>
        <w:jc w:val="both"/>
        <w:rPr>
          <w:sz w:val="27"/>
        </w:rPr>
      </w:pPr>
      <w:r>
        <w:rPr>
          <w:sz w:val="27"/>
        </w:rPr>
        <w:t>证据推理与模型认知</w:t>
      </w:r>
      <w:r>
        <w:rPr>
          <w:rFonts w:ascii="Arial Narrow" w:eastAsia="Arial Narrow"/>
          <w:sz w:val="27"/>
        </w:rPr>
        <w:t>:</w:t>
      </w:r>
      <w:r>
        <w:rPr>
          <w:sz w:val="27"/>
        </w:rPr>
        <w:t>利用平衡思想和守恒关系等认知模型</w:t>
      </w:r>
      <w:r>
        <w:rPr>
          <w:rFonts w:ascii="Arial Narrow" w:eastAsia="Arial Narrow"/>
          <w:sz w:val="27"/>
        </w:rPr>
        <w:t>,</w:t>
      </w:r>
      <w:r>
        <w:rPr>
          <w:sz w:val="27"/>
        </w:rPr>
        <w:t>并能运用模型推断盐溶液的酸碱性和离子浓度之间的数量关系。</w:t>
      </w:r>
    </w:p>
    <w:p>
      <w:pPr>
        <w:pStyle w:val="ListParagraph"/>
        <w:numPr>
          <w:ilvl w:val="0"/>
          <w:numId w:val="30"/>
        </w:numPr>
        <w:tabs>
          <w:tab w:val="left" w:pos="606"/>
        </w:tabs>
        <w:spacing w:before="2" w:after="0" w:line="324" w:lineRule="auto"/>
        <w:ind w:left="399" w:right="2926" w:firstLine="0"/>
        <w:jc w:val="left"/>
        <w:rPr>
          <w:sz w:val="27"/>
        </w:rPr>
      </w:pPr>
      <w:r>
        <w:rPr>
          <w:sz w:val="27"/>
        </w:rPr>
        <w:t>科学探究与创意识</w:t>
      </w:r>
      <w:r>
        <w:rPr>
          <w:rFonts w:ascii="Arial Narrow" w:eastAsia="Arial Narrow"/>
          <w:sz w:val="27"/>
        </w:rPr>
        <w:t>:</w:t>
      </w:r>
      <w:r>
        <w:rPr>
          <w:sz w:val="27"/>
        </w:rPr>
        <w:t>设计简洁的试验方案进展探究</w:t>
      </w:r>
      <w:r>
        <w:rPr>
          <w:rFonts w:ascii="Arial Narrow" w:eastAsia="Arial Narrow"/>
          <w:sz w:val="27"/>
        </w:rPr>
        <w:t>,</w:t>
      </w:r>
      <w:r>
        <w:rPr>
          <w:sz w:val="27"/>
        </w:rPr>
        <w:t>对试验现象作出解释。</w:t>
      </w:r>
    </w:p>
    <w:p>
      <w:pPr>
        <w:pStyle w:val="ListParagraph"/>
        <w:numPr>
          <w:ilvl w:val="0"/>
          <w:numId w:val="30"/>
        </w:numPr>
        <w:tabs>
          <w:tab w:val="left" w:pos="606"/>
        </w:tabs>
        <w:spacing w:before="3" w:after="0" w:line="324" w:lineRule="auto"/>
        <w:ind w:left="399" w:right="2868" w:firstLine="0"/>
        <w:jc w:val="both"/>
        <w:rPr>
          <w:sz w:val="27"/>
        </w:rPr>
      </w:pPr>
      <w:r>
        <w:rPr>
          <w:sz w:val="27"/>
        </w:rPr>
        <w:t>科学态度与社会责任</w:t>
      </w:r>
      <w:r>
        <w:rPr>
          <w:rFonts w:ascii="Arial Narrow" w:eastAsia="Arial Narrow"/>
          <w:sz w:val="27"/>
        </w:rPr>
        <w:t>:</w:t>
      </w:r>
      <w:r>
        <w:rPr>
          <w:sz w:val="27"/>
        </w:rPr>
        <w:t>生疏盐类水解平衡在生产、生活和科学争论中的应用</w:t>
      </w:r>
      <w:r>
        <w:rPr>
          <w:rFonts w:ascii="Arial Narrow" w:eastAsia="Arial Narrow"/>
          <w:sz w:val="27"/>
        </w:rPr>
        <w:t>,</w:t>
      </w:r>
      <w:r>
        <w:rPr>
          <w:sz w:val="27"/>
        </w:rPr>
        <w:t>利用盐类水解平衡学问解释有关实际问题。</w:t>
      </w:r>
    </w:p>
    <w:p>
      <w:pPr>
        <w:spacing w:after="0" w:line="324" w:lineRule="auto"/>
        <w:jc w:val="both"/>
        <w:rPr>
          <w:sz w:val="27"/>
        </w:rPr>
        <w:sectPr>
          <w:type w:val="continuous"/>
          <w:pgSz w:w="17860" w:h="25260"/>
          <w:pgMar w:top="1640" w:right="0" w:bottom="280" w:left="0" w:header="708" w:footer="708"/>
          <w:pgNumType w:start="2"/>
          <w:cols w:num="2" w:space="708" w:equalWidth="0">
            <w:col w:w="8540" w:space="40"/>
            <w:col w:w="9280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4" o:title=""/>
            </v:shape>
            <v:shape id="_x0000_s1027" type="#_x0000_t75" style="width:12680;height:5820;left:2600;position:absolute;top:3260" stroked="f">
              <v:imagedata r:id="rId5" o:title=""/>
            </v:shape>
            <v:shape id="_x0000_s1028" type="#_x0000_t75" style="width:17860;height:3768;position:absolute;top:11385" stroked="f">
              <v:imagedata r:id="rId6" o:title=""/>
            </v:shape>
            <v:shape id="_x0000_s1029" type="#_x0000_t75" style="width:17860;height:5180;position:absolute;top:15597" stroked="f">
              <v:imagedata r:id="rId7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2159"/>
        </w:tabs>
      </w:pPr>
      <w:r>
        <w:t>考点一</w:t>
        <w:tab/>
        <w:t>盐类水解及规律</w:t>
      </w:r>
    </w:p>
    <w:p>
      <w:pPr>
        <w:spacing w:before="392"/>
        <w:ind w:left="11860" w:right="0" w:firstLine="0"/>
        <w:jc w:val="left"/>
        <w:rPr>
          <w:rFonts w:ascii="Arial Unicode MS" w:eastAsia="Arial Unicode MS" w:hint="eastAsia"/>
          <w:sz w:val="54"/>
        </w:rPr>
      </w:pPr>
      <w:r>
        <w:rPr>
          <w:rFonts w:ascii="宋体" w:eastAsia="宋体" w:hint="eastAsia"/>
          <w:sz w:val="54"/>
        </w:rPr>
        <w:t>必备学问</w:t>
      </w:r>
      <w:r>
        <w:rPr>
          <w:rFonts w:ascii="Arial Unicode MS" w:eastAsia="Arial Unicode MS" w:hint="eastAsia"/>
          <w:color w:val="FF0000"/>
          <w:sz w:val="54"/>
        </w:rPr>
        <w:t>自主</w:t>
      </w:r>
    </w:p>
    <w:p>
      <w:pPr>
        <w:pStyle w:val="BodyText"/>
        <w:rPr>
          <w:rFonts w:ascii="Arial Unicode MS"/>
          <w:sz w:val="25"/>
        </w:rPr>
      </w:pPr>
    </w:p>
    <w:p>
      <w:pPr>
        <w:spacing w:before="30"/>
        <w:ind w:left="0" w:right="0" w:firstLine="0"/>
        <w:jc w:val="center"/>
        <w:rPr>
          <w:rFonts w:ascii="Arial Unicode MS" w:eastAsia="Arial Unicode MS" w:hint="eastAsia"/>
          <w:sz w:val="54"/>
        </w:rPr>
      </w:pPr>
      <w:r>
        <w:rPr>
          <w:rFonts w:ascii="Arial Unicode MS" w:eastAsia="Arial Unicode MS" w:hint="eastAsia"/>
          <w:color w:val="FF0000"/>
          <w:sz w:val="54"/>
        </w:rPr>
        <w:t>预诊</w:t>
      </w:r>
    </w:p>
    <w:p>
      <w:pPr>
        <w:tabs>
          <w:tab w:val="left" w:pos="957"/>
        </w:tabs>
        <w:spacing w:before="426"/>
        <w:ind w:left="0" w:right="829" w:firstLine="0"/>
        <w:jc w:val="center"/>
        <w:rPr>
          <w:rFonts w:ascii="微软雅黑" w:eastAsia="微软雅黑" w:hint="eastAsia"/>
          <w:sz w:val="29"/>
        </w:rPr>
      </w:pPr>
      <w:r>
        <w:rPr>
          <w:rFonts w:ascii="微软雅黑" w:eastAsia="微软雅黑" w:hint="eastAsia"/>
          <w:color w:val="FF0000"/>
          <w:sz w:val="29"/>
        </w:rPr>
        <w:t>学问</w:t>
        <w:tab/>
      </w:r>
      <w:r>
        <w:rPr>
          <w:rFonts w:ascii="微软雅黑" w:eastAsia="微软雅黑" w:hint="eastAsia"/>
          <w:color w:val="FF0000"/>
          <w:position w:val="-5"/>
          <w:sz w:val="29"/>
        </w:rPr>
        <w:t>梳理</w:t>
      </w:r>
    </w:p>
    <w:p>
      <w:pPr>
        <w:pStyle w:val="BodyText"/>
        <w:spacing w:before="18"/>
        <w:rPr>
          <w:rFonts w:ascii="微软雅黑"/>
          <w:sz w:val="12"/>
        </w:rPr>
      </w:pPr>
    </w:p>
    <w:p>
      <w:pPr>
        <w:pStyle w:val="ListParagraph"/>
        <w:numPr>
          <w:ilvl w:val="1"/>
          <w:numId w:val="30"/>
        </w:numPr>
        <w:tabs>
          <w:tab w:val="left" w:pos="3426"/>
        </w:tabs>
        <w:spacing w:before="100" w:after="0" w:line="240" w:lineRule="auto"/>
        <w:ind w:left="3425" w:right="0" w:hanging="240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盐类的水解</w:t>
      </w: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rPr>
          <w:rFonts w:ascii="黑体"/>
          <w:sz w:val="36"/>
        </w:rPr>
      </w:pPr>
    </w:p>
    <w:p>
      <w:pPr>
        <w:pStyle w:val="BodyText"/>
        <w:spacing w:before="5"/>
        <w:rPr>
          <w:rFonts w:ascii="黑体"/>
          <w:sz w:val="47"/>
        </w:rPr>
      </w:pPr>
    </w:p>
    <w:p>
      <w:pPr>
        <w:pStyle w:val="ListParagraph"/>
        <w:numPr>
          <w:ilvl w:val="1"/>
          <w:numId w:val="30"/>
        </w:numPr>
        <w:tabs>
          <w:tab w:val="left" w:pos="3426"/>
        </w:tabs>
        <w:spacing w:before="0" w:after="0" w:line="240" w:lineRule="auto"/>
        <w:ind w:left="3425" w:right="0" w:hanging="240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盐水解离子方程式的书写</w:t>
      </w:r>
    </w:p>
    <w:p>
      <w:pPr>
        <w:pStyle w:val="ListParagraph"/>
        <w:numPr>
          <w:ilvl w:val="0"/>
          <w:numId w:val="29"/>
        </w:numPr>
        <w:tabs>
          <w:tab w:val="left" w:pos="3554"/>
        </w:tabs>
        <w:spacing w:before="71" w:after="0" w:line="240" w:lineRule="auto"/>
        <w:ind w:left="3553" w:right="0" w:hanging="371"/>
        <w:jc w:val="left"/>
        <w:rPr>
          <w:rFonts w:ascii="Arial Narrow" w:eastAsia="Arial Narrow"/>
          <w:sz w:val="29"/>
        </w:rPr>
      </w:pPr>
      <w:r>
        <w:rPr>
          <w:sz w:val="31"/>
        </w:rPr>
        <w:t>一般要求。</w:t>
      </w:r>
    </w:p>
    <w:p>
      <w:pPr>
        <w:spacing w:after="0" w:line="240" w:lineRule="auto"/>
        <w:jc w:val="left"/>
        <w:rPr>
          <w:rFonts w:ascii="Arial Narrow" w:eastAsia="Arial Narrow"/>
          <w:sz w:val="29"/>
        </w:rPr>
        <w:sectPr>
          <w:type w:val="continuous"/>
          <w:pgSz w:w="17860" w:h="25260"/>
          <w:pgMar w:top="1640" w:right="0" w:bottom="280" w:left="0" w:header="708" w:footer="708"/>
          <w:pgNumType w:start="3"/>
          <w:cols w:space="708"/>
        </w:sectPr>
      </w:pPr>
    </w:p>
    <w:p>
      <w:pPr>
        <w:pStyle w:val="BodyText"/>
        <w:spacing w:before="49"/>
        <w:ind w:left="3183"/>
      </w:pPr>
      <w:r>
        <w:t>一般盐类水</w:t>
      </w:r>
    </w:p>
    <w:p>
      <w:pPr>
        <w:pStyle w:val="BodyText"/>
        <w:spacing w:before="72"/>
        <w:ind w:left="2553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302513</wp:posOffset>
            </wp:positionV>
            <wp:extent cx="6664325" cy="304673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325" cy="304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解程度很小</w:t>
      </w:r>
      <w:r>
        <w:rPr>
          <w:rFonts w:ascii="Cambria Math" w:eastAsia="Cambria Math" w:hAnsi="Cambria Math"/>
        </w:rPr>
        <w:t>⇨</w:t>
      </w:r>
      <w:r>
        <w:t>水解产物</w:t>
      </w:r>
    </w:p>
    <w:p>
      <w:pPr>
        <w:pStyle w:val="BodyText"/>
        <w:spacing w:before="75" w:line="235" w:lineRule="auto"/>
        <w:ind w:left="3183" w:right="3318" w:hanging="630"/>
      </w:pPr>
      <w:r>
        <w:t>的量很少</w:t>
      </w:r>
      <w:r>
        <w:rPr>
          <w:rFonts w:ascii="Cambria Math" w:eastAsia="Cambria Math" w:hAnsi="Cambria Math"/>
          <w:spacing w:val="15"/>
        </w:rPr>
        <w:t>⇨</w:t>
      </w:r>
      <w:r>
        <w:t>气体、沉淀不标</w:t>
      </w:r>
      <w:r>
        <w:rPr>
          <w:rFonts w:ascii="Times New Roman" w:eastAsia="Times New Roman" w:hAnsi="Times New Roman"/>
        </w:rPr>
        <w:t>“↑”</w:t>
      </w:r>
      <w:r>
        <w:t>或</w:t>
      </w:r>
      <w:r>
        <w:rPr>
          <w:rFonts w:ascii="Times New Roman" w:eastAsia="Times New Roman" w:hAnsi="Times New Roman"/>
        </w:rPr>
        <w:t>“↓”,</w:t>
      </w:r>
      <w:r>
        <w:t>易分解产物</w:t>
      </w:r>
      <w:r>
        <w:rPr>
          <w:rFonts w:ascii="Times New Roman" w:eastAsia="Times New Roman" w:hAnsi="Times New Roman"/>
        </w:rPr>
        <w:t>(</w:t>
      </w:r>
      <w:r>
        <w:rPr>
          <w:spacing w:val="3"/>
        </w:rPr>
        <w:t xml:space="preserve">如 </w:t>
      </w:r>
      <w:r>
        <w:rPr>
          <w:rFonts w:ascii="Times New Roman" w:eastAsia="Times New Roman" w:hAnsi="Times New Roman"/>
        </w:rPr>
        <w:t>NH</w:t>
      </w:r>
      <w:r>
        <w:rPr>
          <w:rFonts w:ascii="Times New Roman" w:eastAsia="Times New Roman" w:hAnsi="Times New Roman"/>
          <w:position w:val="-11"/>
          <w:sz w:val="21"/>
        </w:rPr>
        <w:t>3</w:t>
      </w:r>
      <w:r>
        <w:rPr>
          <w:rFonts w:ascii="Times New Roman" w:eastAsia="Times New Roman" w:hAnsi="Times New Roman"/>
        </w:rPr>
        <w:t>·H</w:t>
      </w:r>
      <w:r>
        <w:rPr>
          <w:rFonts w:ascii="Times New Roman" w:eastAsia="Times New Roman" w:hAnsi="Times New Roman"/>
          <w:position w:val="-11"/>
          <w:sz w:val="21"/>
        </w:rPr>
        <w:t>2</w:t>
      </w:r>
      <w:r>
        <w:rPr>
          <w:rFonts w:ascii="Times New Roman" w:eastAsia="Times New Roman" w:hAnsi="Times New Roman"/>
        </w:rPr>
        <w:t>O</w:t>
      </w:r>
      <w:r>
        <w:rPr>
          <w:rFonts w:ascii="Times New Roman" w:eastAsia="Times New Roman" w:hAnsi="Times New Roman"/>
          <w:spacing w:val="18"/>
        </w:rPr>
        <w:t xml:space="preserve"> </w:t>
      </w:r>
      <w:r>
        <w:t>等</w:t>
      </w:r>
      <w:r>
        <w:rPr>
          <w:rFonts w:ascii="Times New Roman" w:eastAsia="Times New Roman" w:hAnsi="Times New Roman"/>
        </w:rPr>
        <w:t>)</w:t>
      </w:r>
      <w:r>
        <w:t>不写其分解产物的形式</w:t>
      </w:r>
      <w:r>
        <w:rPr>
          <w:spacing w:val="-38"/>
        </w:rPr>
        <w:t xml:space="preserve">如 </w:t>
      </w:r>
      <w:r>
        <w:rPr>
          <w:rFonts w:ascii="Times New Roman" w:eastAsia="Times New Roman" w:hAnsi="Times New Roman"/>
        </w:rPr>
        <w:t>NH</w:t>
      </w:r>
      <w:r>
        <w:rPr>
          <w:rFonts w:ascii="Times New Roman" w:eastAsia="Times New Roman" w:hAnsi="Times New Roman"/>
          <w:position w:val="-11"/>
          <w:sz w:val="21"/>
        </w:rPr>
        <w:t>4</w:t>
      </w:r>
      <w:r>
        <w:rPr>
          <w:rFonts w:ascii="Times New Roman" w:eastAsia="Times New Roman" w:hAnsi="Times New Roman"/>
        </w:rPr>
        <w:t>Cl</w:t>
      </w:r>
      <w:r>
        <w:rPr>
          <w:rFonts w:ascii="Times New Roman" w:eastAsia="Times New Roman" w:hAnsi="Times New Roman"/>
          <w:spacing w:val="2"/>
        </w:rPr>
        <w:t xml:space="preserve"> </w:t>
      </w:r>
      <w:r>
        <w:t>的水解的离子方程式为</w:t>
      </w:r>
    </w:p>
    <w:p>
      <w:pPr>
        <w:pStyle w:val="BodyText"/>
        <w:spacing w:line="394" w:lineRule="exact"/>
        <w:ind w:left="1468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9118600</wp:posOffset>
            </wp:positionH>
            <wp:positionV relativeFrom="paragraph">
              <wp:posOffset>201169</wp:posOffset>
            </wp:positionV>
            <wp:extent cx="228600" cy="3810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。</w:t>
      </w:r>
    </w:p>
    <w:p>
      <w:pPr>
        <w:pStyle w:val="ListParagraph"/>
        <w:numPr>
          <w:ilvl w:val="0"/>
          <w:numId w:val="29"/>
        </w:numPr>
        <w:tabs>
          <w:tab w:val="left" w:pos="3554"/>
        </w:tabs>
        <w:spacing w:before="71" w:after="0" w:line="240" w:lineRule="auto"/>
        <w:ind w:left="3553" w:right="0" w:hanging="371"/>
        <w:jc w:val="left"/>
        <w:rPr>
          <w:rFonts w:ascii="Times New Roman" w:eastAsia="Times New Roman"/>
          <w:sz w:val="29"/>
        </w:rPr>
      </w:pPr>
      <w:r>
        <w:rPr>
          <w:sz w:val="31"/>
        </w:rPr>
        <w:t>三种类型的盐水解离子方程式的书写。</w:t>
      </w:r>
    </w:p>
    <w:p>
      <w:pPr>
        <w:pStyle w:val="BodyText"/>
        <w:spacing w:before="71" w:line="283" w:lineRule="auto"/>
        <w:ind w:left="3183" w:right="4638"/>
      </w:pPr>
      <w:r>
        <w:t>①多元弱酸盐水</w:t>
      </w:r>
      <w:r>
        <w:rPr>
          <w:color w:val="FF0000"/>
        </w:rPr>
        <w:t>解</w:t>
      </w:r>
      <w:r>
        <w:rPr>
          <w:rFonts w:ascii="Times New Roman" w:eastAsia="Times New Roman" w:hAnsi="Times New Roman"/>
          <w:color w:val="FF0000"/>
        </w:rPr>
        <w:t>:</w:t>
      </w:r>
      <w:r>
        <w:t>分步进展</w:t>
      </w:r>
      <w:r>
        <w:rPr>
          <w:rFonts w:ascii="Times New Roman" w:eastAsia="Times New Roman" w:hAnsi="Times New Roman"/>
        </w:rPr>
        <w:t>,</w:t>
      </w:r>
      <w:r>
        <w:t>以第一步为主</w:t>
      </w:r>
      <w:r>
        <w:rPr>
          <w:rFonts w:ascii="Times New Roman" w:eastAsia="Times New Roman" w:hAnsi="Times New Roman"/>
        </w:rPr>
        <w:t>,</w:t>
      </w:r>
      <w:r>
        <w:t>一般只写第一步水解方程式。</w:t>
      </w:r>
      <w:r>
        <w:rPr>
          <w:spacing w:val="-38"/>
        </w:rPr>
        <w:t xml:space="preserve">如 </w:t>
      </w:r>
      <w:r>
        <w:rPr>
          <w:rFonts w:ascii="Times New Roman" w:eastAsia="Times New Roman" w:hAnsi="Times New Roman"/>
        </w:rPr>
        <w:t>Na</w:t>
      </w:r>
      <w:r>
        <w:rPr>
          <w:rFonts w:ascii="Times New Roman" w:eastAsia="Times New Roman" w:hAnsi="Times New Roman"/>
          <w:position w:val="-11"/>
          <w:sz w:val="21"/>
        </w:rPr>
        <w:t>2</w:t>
      </w:r>
      <w:r>
        <w:rPr>
          <w:rFonts w:ascii="Times New Roman" w:eastAsia="Times New Roman" w:hAnsi="Times New Roman"/>
        </w:rPr>
        <w:t>CO</w:t>
      </w:r>
      <w:r>
        <w:rPr>
          <w:rFonts w:ascii="Times New Roman" w:eastAsia="Times New Roman" w:hAnsi="Times New Roman"/>
          <w:position w:val="-11"/>
          <w:sz w:val="21"/>
        </w:rPr>
        <w:t>3</w:t>
      </w:r>
      <w:r>
        <w:rPr>
          <w:rFonts w:ascii="Times New Roman" w:eastAsia="Times New Roman" w:hAnsi="Times New Roman"/>
          <w:spacing w:val="-3"/>
          <w:position w:val="-11"/>
          <w:sz w:val="21"/>
        </w:rPr>
        <w:t xml:space="preserve"> </w:t>
      </w:r>
      <w:r>
        <w:t>水解的离子方程式为</w:t>
      </w:r>
    </w:p>
    <w:p>
      <w:pPr>
        <w:pStyle w:val="BodyText"/>
        <w:spacing w:line="318" w:lineRule="exact"/>
        <w:ind w:left="14680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9118600</wp:posOffset>
            </wp:positionH>
            <wp:positionV relativeFrom="paragraph">
              <wp:posOffset>145287</wp:posOffset>
            </wp:positionV>
            <wp:extent cx="228600" cy="3810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。</w:t>
      </w:r>
    </w:p>
    <w:p>
      <w:pPr>
        <w:pStyle w:val="BodyText"/>
        <w:spacing w:before="70" w:line="283" w:lineRule="auto"/>
        <w:ind w:left="3183" w:right="8263"/>
      </w:pPr>
      <w:r>
        <w:t>②多元弱碱盐水</w:t>
      </w:r>
      <w:r>
        <w:rPr>
          <w:color w:val="FF0000"/>
        </w:rPr>
        <w:t>解</w:t>
      </w:r>
      <w:r>
        <w:rPr>
          <w:rFonts w:ascii="Times New Roman" w:eastAsia="Times New Roman" w:hAnsi="Times New Roman"/>
          <w:color w:val="FF0000"/>
        </w:rPr>
        <w:t>:</w:t>
      </w:r>
      <w:r>
        <w:t>水解离子方程式一步写完。</w:t>
      </w:r>
      <w:r>
        <w:rPr>
          <w:spacing w:val="-37"/>
        </w:rPr>
        <w:t xml:space="preserve">如 </w:t>
      </w:r>
      <w:r>
        <w:rPr>
          <w:rFonts w:ascii="Times New Roman" w:eastAsia="Times New Roman" w:hAnsi="Times New Roman"/>
        </w:rPr>
        <w:t>FeCl</w:t>
      </w:r>
      <w:r>
        <w:rPr>
          <w:rFonts w:ascii="Times New Roman" w:eastAsia="Times New Roman" w:hAnsi="Times New Roman"/>
          <w:position w:val="-11"/>
          <w:sz w:val="21"/>
        </w:rPr>
        <w:t>3</w:t>
      </w:r>
      <w:r>
        <w:rPr>
          <w:rFonts w:ascii="Times New Roman" w:eastAsia="Times New Roman" w:hAnsi="Times New Roman"/>
          <w:spacing w:val="2"/>
          <w:position w:val="-11"/>
          <w:sz w:val="21"/>
        </w:rPr>
        <w:t xml:space="preserve"> </w:t>
      </w:r>
      <w:r>
        <w:t>水解的离子方程式为</w:t>
      </w:r>
    </w:p>
    <w:p>
      <w:pPr>
        <w:pStyle w:val="BodyText"/>
        <w:spacing w:line="318" w:lineRule="exact"/>
        <w:ind w:left="14680"/>
      </w:pPr>
      <w:r>
        <w:pict>
          <v:group id="_x0000_s1030" style="width:893pt;height:125.45pt;margin-top:11.49pt;margin-left:0;mso-position-horizontal-relative:page;position:absolute;z-index:-251653120" coordorigin="0,230" coordsize="17860,2509">
            <v:shape id="_x0000_s1031" type="#_x0000_t75" style="width:360;height:60;left:14360;position:absolute;top:229" stroked="f">
              <v:imagedata r:id="rId10" o:title=""/>
            </v:shape>
            <v:shape id="_x0000_s1032" type="#_x0000_t75" style="width:540;height:260;left:9140;position:absolute;top:1064" stroked="f">
              <v:imagedata r:id="rId11" o:title=""/>
            </v:shape>
            <v:shape id="_x0000_s1033" type="#_x0000_t75" style="width:17860;height:2356;position:absolute;top:320" stroked="f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width:8839;height:352;left:3183;position:absolute;top:417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③阴、阳离子相互促进的水</w:t>
                    </w:r>
                    <w:r>
                      <w:rPr>
                        <w:rFonts w:ascii="宋体" w:eastAsia="宋体" w:hAnsi="宋体" w:hint="eastAsia"/>
                        <w:color w:val="FF0000"/>
                        <w:sz w:val="31"/>
                      </w:rPr>
                      <w:t>解</w:t>
                    </w:r>
                    <w:r>
                      <w:rPr>
                        <w:color w:val="FF0000"/>
                        <w:sz w:val="31"/>
                      </w:rPr>
                      <w:t>: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水解根本完全的反响</w:t>
                    </w:r>
                    <w:r>
                      <w:rPr>
                        <w:sz w:val="31"/>
                      </w:rPr>
                      <w:t>,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书写时要用</w:t>
                    </w:r>
                    <w:r>
                      <w:rPr>
                        <w:sz w:val="31"/>
                      </w:rPr>
                      <w:t>“</w:t>
                    </w:r>
                  </w:p>
                </w:txbxContent>
              </v:textbox>
            </v:shape>
            <v:shape id="_x0000_s1035" type="#_x0000_t202" style="width:2613;height:351;left:12548;position:absolute;top:417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”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且标</w:t>
                    </w:r>
                    <w:r>
                      <w:rPr>
                        <w:sz w:val="31"/>
                      </w:rPr>
                      <w:t>“↑”“↓”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等。如</w:t>
                    </w:r>
                  </w:p>
                </w:txbxContent>
              </v:textbox>
            </v:shape>
            <v:shape id="_x0000_s1036" type="#_x0000_t202" style="width:12641;height:1384;left:2553;position:absolute;top:886" filled="f" stroked="f">
              <v:textbox inset="0,0,0,0">
                <w:txbxContent>
                  <w:p>
                    <w:pPr>
                      <w:spacing w:before="0" w:line="216" w:lineRule="auto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Na</w:t>
                    </w:r>
                    <w:r>
                      <w:rPr>
                        <w:position w:val="-11"/>
                        <w:sz w:val="21"/>
                      </w:rPr>
                      <w:t>2</w:t>
                    </w:r>
                    <w:r>
                      <w:rPr>
                        <w:sz w:val="31"/>
                      </w:rPr>
                      <w:t>S</w:t>
                    </w:r>
                    <w:r>
                      <w:rPr>
                        <w:spacing w:val="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24"/>
                        <w:sz w:val="31"/>
                      </w:rPr>
                      <w:t>溶液与</w:t>
                    </w:r>
                    <w:r>
                      <w:rPr>
                        <w:sz w:val="31"/>
                      </w:rPr>
                      <w:t>AlCl</w:t>
                    </w:r>
                    <w:r>
                      <w:rPr>
                        <w:position w:val="-11"/>
                        <w:sz w:val="21"/>
                      </w:rPr>
                      <w:t>3</w:t>
                    </w:r>
                    <w:r>
                      <w:rPr>
                        <w:spacing w:val="11"/>
                        <w:position w:val="-11"/>
                        <w:sz w:val="2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溶液混合</w:t>
                    </w:r>
                    <w:r>
                      <w:rPr>
                        <w:sz w:val="31"/>
                      </w:rPr>
                      <w:t>,</w:t>
                    </w:r>
                    <w:r>
                      <w:rPr>
                        <w:rFonts w:ascii="宋体" w:eastAsia="宋体" w:hint="eastAsia"/>
                        <w:spacing w:val="2"/>
                        <w:sz w:val="31"/>
                      </w:rPr>
                      <w:t>反响的离子方程式为 。</w:t>
                    </w:r>
                  </w:p>
                  <w:p>
                    <w:pPr>
                      <w:spacing w:before="0"/>
                      <w:ind w:left="1961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color w:val="FF0000"/>
                        <w:sz w:val="31"/>
                      </w:rPr>
                      <w:t>微点拨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可借助盐类水解反响的化学平衡常数</w:t>
                    </w:r>
                    <w:r>
                      <w:rPr>
                        <w:sz w:val="31"/>
                      </w:rPr>
                      <w:t>(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即我们寻常说的水解常数</w:t>
                    </w:r>
                    <w:r>
                      <w:rPr>
                        <w:sz w:val="31"/>
                      </w:rPr>
                      <w:t>)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分析水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rFonts w:ascii="仿宋" w:eastAsia="仿宋" w:hint="eastAsia"/>
                        <w:sz w:val="31"/>
                      </w:rPr>
                      <w:t>解平衡移动方向。水解平衡常数只受温度的影响</w:t>
                    </w:r>
                    <w:r>
                      <w:rPr>
                        <w:sz w:val="31"/>
                      </w:rPr>
                      <w:t>,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它随温度的上升而增大</w:t>
                    </w:r>
                    <w:r>
                      <w:rPr>
                        <w:sz w:val="31"/>
                      </w:rPr>
                      <w:t>,</w:t>
                    </w:r>
                    <w:r>
                      <w:rPr>
                        <w:rFonts w:ascii="仿宋" w:eastAsia="仿宋" w:hint="eastAsia"/>
                        <w:spacing w:val="22"/>
                        <w:sz w:val="31"/>
                      </w:rPr>
                      <w:t xml:space="preserve">它与电离常数 </w:t>
                    </w:r>
                    <w:r>
                      <w:rPr>
                        <w:rFonts w:ascii="Arial Narrow" w:eastAsia="Arial Narrow"/>
                        <w:i/>
                        <w:sz w:val="31"/>
                      </w:rPr>
                      <w:t>K</w:t>
                    </w:r>
                    <w:r>
                      <w:rPr>
                        <w:position w:val="-11"/>
                        <w:sz w:val="21"/>
                      </w:rPr>
                      <w:t>a</w:t>
                    </w:r>
                    <w:r>
                      <w:rPr>
                        <w:sz w:val="31"/>
                      </w:rPr>
                      <w:t>(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或</w:t>
                    </w:r>
                  </w:p>
                </w:txbxContent>
              </v:textbox>
            </v:shape>
            <v:shape id="_x0000_s1037" type="#_x0000_t202" style="width:8341;height:386;left:2553;position:absolute;top:2254" filled="f" stroked="f">
              <v:textbox inset="0,0,0,0">
                <w:txbxContent>
                  <w:p>
                    <w:pPr>
                      <w:tabs>
                        <w:tab w:val="left" w:pos="2850"/>
                      </w:tabs>
                      <w:spacing w:before="7" w:line="379" w:lineRule="exact"/>
                      <w:ind w:left="0" w:right="0" w:firstLine="0"/>
                      <w:jc w:val="left"/>
                      <w:rPr>
                        <w:rFonts w:ascii="仿宋" w:eastAsia="仿宋" w:hAnsi="仿宋" w:hint="eastAsia"/>
                        <w:sz w:val="31"/>
                      </w:rPr>
                    </w:pP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K</w:t>
                    </w:r>
                    <w:r>
                      <w:rPr>
                        <w:rFonts w:ascii="Arial Narrow" w:eastAsia="Arial Narrow" w:hAnsi="Arial Narrow"/>
                        <w:i/>
                        <w:spacing w:val="33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w w:val="105"/>
                        <w:sz w:val="31"/>
                      </w:rPr>
                      <w:t>)</w:t>
                    </w:r>
                    <w:r>
                      <w:rPr>
                        <w:rFonts w:ascii="仿宋" w:eastAsia="仿宋" w:hAnsi="仿宋" w:hint="eastAsia"/>
                        <w:w w:val="105"/>
                        <w:sz w:val="31"/>
                      </w:rPr>
                      <w:t>及水的离子积</w:t>
                    </w:r>
                    <w:r>
                      <w:rPr>
                        <w:rFonts w:ascii="仿宋" w:eastAsia="仿宋" w:hAnsi="仿宋" w:hint="eastAsia"/>
                        <w:spacing w:val="-93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K</w:t>
                      <w:tab/>
                    </w:r>
                    <w:r>
                      <w:rPr>
                        <w:rFonts w:ascii="仿宋" w:eastAsia="仿宋" w:hAnsi="仿宋" w:hint="eastAsia"/>
                        <w:w w:val="105"/>
                        <w:sz w:val="31"/>
                      </w:rPr>
                      <w:t>的定量关系为</w:t>
                    </w:r>
                    <w:r>
                      <w:rPr>
                        <w:rFonts w:ascii="仿宋" w:eastAsia="仿宋" w:hAnsi="仿宋" w:hint="eastAsia"/>
                        <w:spacing w:val="-88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K</w:t>
                    </w:r>
                    <w:r>
                      <w:rPr>
                        <w:rFonts w:ascii="Arial Narrow" w:eastAsia="Arial Narrow" w:hAnsi="Arial Narrow"/>
                        <w:i/>
                        <w:spacing w:val="29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·K</w:t>
                    </w:r>
                    <w:r>
                      <w:rPr>
                        <w:rFonts w:ascii="Arial Narrow" w:eastAsia="Arial Narrow" w:hAnsi="Arial Narrow"/>
                        <w:i/>
                        <w:spacing w:val="36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w w:val="105"/>
                        <w:sz w:val="31"/>
                      </w:rPr>
                      <w:t>=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K</w:t>
                    </w:r>
                    <w:r>
                      <w:rPr>
                        <w:rFonts w:ascii="Arial Narrow" w:eastAsia="Arial Narrow" w:hAnsi="Arial Narrow"/>
                        <w:i/>
                        <w:spacing w:val="69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w w:val="105"/>
                        <w:sz w:val="31"/>
                      </w:rPr>
                      <w:t>(</w:t>
                    </w:r>
                    <w:r>
                      <w:rPr>
                        <w:rFonts w:ascii="仿宋" w:eastAsia="仿宋" w:hAnsi="仿宋" w:hint="eastAsia"/>
                        <w:w w:val="105"/>
                        <w:sz w:val="31"/>
                      </w:rPr>
                      <w:t>或</w:t>
                    </w:r>
                    <w:r>
                      <w:rPr>
                        <w:rFonts w:ascii="仿宋" w:eastAsia="仿宋" w:hAnsi="仿宋" w:hint="eastAsia"/>
                        <w:spacing w:val="-81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K</w:t>
                    </w:r>
                    <w:r>
                      <w:rPr>
                        <w:rFonts w:ascii="Arial Narrow" w:eastAsia="Arial Narrow" w:hAnsi="Arial Narrow"/>
                        <w:i/>
                        <w:spacing w:val="40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·K</w:t>
                    </w:r>
                    <w:r>
                      <w:rPr>
                        <w:rFonts w:ascii="Arial Narrow" w:eastAsia="Arial Narrow" w:hAnsi="Arial Narrow"/>
                        <w:i/>
                        <w:spacing w:val="37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w w:val="105"/>
                        <w:sz w:val="31"/>
                      </w:rPr>
                      <w:t>=</w:t>
                    </w:r>
                    <w:r>
                      <w:rPr>
                        <w:rFonts w:ascii="Arial Narrow" w:eastAsia="Arial Narrow" w:hAnsi="Arial Narrow"/>
                        <w:i/>
                        <w:w w:val="105"/>
                        <w:sz w:val="31"/>
                      </w:rPr>
                      <w:t>K</w:t>
                    </w:r>
                    <w:r>
                      <w:rPr>
                        <w:rFonts w:ascii="Arial Narrow" w:eastAsia="Arial Narrow" w:hAnsi="Arial Narrow"/>
                        <w:i/>
                        <w:spacing w:val="69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w w:val="105"/>
                        <w:sz w:val="31"/>
                      </w:rPr>
                      <w:t>)</w:t>
                    </w:r>
                    <w:r>
                      <w:rPr>
                        <w:rFonts w:ascii="仿宋" w:eastAsia="仿宋" w:hAnsi="仿宋" w:hint="eastAsia"/>
                        <w:w w:val="105"/>
                        <w:sz w:val="31"/>
                      </w:rPr>
                      <w:t>。</w:t>
                    </w:r>
                  </w:p>
                </w:txbxContent>
              </v:textbox>
            </v:shape>
            <v:shape id="_x0000_s1038" type="#_x0000_t202" style="width:125;height:231;left:2765;position:absolute;top:2508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039" type="#_x0000_t202" style="width:218;height:231;left:5155;position:absolute;top:2508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W</w:t>
                    </w:r>
                  </w:p>
                </w:txbxContent>
              </v:textbox>
            </v:shape>
            <v:shape id="_x0000_s1040" type="#_x0000_t202" style="width:1093;height:231;left:7586;position:absolute;top:2508" filled="f" stroked="f">
              <v:textbox inset="0,0,0,0">
                <w:txbxContent>
                  <w:p>
                    <w:pPr>
                      <w:tabs>
                        <w:tab w:val="left" w:pos="381"/>
                        <w:tab w:val="left" w:pos="874"/>
                      </w:tabs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</w:t>
                      <w:tab/>
                      <w:t>h</w:t>
                      <w:tab/>
                      <w:t>W</w:t>
                    </w:r>
                  </w:p>
                </w:txbxContent>
              </v:textbox>
            </v:shape>
            <v:shape id="_x0000_s1041" type="#_x0000_t202" style="width:1104;height:231;left:9368;position:absolute;top:2508" filled="f" stroked="f">
              <v:textbox inset="0,0,0,0">
                <w:txbxContent>
                  <w:p>
                    <w:pPr>
                      <w:tabs>
                        <w:tab w:val="left" w:pos="392"/>
                        <w:tab w:val="left" w:pos="886"/>
                      </w:tabs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</w:t>
                      <w:tab/>
                      <w:t>h</w:t>
                      <w:tab/>
                      <w:t>W</w:t>
                    </w:r>
                  </w:p>
                </w:txbxContent>
              </v:textbox>
            </v:shape>
          </v:group>
        </w:pict>
      </w:r>
      <w:r>
        <w:rPr>
          <w:w w:val="102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30"/>
        </w:numPr>
        <w:tabs>
          <w:tab w:val="left" w:pos="3426"/>
        </w:tabs>
        <w:spacing w:before="101" w:after="0" w:line="240" w:lineRule="auto"/>
        <w:ind w:left="3425" w:right="0" w:hanging="240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盐类水解的规律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9"/>
        <w:rPr>
          <w:rFonts w:ascii="黑体"/>
          <w:sz w:val="12"/>
        </w:rPr>
      </w:pPr>
      <w:r>
        <w:pict>
          <v:group id="_x0000_s1042" style="width:280pt;height:104pt;margin-top:10.11pt;margin-left:307pt;mso-position-horizontal-relative:page;mso-wrap-distance-left:0;mso-wrap-distance-right:0;position:absolute;z-index:-251651072" coordorigin="6140,202" coordsize="5600,2080">
            <v:shape id="_x0000_s1043" type="#_x0000_t75" style="width:5600;height:2080;left:6140;position:absolute;top:202" stroked="f">
              <v:imagedata r:id="rId13" o:title=""/>
            </v:shape>
            <v:shape id="_x0000_s1044" type="#_x0000_t202" style="width:560;height:1703;left:6215;position:absolute;top:45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z w:val="27"/>
                      </w:rPr>
                      <w:t>盐的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z w:val="27"/>
                      </w:rPr>
                      <w:t>类型</w:t>
                    </w:r>
                  </w:p>
                  <w:p>
                    <w:pPr>
                      <w:spacing w:before="7" w:line="470" w:lineRule="atLeast"/>
                      <w:ind w:left="0" w:right="288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z w:val="27"/>
                      </w:rPr>
                      <w:t>实例</w:t>
                    </w:r>
                  </w:p>
                </w:txbxContent>
              </v:textbox>
            </v:shape>
            <v:shape id="_x0000_s1045" type="#_x0000_t202" style="width:1100;height:1796;left:7017;position:absolute;top:451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强酸强碱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盐</w:t>
                    </w:r>
                  </w:p>
                  <w:p>
                    <w:pPr>
                      <w:spacing w:before="46" w:line="468" w:lineRule="exact"/>
                      <w:ind w:left="0" w:right="25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27"/>
                      </w:rPr>
                      <w:t>NaCl</w:t>
                    </w:r>
                    <w:r>
                      <w:rPr>
                        <w:rFonts w:ascii="宋体" w:eastAsia="宋体" w:hint="eastAsia"/>
                        <w:spacing w:val="-1"/>
                        <w:sz w:val="27"/>
                      </w:rPr>
                      <w:t>、</w:t>
                    </w:r>
                    <w:r>
                      <w:rPr>
                        <w:sz w:val="27"/>
                      </w:rPr>
                      <w:t>KNO</w:t>
                    </w:r>
                    <w:r>
                      <w:rPr>
                        <w:position w:val="-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046" type="#_x0000_t202" style="width:3088;height:270;left:8306;position:absolute;top:685" filled="f" stroked="f">
              <v:textbox inset="0,0,0,0">
                <w:txbxContent>
                  <w:p>
                    <w:pPr>
                      <w:tabs>
                        <w:tab w:val="left" w:pos="1717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强酸弱碱盐</w:t>
                      <w:tab/>
                      <w:t>弱酸强碱盐</w:t>
                    </w:r>
                  </w:p>
                </w:txbxContent>
              </v:textbox>
            </v:shape>
            <v:shape id="_x0000_s1047" type="#_x0000_t202" style="width:1086;height:838;left:8306;position:absolute;top:1409" filled="f" stroked="f">
              <v:textbox inset="0,0,0,0">
                <w:txbxContent>
                  <w:p>
                    <w:pPr>
                      <w:spacing w:before="0" w:line="211" w:lineRule="auto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sz w:val="27"/>
                      </w:rPr>
                      <w:t>NH</w:t>
                    </w:r>
                    <w:r>
                      <w:rPr>
                        <w:position w:val="-8"/>
                        <w:sz w:val="18"/>
                      </w:rPr>
                      <w:t>4</w:t>
                    </w:r>
                    <w:r>
                      <w:rPr>
                        <w:sz w:val="27"/>
                      </w:rPr>
                      <w:t>Cl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、</w:t>
                    </w:r>
                  </w:p>
                  <w:p>
                    <w:pPr>
                      <w:spacing w:before="94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27"/>
                      </w:rPr>
                      <w:t>Cu(NO</w:t>
                    </w:r>
                    <w:r>
                      <w:rPr>
                        <w:position w:val="-8"/>
                        <w:sz w:val="18"/>
                      </w:rPr>
                      <w:t>3</w:t>
                    </w:r>
                    <w:r>
                      <w:rPr>
                        <w:sz w:val="27"/>
                      </w:rPr>
                      <w:t>)</w:t>
                    </w:r>
                    <w:r>
                      <w:rPr>
                        <w:position w:val="-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48" type="#_x0000_t202" style="width:1637;height:838;left:10024;position:absolute;top:1409" filled="f" stroked="f">
              <v:textbox inset="0,0,0,0">
                <w:txbxContent>
                  <w:p>
                    <w:pPr>
                      <w:spacing w:before="0" w:line="211" w:lineRule="auto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sz w:val="27"/>
                      </w:rPr>
                      <w:t>CH</w:t>
                    </w:r>
                    <w:r>
                      <w:rPr>
                        <w:position w:val="-8"/>
                        <w:sz w:val="18"/>
                      </w:rPr>
                      <w:t>3</w:t>
                    </w:r>
                    <w:r>
                      <w:rPr>
                        <w:sz w:val="27"/>
                      </w:rPr>
                      <w:t>COONa</w:t>
                    </w:r>
                    <w:r>
                      <w:rPr>
                        <w:rFonts w:ascii="宋体" w:eastAsia="宋体" w:hint="eastAsia"/>
                        <w:sz w:val="27"/>
                      </w:rPr>
                      <w:t>、</w:t>
                    </w:r>
                  </w:p>
                  <w:p>
                    <w:pPr>
                      <w:spacing w:before="94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27"/>
                      </w:rPr>
                      <w:t>Na</w:t>
                    </w:r>
                    <w:r>
                      <w:rPr>
                        <w:position w:val="-8"/>
                        <w:sz w:val="18"/>
                      </w:rPr>
                      <w:t>2</w:t>
                    </w:r>
                    <w:r>
                      <w:rPr>
                        <w:sz w:val="27"/>
                      </w:rPr>
                      <w:t>CO</w:t>
                    </w:r>
                    <w:r>
                      <w:rPr>
                        <w:position w:val="-8"/>
                        <w:sz w:val="18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2"/>
        <w:rPr>
          <w:rFonts w:ascii="黑体"/>
          <w:sz w:val="28"/>
        </w:rPr>
      </w:pPr>
    </w:p>
    <w:p>
      <w:pPr>
        <w:pStyle w:val="BodyText"/>
        <w:spacing w:before="62"/>
        <w:ind w:right="2543"/>
        <w:jc w:val="right"/>
        <w:rPr>
          <w:rFonts w:ascii="黑体" w:eastAsia="黑体" w:hint="eastAsia"/>
        </w:rPr>
      </w:pPr>
      <w:r>
        <w:pict>
          <v:group id="_x0000_s1049" style="width:232pt;height:249pt;margin-top:22.36pt;margin-left:331pt;mso-position-horizontal-relative:page;position:absolute;z-index:-251652096" coordorigin="6620,447" coordsize="4640,4980">
            <v:shape id="_x0000_s1050" type="#_x0000_t75" style="width:4640;height:4980;left:6620;position:absolute;top:447" stroked="f">
              <v:imagedata r:id="rId14" o:title=""/>
            </v:shape>
            <v:shape id="_x0000_s1051" type="#_x0000_t202" style="width:830;height:2200;left:6690;position:absolute;top:69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z w:val="27"/>
                      </w:rPr>
                      <w:t>盐的类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z w:val="27"/>
                      </w:rPr>
                      <w:t>型</w:t>
                    </w:r>
                  </w:p>
                  <w:p>
                    <w:pPr>
                      <w:spacing w:before="151" w:line="324" w:lineRule="auto"/>
                      <w:ind w:left="0" w:right="18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pacing w:val="-2"/>
                        <w:sz w:val="27"/>
                      </w:rPr>
                      <w:t>是否水</w:t>
                    </w:r>
                    <w:r>
                      <w:rPr>
                        <w:rFonts w:ascii="黑体" w:eastAsia="黑体" w:hint="eastAsia"/>
                        <w:sz w:val="27"/>
                      </w:rPr>
                      <w:t>解</w:t>
                    </w:r>
                  </w:p>
                  <w:p>
                    <w:pPr>
                      <w:spacing w:before="30" w:line="308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27"/>
                      </w:rPr>
                    </w:pPr>
                    <w:r>
                      <w:rPr>
                        <w:rFonts w:ascii="黑体" w:eastAsia="黑体" w:hint="eastAsia"/>
                        <w:sz w:val="27"/>
                      </w:rPr>
                      <w:t>水解的</w:t>
                    </w:r>
                  </w:p>
                </w:txbxContent>
              </v:textbox>
            </v:shape>
            <v:shape id="_x0000_s1052" type="#_x0000_t202" style="width:3383;height:270;left:7777;position:absolute;top:69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pacing w:val="8"/>
                        <w:sz w:val="27"/>
                      </w:rPr>
                      <w:t>强酸强碱强酸弱碱弱酸强碱</w:t>
                    </w:r>
                  </w:p>
                </w:txbxContent>
              </v:textbox>
            </v:shape>
            <v:shape id="_x0000_s1053" type="#_x0000_t202" style="width:290;height:270;left:7777;position:absolute;top:116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盐</w:t>
                    </w:r>
                  </w:p>
                </w:txbxContent>
              </v:textbox>
            </v:shape>
            <v:shape id="_x0000_s1054" type="#_x0000_t202" style="width:290;height:270;left:8918;position:absolute;top:116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盐</w:t>
                    </w:r>
                  </w:p>
                </w:txbxContent>
              </v:textbox>
            </v:shape>
            <v:shape id="_x0000_s1055" type="#_x0000_t202" style="width:290;height:270;left:10060;position:absolute;top:116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盐</w:t>
                    </w:r>
                  </w:p>
                </w:txbxContent>
              </v:textbox>
            </v:shape>
            <v:shape id="_x0000_s1056" type="#_x0000_t202" style="width:290;height:299;left:7777;position:absolute;top:284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—</w:t>
                    </w:r>
                  </w:p>
                </w:txbxContent>
              </v:textbox>
            </v:shape>
          </v:group>
        </w:pict>
      </w:r>
      <w:r>
        <w:rPr>
          <w:rFonts w:ascii="黑体" w:eastAsia="黑体" w:hint="eastAsia"/>
          <w:spacing w:val="4"/>
        </w:rPr>
        <w:t>续 表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0" w:after="1"/>
        <w:rPr>
          <w:rFonts w:ascii="黑体"/>
          <w:sz w:val="25"/>
        </w:rPr>
      </w:pPr>
    </w:p>
    <w:tbl>
      <w:tblPr>
        <w:tblStyle w:val="TableNormal"/>
        <w:tblW w:w="0" w:type="auto"/>
        <w:jc w:val="left"/>
        <w:tblInd w:w="6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752"/>
        <w:gridCol w:w="1142"/>
        <w:gridCol w:w="786"/>
      </w:tblGrid>
      <w:tr>
        <w:tblPrEx>
          <w:tblW w:w="0" w:type="auto"/>
          <w:jc w:val="left"/>
          <w:tblInd w:w="66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5"/>
          <w:jc w:val="left"/>
        </w:trPr>
        <w:tc>
          <w:tcPr>
            <w:tcW w:w="1121" w:type="dxa"/>
          </w:tcPr>
          <w:p>
            <w:pPr>
              <w:pStyle w:val="TableParagraph"/>
              <w:spacing w:before="0" w:line="308" w:lineRule="exact"/>
              <w:rPr>
                <w:rFonts w:ascii="黑体" w:eastAsia="黑体" w:hint="eastAsia"/>
                <w:sz w:val="27"/>
              </w:rPr>
            </w:pPr>
            <w:r>
              <w:rPr>
                <w:rFonts w:ascii="黑体" w:eastAsia="黑体" w:hint="eastAsia"/>
                <w:sz w:val="27"/>
              </w:rPr>
              <w:t>离子</w:t>
            </w:r>
          </w:p>
        </w:tc>
        <w:tc>
          <w:tcPr>
            <w:tcW w:w="2680" w:type="dxa"/>
            <w:gridSpan w:val="3"/>
            <w:vMerge w:val="restart"/>
          </w:tcPr>
          <w:p>
            <w:pPr>
              <w:pStyle w:val="TableParagraph"/>
              <w:spacing w:before="0"/>
              <w:ind w:left="0"/>
              <w:rPr>
                <w:sz w:val="30"/>
              </w:rPr>
            </w:pPr>
          </w:p>
        </w:tc>
      </w:tr>
      <w:tr>
        <w:tblPrEx>
          <w:tblW w:w="0" w:type="auto"/>
          <w:jc w:val="left"/>
          <w:tblInd w:w="66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121" w:type="dxa"/>
          </w:tcPr>
          <w:p>
            <w:pPr>
              <w:pStyle w:val="TableParagraph"/>
              <w:spacing w:before="77"/>
              <w:rPr>
                <w:rFonts w:ascii="黑体" w:eastAsia="黑体" w:hint="eastAsia"/>
                <w:sz w:val="27"/>
              </w:rPr>
            </w:pPr>
            <w:r>
              <w:rPr>
                <w:rFonts w:ascii="黑体" w:eastAsia="黑体" w:hint="eastAsia"/>
                <w:sz w:val="27"/>
              </w:rPr>
              <w:t>溶液的</w:t>
            </w:r>
          </w:p>
        </w:tc>
        <w:tc>
          <w:tcPr>
            <w:tcW w:w="268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66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9"/>
          <w:jc w:val="left"/>
        </w:trPr>
        <w:tc>
          <w:tcPr>
            <w:tcW w:w="1121" w:type="dxa"/>
          </w:tcPr>
          <w:p>
            <w:pPr>
              <w:pStyle w:val="TableParagraph"/>
              <w:spacing w:before="61"/>
              <w:rPr>
                <w:rFonts w:ascii="黑体" w:eastAsia="黑体" w:hint="eastAsia"/>
                <w:sz w:val="27"/>
              </w:rPr>
            </w:pPr>
            <w:r>
              <w:rPr>
                <w:rFonts w:ascii="黑体" w:eastAsia="黑体" w:hint="eastAsia"/>
                <w:sz w:val="27"/>
              </w:rPr>
              <w:t>酸碱性</w:t>
            </w:r>
          </w:p>
        </w:tc>
        <w:tc>
          <w:tcPr>
            <w:tcW w:w="268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66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3"/>
          <w:jc w:val="left"/>
        </w:trPr>
        <w:tc>
          <w:tcPr>
            <w:tcW w:w="1121" w:type="dxa"/>
          </w:tcPr>
          <w:p>
            <w:pPr>
              <w:pStyle w:val="TableParagraph"/>
              <w:spacing w:before="79"/>
              <w:rPr>
                <w:rFonts w:ascii="黑体" w:eastAsia="黑体" w:hint="eastAsia"/>
                <w:sz w:val="27"/>
              </w:rPr>
            </w:pPr>
            <w:r>
              <w:rPr>
                <w:rFonts w:ascii="黑体" w:eastAsia="黑体" w:hint="eastAsia"/>
                <w:sz w:val="27"/>
              </w:rPr>
              <w:t>溶液的</w:t>
            </w:r>
          </w:p>
        </w:tc>
        <w:tc>
          <w:tcPr>
            <w:tcW w:w="752" w:type="dxa"/>
          </w:tcPr>
          <w:p>
            <w:pPr>
              <w:pStyle w:val="TableParagraph"/>
              <w:spacing w:before="97"/>
              <w:ind w:left="16"/>
              <w:rPr>
                <w:sz w:val="27"/>
              </w:rPr>
            </w:pPr>
            <w:r>
              <w:rPr>
                <w:sz w:val="27"/>
              </w:rPr>
              <w:t>pH</w:t>
            </w:r>
          </w:p>
        </w:tc>
        <w:tc>
          <w:tcPr>
            <w:tcW w:w="1142" w:type="dxa"/>
          </w:tcPr>
          <w:p>
            <w:pPr>
              <w:pStyle w:val="TableParagraph"/>
              <w:spacing w:before="97"/>
              <w:ind w:left="405"/>
              <w:rPr>
                <w:sz w:val="27"/>
              </w:rPr>
            </w:pPr>
            <w:r>
              <w:rPr>
                <w:sz w:val="27"/>
              </w:rPr>
              <w:t>pH</w:t>
            </w:r>
          </w:p>
        </w:tc>
        <w:tc>
          <w:tcPr>
            <w:tcW w:w="786" w:type="dxa"/>
          </w:tcPr>
          <w:p>
            <w:pPr>
              <w:pStyle w:val="TableParagraph"/>
              <w:spacing w:before="97"/>
              <w:ind w:left="404"/>
              <w:rPr>
                <w:sz w:val="27"/>
              </w:rPr>
            </w:pPr>
            <w:r>
              <w:rPr>
                <w:sz w:val="27"/>
              </w:rPr>
              <w:t>pH</w:t>
            </w:r>
          </w:p>
        </w:tc>
      </w:tr>
      <w:tr>
        <w:tblPrEx>
          <w:tblW w:w="0" w:type="auto"/>
          <w:jc w:val="left"/>
          <w:tblInd w:w="66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2"/>
          <w:jc w:val="left"/>
        </w:trPr>
        <w:tc>
          <w:tcPr>
            <w:tcW w:w="1121" w:type="dxa"/>
          </w:tcPr>
          <w:p>
            <w:pPr>
              <w:pStyle w:val="TableParagraph"/>
              <w:spacing w:before="54" w:line="309" w:lineRule="exact"/>
              <w:rPr>
                <w:sz w:val="27"/>
              </w:rPr>
            </w:pPr>
            <w:r>
              <w:rPr>
                <w:sz w:val="27"/>
              </w:rPr>
              <w:t>pH(25</w:t>
            </w:r>
            <w:r>
              <w:rPr>
                <w:rFonts w:ascii="宋体" w:hAnsi="宋体"/>
                <w:sz w:val="27"/>
              </w:rPr>
              <w:t>℃</w:t>
            </w:r>
            <w:r>
              <w:rPr>
                <w:sz w:val="27"/>
              </w:rPr>
              <w:t>)</w:t>
            </w:r>
          </w:p>
        </w:tc>
        <w:tc>
          <w:tcPr>
            <w:tcW w:w="752" w:type="dxa"/>
          </w:tcPr>
          <w:p>
            <w:pPr>
              <w:pStyle w:val="TableParagraph"/>
              <w:spacing w:line="291" w:lineRule="exact"/>
              <w:ind w:left="16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1142" w:type="dxa"/>
          </w:tcPr>
          <w:p>
            <w:pPr>
              <w:pStyle w:val="TableParagraph"/>
              <w:spacing w:line="291" w:lineRule="exact"/>
              <w:ind w:left="405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786" w:type="dxa"/>
          </w:tcPr>
          <w:p>
            <w:pPr>
              <w:pStyle w:val="TableParagraph"/>
              <w:spacing w:line="291" w:lineRule="exact"/>
              <w:ind w:left="404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</w:tr>
    </w:tbl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8"/>
        <w:rPr>
          <w:rFonts w:ascii="黑体"/>
          <w:sz w:val="22"/>
        </w:rPr>
      </w:pPr>
    </w:p>
    <w:p>
      <w:pPr>
        <w:pStyle w:val="ListParagraph"/>
        <w:numPr>
          <w:ilvl w:val="0"/>
          <w:numId w:val="28"/>
        </w:numPr>
        <w:tabs>
          <w:tab w:val="left" w:pos="3426"/>
        </w:tabs>
        <w:spacing w:before="101" w:after="0" w:line="240" w:lineRule="auto"/>
        <w:ind w:left="3425" w:right="0" w:hanging="240"/>
        <w:jc w:val="left"/>
        <w:rPr>
          <w:sz w:val="31"/>
        </w:rPr>
      </w:pPr>
      <w:r>
        <w:pict>
          <v:group id="_x0000_s1057" style="width:893pt;height:117.2pt;margin-top:-115.45pt;margin-left:0;mso-position-horizontal-relative:page;position:absolute;z-index:251661312" coordorigin="0,-2309" coordsize="17860,2344">
            <v:shape id="_x0000_s1058" type="#_x0000_t75" style="width:17860;height:2344;position:absolute;top:-2309" stroked="f">
              <v:imagedata r:id="rId15" o:title=""/>
            </v:shape>
            <v:shape id="_x0000_s1059" type="#_x0000_t202" style="width:10218;height:450;left:4515;position:absolute;top:-2212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黑体" w:eastAsia="黑体" w:hAnsi="黑体" w:hint="eastAsia"/>
                        <w:color w:val="FF0000"/>
                        <w:sz w:val="31"/>
                      </w:rPr>
                      <w:t>微点拨</w:t>
                    </w:r>
                    <w:r>
                      <w:rPr>
                        <w:rFonts w:ascii="仿宋" w:eastAsia="仿宋" w:hAnsi="仿宋" w:hint="eastAsia"/>
                        <w:sz w:val="31"/>
                      </w:rPr>
                      <w:t>对</w:t>
                    </w:r>
                    <w:r>
                      <w:rPr>
                        <w:sz w:val="31"/>
                      </w:rPr>
                      <w:t>“</w:t>
                    </w:r>
                    <w:r>
                      <w:rPr>
                        <w:rFonts w:ascii="仿宋" w:eastAsia="仿宋" w:hAnsi="仿宋" w:hint="eastAsia"/>
                        <w:sz w:val="31"/>
                      </w:rPr>
                      <w:t>越弱越水解</w:t>
                    </w:r>
                    <w:r>
                      <w:rPr>
                        <w:sz w:val="31"/>
                      </w:rPr>
                      <w:t>”</w:t>
                    </w:r>
                    <w:r>
                      <w:rPr>
                        <w:rFonts w:ascii="仿宋" w:eastAsia="仿宋" w:hAnsi="仿宋" w:hint="eastAsia"/>
                        <w:spacing w:val="4"/>
                        <w:sz w:val="31"/>
                      </w:rPr>
                      <w:t>的理解。如分析一样浓度的</w:t>
                    </w:r>
                    <w:r>
                      <w:rPr>
                        <w:sz w:val="31"/>
                      </w:rPr>
                      <w:t>CH</w:t>
                    </w:r>
                    <w:r>
                      <w:rPr>
                        <w:position w:val="-11"/>
                        <w:sz w:val="21"/>
                      </w:rPr>
                      <w:t>3</w:t>
                    </w:r>
                    <w:r>
                      <w:rPr>
                        <w:sz w:val="31"/>
                      </w:rPr>
                      <w:t>COONa</w:t>
                    </w:r>
                    <w:r>
                      <w:rPr>
                        <w:rFonts w:ascii="仿宋" w:eastAsia="仿宋" w:hAnsi="仿宋" w:hint="eastAsia"/>
                        <w:sz w:val="31"/>
                      </w:rPr>
                      <w:t>、</w:t>
                    </w:r>
                    <w:r>
                      <w:rPr>
                        <w:sz w:val="31"/>
                      </w:rPr>
                      <w:t>Na</w:t>
                    </w:r>
                    <w:r>
                      <w:rPr>
                        <w:position w:val="-11"/>
                        <w:sz w:val="21"/>
                      </w:rPr>
                      <w:t>2</w:t>
                    </w:r>
                    <w:r>
                      <w:rPr>
                        <w:sz w:val="31"/>
                      </w:rPr>
                      <w:t>CO</w:t>
                    </w:r>
                    <w:r>
                      <w:rPr>
                        <w:position w:val="-11"/>
                        <w:sz w:val="21"/>
                      </w:rPr>
                      <w:t>3</w:t>
                    </w:r>
                  </w:p>
                  <w:p>
                    <w:pPr>
                      <w:spacing w:before="0" w:line="220" w:lineRule="exact"/>
                      <w:ind w:left="0" w:right="18" w:firstLine="0"/>
                      <w:jc w:val="righ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rFonts w:ascii="仿宋" w:eastAsia="仿宋" w:hint="eastAsia"/>
                        <w:w w:val="102"/>
                        <w:sz w:val="31"/>
                      </w:rPr>
                      <w:t>、</w:t>
                    </w:r>
                  </w:p>
                </w:txbxContent>
              </v:textbox>
            </v:shape>
            <v:shape id="_x0000_s1060" type="#_x0000_t202" style="width:3429;height:350;left:2553;position:absolute;top:-1742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NaHCO</w:t>
                    </w:r>
                    <w:r>
                      <w:rPr>
                        <w:spacing w:val="60"/>
                        <w:sz w:val="31"/>
                      </w:rPr>
                      <w:t xml:space="preserve"> 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溶液的碱性强弱</w:t>
                    </w:r>
                  </w:p>
                </w:txbxContent>
              </v:textbox>
            </v:shape>
            <v:shape id="_x0000_s1061" type="#_x0000_t202" style="width:125;height:231;left:3589;position:absolute;top:-1525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62" type="#_x0000_t202" style="width:100;height:350;left:5952;position:absolute;top:-1742" filled="f" stroked="f">
              <v:textbox inset="0,0,0,0">
                <w:txbxContent>
                  <w:p>
                    <w:pPr>
                      <w:spacing w:before="0" w:line="34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,</w:t>
                    </w:r>
                  </w:p>
                </w:txbxContent>
              </v:textbox>
            </v:shape>
            <v:shape id="_x0000_s1063" type="#_x0000_t202" style="width:4470;height:350;left:6027;position:absolute;top:-1742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仿宋" w:eastAsia="仿宋" w:hint="eastAsia"/>
                        <w:spacing w:val="18"/>
                        <w:sz w:val="31"/>
                      </w:rPr>
                      <w:t>由于酸性</w:t>
                    </w:r>
                    <w:r>
                      <w:rPr>
                        <w:sz w:val="31"/>
                      </w:rPr>
                      <w:t>CH</w:t>
                    </w:r>
                    <w:r>
                      <w:rPr>
                        <w:spacing w:val="5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COOH&gt;H</w:t>
                    </w:r>
                    <w:r>
                      <w:rPr>
                        <w:spacing w:val="49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CO</w:t>
                    </w:r>
                    <w:r>
                      <w:rPr>
                        <w:spacing w:val="5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&gt;HC</w:t>
                    </w:r>
                  </w:p>
                </w:txbxContent>
              </v:textbox>
            </v:shape>
            <v:shape id="_x0000_s1064" type="#_x0000_t202" style="width:125;height:231;left:7806;position:absolute;top:-1525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65" type="#_x0000_t202" style="width:669;height:231;left:9210;position:absolute;top:-1525" filled="f" stroked="f">
              <v:textbox inset="0,0,0,0">
                <w:txbxContent>
                  <w:p>
                    <w:pPr>
                      <w:tabs>
                        <w:tab w:val="left" w:pos="544"/>
                      </w:tabs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</w:t>
                      <w:tab/>
                      <w:t>3</w:t>
                    </w:r>
                  </w:p>
                </w:txbxContent>
              </v:textbox>
            </v:shape>
            <v:shape id="_x0000_s1066" type="#_x0000_t202" style="width:449;height:372;left:10470;position:absolute;top:-1763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Cambria Math"/>
                        <w:sz w:val="31"/>
                      </w:rPr>
                      <w:t>O</w:t>
                    </w:r>
                    <w:r>
                      <w:rPr>
                        <w:rFonts w:ascii="Cambria Math"/>
                        <w:spacing w:val="1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,</w:t>
                    </w:r>
                  </w:p>
                </w:txbxContent>
              </v:textbox>
            </v:shape>
            <v:shape id="_x0000_s1067" type="#_x0000_t202" style="width:96;height:251;left:10679;position:absolute;top:-1704" filled="f" stroked="f">
              <v:textbox inset="0,0,0,0">
                <w:txbxContent>
                  <w:p>
                    <w:pPr>
                      <w:spacing w:before="0" w:line="249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-</w:t>
                    </w:r>
                  </w:p>
                </w:txbxContent>
              </v:textbox>
            </v:shape>
            <v:shape id="_x0000_s1068" type="#_x0000_t202" style="width:2141;height:452;left:10679;position:absolute;top:-1734" filled="f" stroked="f">
              <v:textbox inset="0,0,0,0">
                <w:txbxContent>
                  <w:p>
                    <w:pPr>
                      <w:spacing w:before="0" w:line="208" w:lineRule="auto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rFonts w:ascii="Cambria Math" w:eastAsia="Cambria Math"/>
                        <w:position w:val="-12"/>
                        <w:sz w:val="22"/>
                      </w:rPr>
                      <w:t>3</w:t>
                    </w:r>
                    <w:r>
                      <w:rPr>
                        <w:rFonts w:ascii="Cambria Math" w:eastAsia="Cambria Math"/>
                        <w:spacing w:val="32"/>
                        <w:position w:val="-12"/>
                        <w:sz w:val="22"/>
                      </w:rPr>
                      <w:t xml:space="preserve"> 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则水解程度为</w:t>
                    </w:r>
                  </w:p>
                </w:txbxContent>
              </v:textbox>
            </v:shape>
            <v:shape id="_x0000_s1069" type="#_x0000_t202" style="width:232;height:350;left:2553;position:absolute;top:-1274" filled="f" stroked="f">
              <v:textbox inset="0,0,0,0">
                <w:txbxContent>
                  <w:p>
                    <w:pPr>
                      <w:spacing w:before="0" w:line="34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70" type="#_x0000_t202" style="width:1064;height:372;left:2762;position:absolute;top:-1295" filled="f" stroked="f">
              <v:textbox inset="0,0,0,0">
                <w:txbxContent>
                  <w:p>
                    <w:pPr>
                      <w:tabs>
                        <w:tab w:val="left" w:pos="424"/>
                      </w:tabs>
                      <w:spacing w:before="6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Cambria Math"/>
                        <w:sz w:val="31"/>
                      </w:rPr>
                      <w:t>O</w:t>
                      <w:tab/>
                    </w:r>
                    <w:r>
                      <w:rPr>
                        <w:sz w:val="31"/>
                      </w:rPr>
                      <w:t>&gt;HC</w:t>
                    </w:r>
                  </w:p>
                </w:txbxContent>
              </v:textbox>
            </v:shape>
            <v:shape id="_x0000_s1071" type="#_x0000_t202" style="width:225;height:266;left:2970;position:absolute;top:-1271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Cambria Math"/>
                        <w:w w:val="105"/>
                        <w:sz w:val="22"/>
                      </w:rPr>
                      <w:t>2</w:t>
                    </w:r>
                    <w:r>
                      <w:rPr>
                        <w:w w:val="105"/>
                        <w:sz w:val="22"/>
                      </w:rPr>
                      <w:t>-</w:t>
                    </w:r>
                  </w:p>
                </w:txbxContent>
              </v:textbox>
            </v:shape>
            <v:shape id="_x0000_s1072" type="#_x0000_t202" style="width:152;height:266;left:2970;position:absolute;top:-1080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Cambria Math"/>
                        <w:sz w:val="22"/>
                      </w:rPr>
                    </w:pPr>
                    <w:r>
                      <w:rPr>
                        <w:rFonts w:ascii="Cambria Math"/>
                        <w:w w:val="107"/>
                        <w:sz w:val="22"/>
                      </w:rPr>
                      <w:t>3</w:t>
                    </w:r>
                  </w:p>
                </w:txbxContent>
              </v:textbox>
            </v:shape>
            <v:shape id="_x0000_s1073" type="#_x0000_t202" style="width:4759;height:372;left:3802;position:absolute;top:-1295" filled="f" stroked="f">
              <v:textbox inset="0,0,0,0">
                <w:txbxContent>
                  <w:p>
                    <w:pPr>
                      <w:spacing w:before="0" w:line="371" w:lineRule="exact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rFonts w:ascii="Cambria Math" w:eastAsia="Cambria Math"/>
                        <w:sz w:val="31"/>
                      </w:rPr>
                      <w:t>O</w:t>
                    </w:r>
                    <w:r>
                      <w:rPr>
                        <w:rFonts w:ascii="Cambria Math" w:eastAsia="Cambria Math"/>
                        <w:spacing w:val="47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&gt;CH</w:t>
                    </w:r>
                    <w:r>
                      <w:rPr>
                        <w:spacing w:val="57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COO</w:t>
                    </w:r>
                    <w:r>
                      <w:rPr>
                        <w:spacing w:val="3"/>
                        <w:sz w:val="31"/>
                      </w:rPr>
                      <w:t xml:space="preserve"> ,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故对应盐溶液的碱性</w:t>
                    </w:r>
                  </w:p>
                </w:txbxContent>
              </v:textbox>
            </v:shape>
            <v:shape id="_x0000_s1074" type="#_x0000_t202" style="width:96;height:251;left:4011;position:absolute;top:-1236" filled="f" stroked="f">
              <v:textbox inset="0,0,0,0">
                <w:txbxContent>
                  <w:p>
                    <w:pPr>
                      <w:spacing w:before="0" w:line="249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-</w:t>
                    </w:r>
                  </w:p>
                </w:txbxContent>
              </v:textbox>
            </v:shape>
            <v:shape id="_x0000_s1075" type="#_x0000_t202" style="width:152;height:266;left:4011;position:absolute;top:-1080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Cambria Math"/>
                        <w:sz w:val="22"/>
                      </w:rPr>
                    </w:pPr>
                    <w:r>
                      <w:rPr>
                        <w:rFonts w:ascii="Cambria Math"/>
                        <w:w w:val="107"/>
                        <w:sz w:val="22"/>
                      </w:rPr>
                      <w:t>3</w:t>
                    </w:r>
                  </w:p>
                </w:txbxContent>
              </v:textbox>
            </v:shape>
            <v:shape id="_x0000_s1076" type="#_x0000_t202" style="width:125;height:231;left:4770;position:absolute;top:-1057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77" type="#_x0000_t202" style="width:90;height:231;left:5541;position:absolute;top:-1190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-</w:t>
                    </w:r>
                  </w:p>
                </w:txbxContent>
              </v:textbox>
            </v:shape>
            <v:shape id="_x0000_s1078" type="#_x0000_t202" style="width:1807;height:350;left:8526;position:absolute;top:-1274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:Na</w:t>
                    </w:r>
                    <w:r>
                      <w:rPr>
                        <w:spacing w:val="30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CO</w:t>
                    </w:r>
                    <w:r>
                      <w:rPr>
                        <w:spacing w:val="23"/>
                        <w:sz w:val="31"/>
                      </w:rPr>
                      <w:t xml:space="preserve"> 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溶液</w:t>
                    </w:r>
                  </w:p>
                </w:txbxContent>
              </v:textbox>
            </v:shape>
            <v:shape id="_x0000_s1079" type="#_x0000_t202" style="width:953;height:744;left:8979;position:absolute;top:-1057" filled="f" stroked="f">
              <v:textbox inset="0,0,0,0">
                <w:txbxContent>
                  <w:p>
                    <w:pPr>
                      <w:tabs>
                        <w:tab w:val="left" w:pos="540"/>
                      </w:tabs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</w:t>
                      <w:tab/>
                      <w:t>3</w:t>
                    </w:r>
                  </w:p>
                  <w:p>
                    <w:pPr>
                      <w:spacing w:before="54" w:line="459" w:lineRule="exact"/>
                      <w:ind w:left="352" w:right="0" w:firstLine="0"/>
                      <w:jc w:val="left"/>
                      <w:rPr>
                        <w:rFonts w:ascii="微软雅黑" w:eastAsia="微软雅黑" w:hint="eastAsia"/>
                        <w:sz w:val="29"/>
                      </w:rPr>
                    </w:pPr>
                    <w:r>
                      <w:rPr>
                        <w:rFonts w:ascii="微软雅黑" w:eastAsia="微软雅黑" w:hint="eastAsia"/>
                        <w:color w:val="FF0000"/>
                        <w:sz w:val="29"/>
                      </w:rPr>
                      <w:t>诊断</w:t>
                    </w:r>
                  </w:p>
                </w:txbxContent>
              </v:textbox>
            </v:shape>
            <v:shape id="_x0000_s1080" type="#_x0000_t202" style="width:2022;height:350;left:10308;position:absolute;top:-1274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&gt;NaHCO</w:t>
                    </w:r>
                    <w:r>
                      <w:rPr>
                        <w:spacing w:val="31"/>
                        <w:sz w:val="31"/>
                      </w:rPr>
                      <w:t xml:space="preserve"> 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溶液</w:t>
                    </w:r>
                  </w:p>
                </w:txbxContent>
              </v:textbox>
            </v:shape>
            <v:shape id="_x0000_s1081" type="#_x0000_t202" style="width:125;height:231;left:11522;position:absolute;top:-1057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82" type="#_x0000_t202" style="width:2801;height:350;left:12306;position:absolute;top:-1274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仿宋" w:eastAsia="仿宋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&gt;CH</w:t>
                    </w:r>
                    <w:r>
                      <w:rPr>
                        <w:spacing w:val="5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COONa</w:t>
                    </w:r>
                    <w:r>
                      <w:rPr>
                        <w:spacing w:val="15"/>
                        <w:sz w:val="31"/>
                      </w:rPr>
                      <w:t xml:space="preserve"> </w:t>
                    </w:r>
                    <w:r>
                      <w:rPr>
                        <w:rFonts w:ascii="仿宋" w:eastAsia="仿宋" w:hint="eastAsia"/>
                        <w:sz w:val="31"/>
                      </w:rPr>
                      <w:t>溶液。</w:t>
                    </w:r>
                  </w:p>
                </w:txbxContent>
              </v:textbox>
            </v:shape>
            <v:shape id="_x0000_s1083" type="#_x0000_t202" style="width:125;height:231;left:12922;position:absolute;top:-1057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84" type="#_x0000_t202" style="width:600;height:383;left:8375;position:absolute;top:-757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29"/>
                      </w:rPr>
                    </w:pPr>
                    <w:r>
                      <w:rPr>
                        <w:rFonts w:ascii="微软雅黑" w:eastAsia="微软雅黑" w:hint="eastAsia"/>
                        <w:color w:val="FF0000"/>
                        <w:sz w:val="29"/>
                      </w:rPr>
                      <w:t>自我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推断正误</w:t>
      </w:r>
      <w:r>
        <w:rPr>
          <w:rFonts w:ascii="Times New Roman" w:eastAsia="Times New Roman" w:hAnsi="Times New Roman"/>
          <w:sz w:val="31"/>
        </w:rPr>
        <w:t>,</w:t>
      </w:r>
      <w:r>
        <w:rPr>
          <w:sz w:val="31"/>
        </w:rPr>
        <w:t>正确的打</w:t>
      </w:r>
      <w:r>
        <w:rPr>
          <w:rFonts w:ascii="Times New Roman" w:eastAsia="Times New Roman" w:hAnsi="Times New Roman"/>
          <w:sz w:val="31"/>
        </w:rPr>
        <w:t>“</w:t>
      </w:r>
      <w:r>
        <w:rPr>
          <w:rFonts w:ascii="Cambria Math" w:eastAsia="Cambria Math" w:hAnsi="Cambria Math"/>
          <w:sz w:val="31"/>
        </w:rPr>
        <w:t>√</w:t>
      </w:r>
      <w:r>
        <w:rPr>
          <w:rFonts w:ascii="Times New Roman" w:eastAsia="Times New Roman" w:hAnsi="Times New Roman"/>
          <w:sz w:val="31"/>
        </w:rPr>
        <w:t>”,</w:t>
      </w:r>
      <w:r>
        <w:rPr>
          <w:sz w:val="31"/>
        </w:rPr>
        <w:t>错误的打</w:t>
      </w:r>
      <w:r>
        <w:rPr>
          <w:rFonts w:ascii="Times New Roman" w:eastAsia="Times New Roman" w:hAnsi="Times New Roman"/>
          <w:sz w:val="31"/>
        </w:rPr>
        <w:t>“×”</w:t>
      </w:r>
      <w:r>
        <w:rPr>
          <w:sz w:val="31"/>
        </w:rPr>
        <w:t>。</w:t>
      </w:r>
    </w:p>
    <w:p>
      <w:pPr>
        <w:spacing w:after="0" w:line="240" w:lineRule="auto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https://d.book118.com/338105005113006026</w:t>
        </w:r>
      </w:hyperlink>
    </w:p>
    <w:p>
      <w:pPr>
        <w:spacing w:after="0" w:line="240" w:lineRule="auto"/>
        <w:jc w:val="left"/>
        <w:rPr>
          <w:sz w:val="31"/>
        </w:rPr>
      </w:pPr>
    </w:p>
    <w:sectPr>
      <w:pgSz w:w="17860" w:h="25260"/>
      <w:pgMar w:top="1860" w:right="0" w:bottom="280" w:left="0" w:header="708" w:footer="708"/>
      <w:pgNumType w:start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Arial Unicode MS">
    <w:altName w:val="Arial Unicode MS"/>
    <w:charset w:val="86"/>
    <w:family w:val="swiss"/>
    <w:pitch w:val="variable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F65A"/>
    <w:multiLevelType w:val="hybridMultilevel"/>
    <w:tmpl w:val="00000000"/>
    <w:lvl w:ilvl="0">
      <w:start w:val="3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1">
    <w:nsid w:val="07925EBB"/>
    <w:multiLevelType w:val="hybridMultilevel"/>
    <w:tmpl w:val="00000000"/>
    <w:lvl w:ilvl="0">
      <w:start w:val="1"/>
      <w:numFmt w:val="decimal"/>
      <w:lvlText w:val="%1."/>
      <w:lvlJc w:val="left"/>
      <w:pPr>
        <w:ind w:left="3425" w:hanging="239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9"/>
        <w:szCs w:val="29"/>
      </w:rPr>
    </w:lvl>
    <w:lvl w:ilvl="1">
      <w:start w:val="1"/>
      <w:numFmt w:val="decimal"/>
      <w:lvlText w:val="%2."/>
      <w:lvlJc w:val="left"/>
      <w:pPr>
        <w:ind w:left="3425" w:hanging="239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9"/>
        <w:szCs w:val="29"/>
      </w:rPr>
    </w:lvl>
    <w:lvl w:ilvl="2">
      <w:start w:val="1"/>
      <w:numFmt w:val="decimal"/>
      <w:lvlText w:val="%3."/>
      <w:lvlJc w:val="left"/>
      <w:pPr>
        <w:ind w:left="3425" w:hanging="239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9"/>
        <w:szCs w:val="29"/>
      </w:rPr>
    </w:lvl>
    <w:lvl w:ilvl="3">
      <w:start w:val="0"/>
      <w:numFmt w:val="bullet"/>
      <w:lvlText w:val="•"/>
      <w:lvlJc w:val="left"/>
      <w:pPr>
        <w:ind w:left="775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1" w:hanging="239"/>
      </w:pPr>
      <w:rPr>
        <w:rFonts w:hint="default"/>
      </w:rPr>
    </w:lvl>
  </w:abstractNum>
  <w:abstractNum w:abstractNumId="2">
    <w:nsid w:val="09F1541C"/>
    <w:multiLevelType w:val="hybridMultilevel"/>
    <w:tmpl w:val="00000000"/>
    <w:lvl w:ilvl="0">
      <w:start w:val="4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3">
    <w:nsid w:val="0C971344"/>
    <w:multiLevelType w:val="hybridMultilevel"/>
    <w:tmpl w:val="00000000"/>
    <w:lvl w:ilvl="0">
      <w:start w:val="1"/>
      <w:numFmt w:val="decimal"/>
      <w:lvlText w:val="(%1)"/>
      <w:lvlJc w:val="left"/>
      <w:pPr>
        <w:ind w:left="2682" w:hanging="316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</w:rPr>
    </w:lvl>
    <w:lvl w:ilvl="1">
      <w:start w:val="0"/>
      <w:numFmt w:val="bullet"/>
      <w:lvlText w:val="•"/>
      <w:lvlJc w:val="left"/>
      <w:pPr>
        <w:ind w:left="3231" w:hanging="3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83" w:hanging="3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5" w:hanging="3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87" w:hanging="3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9" w:hanging="3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1" w:hanging="3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3" w:hanging="3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94" w:hanging="316"/>
      </w:pPr>
      <w:rPr>
        <w:rFonts w:hint="default"/>
      </w:rPr>
    </w:lvl>
  </w:abstractNum>
  <w:abstractNum w:abstractNumId="4">
    <w:nsid w:val="108D0874"/>
    <w:multiLevelType w:val="hybridMultilevel"/>
    <w:tmpl w:val="00000000"/>
    <w:lvl w:ilvl="0">
      <w:start w:val="1"/>
      <w:numFmt w:val="decimal"/>
      <w:lvlText w:val="%1."/>
      <w:lvlJc w:val="left"/>
      <w:pPr>
        <w:ind w:left="3425" w:hanging="239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86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0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5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1" w:hanging="239"/>
      </w:pPr>
      <w:rPr>
        <w:rFonts w:hint="default"/>
      </w:rPr>
    </w:lvl>
  </w:abstractNum>
  <w:abstractNum w:abstractNumId="5">
    <w:nsid w:val="16BD0972"/>
    <w:multiLevelType w:val="hybridMultilevel"/>
    <w:tmpl w:val="00000000"/>
    <w:lvl w:ilvl="0">
      <w:start w:val="1"/>
      <w:numFmt w:val="decimal"/>
      <w:lvlText w:val="(%1)"/>
      <w:lvlJc w:val="left"/>
      <w:pPr>
        <w:ind w:left="453" w:hanging="316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</w:rPr>
    </w:lvl>
    <w:lvl w:ilvl="1">
      <w:start w:val="0"/>
      <w:numFmt w:val="bullet"/>
      <w:lvlText w:val="•"/>
      <w:lvlJc w:val="left"/>
      <w:pPr>
        <w:ind w:left="1079" w:hanging="3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8" w:hanging="3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18" w:hanging="3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37" w:hanging="3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57" w:hanging="3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76" w:hanging="3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95" w:hanging="3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15" w:hanging="316"/>
      </w:pPr>
      <w:rPr>
        <w:rFonts w:hint="default"/>
      </w:rPr>
    </w:lvl>
  </w:abstractNum>
  <w:abstractNum w:abstractNumId="6">
    <w:nsid w:val="209CBC01"/>
    <w:multiLevelType w:val="hybridMultilevel"/>
    <w:tmpl w:val="00000000"/>
    <w:lvl w:ilvl="0">
      <w:start w:val="1"/>
      <w:numFmt w:val="decimal"/>
      <w:lvlText w:val="(%1)"/>
      <w:lvlJc w:val="left"/>
      <w:pPr>
        <w:ind w:left="481" w:hanging="316"/>
        <w:jc w:val="right"/>
      </w:pPr>
      <w:rPr>
        <w:rFonts w:ascii="Times New Roman" w:eastAsia="Times New Roman" w:hAnsi="Times New Roman" w:cs="Times New Roman" w:hint="default"/>
        <w:w w:val="99"/>
        <w:sz w:val="25"/>
        <w:szCs w:val="25"/>
      </w:rPr>
    </w:lvl>
    <w:lvl w:ilvl="1">
      <w:start w:val="0"/>
      <w:numFmt w:val="bullet"/>
      <w:lvlText w:val="•"/>
      <w:lvlJc w:val="left"/>
      <w:pPr>
        <w:ind w:left="8400" w:hanging="3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535" w:hanging="3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671" w:hanging="3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07" w:hanging="3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42" w:hanging="3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8" w:hanging="3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4" w:hanging="3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9" w:hanging="316"/>
      </w:pPr>
      <w:rPr>
        <w:rFonts w:hint="default"/>
      </w:rPr>
    </w:lvl>
  </w:abstractNum>
  <w:abstractNum w:abstractNumId="7">
    <w:nsid w:val="2151E113"/>
    <w:multiLevelType w:val="hybridMultilevel"/>
    <w:tmpl w:val="00000000"/>
    <w:lvl w:ilvl="0">
      <w:start w:val="3"/>
      <w:numFmt w:val="decimal"/>
      <w:lvlText w:val="(%1)"/>
      <w:lvlJc w:val="left"/>
      <w:pPr>
        <w:ind w:left="2973" w:hanging="4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34"/>
        <w:szCs w:val="34"/>
      </w:rPr>
    </w:lvl>
    <w:lvl w:ilvl="1">
      <w:start w:val="2"/>
      <w:numFmt w:val="decimal"/>
      <w:lvlText w:val="(%2)"/>
      <w:lvlJc w:val="left"/>
      <w:pPr>
        <w:ind w:left="2553" w:hanging="4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4633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86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39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93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46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9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53" w:hanging="421"/>
      </w:pPr>
      <w:rPr>
        <w:rFonts w:hint="default"/>
      </w:rPr>
    </w:lvl>
  </w:abstractNum>
  <w:abstractNum w:abstractNumId="8">
    <w:nsid w:val="2530624E"/>
    <w:multiLevelType w:val="hybridMultilevel"/>
    <w:tmpl w:val="00000000"/>
    <w:lvl w:ilvl="0">
      <w:start w:val="2"/>
      <w:numFmt w:val="upperLetter"/>
      <w:lvlText w:val="%1."/>
      <w:lvlJc w:val="left"/>
      <w:pPr>
        <w:ind w:left="3474" w:hanging="292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17" w:hanging="2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55" w:hanging="2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93" w:hanging="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31" w:hanging="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69" w:hanging="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7" w:hanging="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45" w:hanging="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3" w:hanging="292"/>
      </w:pPr>
      <w:rPr>
        <w:rFonts w:hint="default"/>
      </w:rPr>
    </w:lvl>
  </w:abstractNum>
  <w:abstractNum w:abstractNumId="9">
    <w:nsid w:val="26B52F37"/>
    <w:multiLevelType w:val="hybridMultilevel"/>
    <w:tmpl w:val="00000000"/>
    <w:lvl w:ilvl="0">
      <w:start w:val="1"/>
      <w:numFmt w:val="decimal"/>
      <w:lvlText w:val="(%1)"/>
      <w:lvlJc w:val="left"/>
      <w:pPr>
        <w:ind w:left="316" w:hanging="31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</w:rPr>
    </w:lvl>
    <w:lvl w:ilvl="1">
      <w:start w:val="0"/>
      <w:numFmt w:val="bullet"/>
      <w:lvlText w:val="•"/>
      <w:lvlJc w:val="left"/>
      <w:pPr>
        <w:ind w:left="89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7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9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7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59" w:hanging="317"/>
      </w:pPr>
      <w:rPr>
        <w:rFonts w:hint="default"/>
      </w:rPr>
    </w:lvl>
  </w:abstractNum>
  <w:abstractNum w:abstractNumId="10">
    <w:nsid w:val="2EB2E164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11">
    <w:nsid w:val="2FAE0A8E"/>
    <w:multiLevelType w:val="hybridMultilevel"/>
    <w:tmpl w:val="00000000"/>
    <w:lvl w:ilvl="0">
      <w:start w:val="1"/>
      <w:numFmt w:val="decimal"/>
      <w:lvlText w:val="(%1)"/>
      <w:lvlJc w:val="left"/>
      <w:pPr>
        <w:ind w:left="318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3"/>
      <w:numFmt w:val="decimal"/>
      <w:lvlText w:val="(%2)"/>
      <w:lvlJc w:val="left"/>
      <w:pPr>
        <w:ind w:left="318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6115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83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51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1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87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55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3" w:hanging="371"/>
      </w:pPr>
      <w:rPr>
        <w:rFonts w:hint="default"/>
      </w:rPr>
    </w:lvl>
  </w:abstractNum>
  <w:abstractNum w:abstractNumId="12">
    <w:nsid w:val="3134A245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13">
    <w:nsid w:val="3F8576B6"/>
    <w:multiLevelType w:val="hybridMultilevel"/>
    <w:tmpl w:val="00000000"/>
    <w:lvl w:ilvl="0">
      <w:start w:val="1"/>
      <w:numFmt w:val="upperLetter"/>
      <w:lvlText w:val="%1."/>
      <w:lvlJc w:val="left"/>
      <w:pPr>
        <w:ind w:left="3492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310"/>
      </w:pPr>
      <w:rPr>
        <w:rFonts w:hint="default"/>
      </w:rPr>
    </w:lvl>
  </w:abstractNum>
  <w:abstractNum w:abstractNumId="14">
    <w:nsid w:val="423029D3"/>
    <w:multiLevelType w:val="hybridMultilevel"/>
    <w:tmpl w:val="00000000"/>
    <w:lvl w:ilvl="0">
      <w:start w:val="1"/>
      <w:numFmt w:val="upperLetter"/>
      <w:lvlText w:val="%1."/>
      <w:lvlJc w:val="left"/>
      <w:pPr>
        <w:ind w:left="3491" w:hanging="309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09" w:hanging="3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8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7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6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45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54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3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2" w:hanging="309"/>
      </w:pPr>
      <w:rPr>
        <w:rFonts w:hint="default"/>
      </w:rPr>
    </w:lvl>
  </w:abstractNum>
  <w:abstractNum w:abstractNumId="15">
    <w:nsid w:val="4233339D"/>
    <w:multiLevelType w:val="hybridMultilevel"/>
    <w:tmpl w:val="00000000"/>
    <w:lvl w:ilvl="0">
      <w:start w:val="1"/>
      <w:numFmt w:val="upperLetter"/>
      <w:lvlText w:val="%1."/>
      <w:lvlJc w:val="left"/>
      <w:pPr>
        <w:ind w:left="3492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310"/>
      </w:pPr>
      <w:rPr>
        <w:rFonts w:hint="default"/>
      </w:rPr>
    </w:lvl>
  </w:abstractNum>
  <w:abstractNum w:abstractNumId="16">
    <w:nsid w:val="49334867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hint="default"/>
        <w:spacing w:val="-3"/>
        <w:w w:val="104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17">
    <w:nsid w:val="4D86D9F1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ascii="Cambria" w:eastAsia="Cambria" w:hAnsi="Cambria" w:cs="Cambria" w:hint="default"/>
        <w:spacing w:val="-3"/>
        <w:w w:val="90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18">
    <w:nsid w:val="4E564DFA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19">
    <w:nsid w:val="515B057D"/>
    <w:multiLevelType w:val="hybridMultilevel"/>
    <w:tmpl w:val="00000000"/>
    <w:lvl w:ilvl="0">
      <w:start w:val="1"/>
      <w:numFmt w:val="decimal"/>
      <w:lvlText w:val="%1."/>
      <w:lvlJc w:val="left"/>
      <w:pPr>
        <w:ind w:left="3425" w:hanging="239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86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0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5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1" w:hanging="239"/>
      </w:pPr>
      <w:rPr>
        <w:rFonts w:hint="default"/>
      </w:rPr>
    </w:lvl>
  </w:abstractNum>
  <w:abstractNum w:abstractNumId="20">
    <w:nsid w:val="54C443BE"/>
    <w:multiLevelType w:val="hybridMultilevel"/>
    <w:tmpl w:val="00000000"/>
    <w:lvl w:ilvl="0">
      <w:start w:val="1"/>
      <w:numFmt w:val="decimal"/>
      <w:lvlText w:val="%1."/>
      <w:lvlJc w:val="left"/>
      <w:pPr>
        <w:ind w:left="0" w:hanging="2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611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3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5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47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9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71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83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95" w:hanging="206"/>
      </w:pPr>
      <w:rPr>
        <w:rFonts w:hint="default"/>
      </w:rPr>
    </w:lvl>
  </w:abstractNum>
  <w:abstractNum w:abstractNumId="21">
    <w:nsid w:val="590D5E27"/>
    <w:multiLevelType w:val="hybridMultilevel"/>
    <w:tmpl w:val="00000000"/>
    <w:lvl w:ilvl="0">
      <w:start w:val="1"/>
      <w:numFmt w:val="decimal"/>
      <w:lvlText w:val="(%1)"/>
      <w:lvlJc w:val="left"/>
      <w:pPr>
        <w:ind w:left="2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9" w:hanging="371"/>
      </w:pPr>
      <w:rPr>
        <w:rFonts w:hint="default"/>
      </w:rPr>
    </w:lvl>
  </w:abstractNum>
  <w:abstractNum w:abstractNumId="22">
    <w:nsid w:val="5C00E979"/>
    <w:multiLevelType w:val="hybridMultilevel"/>
    <w:tmpl w:val="00000000"/>
    <w:lvl w:ilvl="0">
      <w:start w:val="1"/>
      <w:numFmt w:val="decimal"/>
      <w:lvlText w:val="(%1)"/>
      <w:lvlJc w:val="left"/>
      <w:pPr>
        <w:ind w:left="2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9" w:hanging="371"/>
      </w:pPr>
      <w:rPr>
        <w:rFonts w:hint="default"/>
      </w:rPr>
    </w:lvl>
  </w:abstractNum>
  <w:abstractNum w:abstractNumId="23">
    <w:nsid w:val="62C80752"/>
    <w:multiLevelType w:val="hybridMultilevel"/>
    <w:tmpl w:val="00000000"/>
    <w:lvl w:ilvl="0">
      <w:start w:val="1"/>
      <w:numFmt w:val="upperLetter"/>
      <w:lvlText w:val="%1."/>
      <w:lvlJc w:val="left"/>
      <w:pPr>
        <w:ind w:left="3492" w:hanging="310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310"/>
      </w:pPr>
      <w:rPr>
        <w:rFonts w:hint="default"/>
      </w:rPr>
    </w:lvl>
  </w:abstractNum>
  <w:abstractNum w:abstractNumId="24">
    <w:nsid w:val="6C032B08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25">
    <w:nsid w:val="7700B7AC"/>
    <w:multiLevelType w:val="hybridMultilevel"/>
    <w:tmpl w:val="00000000"/>
    <w:lvl w:ilvl="0">
      <w:start w:val="2"/>
      <w:numFmt w:val="decimal"/>
      <w:lvlText w:val="%1."/>
      <w:lvlJc w:val="left"/>
      <w:pPr>
        <w:ind w:left="400" w:hanging="206"/>
        <w:jc w:val="left"/>
      </w:pPr>
      <w:rPr>
        <w:rFonts w:ascii="Times New Roman" w:eastAsia="Times New Roman" w:hAnsi="Times New Roman" w:cs="Times New Roman" w:hint="default"/>
        <w:b/>
        <w:bCs/>
        <w:spacing w:val="1"/>
        <w:w w:val="100"/>
        <w:sz w:val="25"/>
        <w:szCs w:val="25"/>
      </w:rPr>
    </w:lvl>
    <w:lvl w:ilvl="1">
      <w:start w:val="1"/>
      <w:numFmt w:val="decimal"/>
      <w:lvlText w:val="%2."/>
      <w:lvlJc w:val="left"/>
      <w:pPr>
        <w:ind w:left="3425" w:hanging="239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07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7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4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7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26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77" w:hanging="239"/>
      </w:pPr>
      <w:rPr>
        <w:rFonts w:hint="default"/>
      </w:rPr>
    </w:lvl>
  </w:abstractNum>
  <w:abstractNum w:abstractNumId="26">
    <w:nsid w:val="7739873D"/>
    <w:multiLevelType w:val="hybridMultilevel"/>
    <w:tmpl w:val="00000000"/>
    <w:lvl w:ilvl="0">
      <w:start w:val="1"/>
      <w:numFmt w:val="decimal"/>
      <w:lvlText w:val="(%1)"/>
      <w:lvlJc w:val="left"/>
      <w:pPr>
        <w:ind w:left="3553" w:hanging="371"/>
        <w:jc w:val="left"/>
      </w:pPr>
      <w:rPr>
        <w:rFonts w:ascii="Cambria" w:eastAsia="Cambria" w:hAnsi="Cambria" w:cs="Cambria" w:hint="default"/>
        <w:spacing w:val="-3"/>
        <w:w w:val="90"/>
        <w:sz w:val="29"/>
        <w:szCs w:val="29"/>
      </w:rPr>
    </w:lvl>
    <w:lvl w:ilvl="1">
      <w:start w:val="0"/>
      <w:numFmt w:val="bullet"/>
      <w:lvlText w:val="•"/>
      <w:lvlJc w:val="left"/>
      <w:pPr>
        <w:ind w:left="4989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9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9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3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9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99" w:hanging="371"/>
      </w:pPr>
      <w:rPr>
        <w:rFonts w:hint="default"/>
      </w:rPr>
    </w:lvl>
  </w:abstractNum>
  <w:abstractNum w:abstractNumId="27">
    <w:nsid w:val="7A121025"/>
    <w:multiLevelType w:val="hybridMultilevel"/>
    <w:tmpl w:val="00000000"/>
    <w:lvl w:ilvl="0">
      <w:start w:val="1"/>
      <w:numFmt w:val="upperLetter"/>
      <w:lvlText w:val="%1."/>
      <w:lvlJc w:val="left"/>
      <w:pPr>
        <w:ind w:left="3491" w:hanging="309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935" w:hanging="3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71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07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3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9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15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51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7" w:hanging="309"/>
      </w:pPr>
      <w:rPr>
        <w:rFonts w:hint="default"/>
      </w:rPr>
    </w:lvl>
  </w:abstractNum>
  <w:abstractNum w:abstractNumId="28">
    <w:nsid w:val="7AA3872F"/>
    <w:multiLevelType w:val="hybridMultilevel"/>
    <w:tmpl w:val="00000000"/>
    <w:lvl w:ilvl="0">
      <w:start w:val="4"/>
      <w:numFmt w:val="decimal"/>
      <w:lvlText w:val="(%1)"/>
      <w:lvlJc w:val="left"/>
      <w:pPr>
        <w:ind w:left="3553" w:hanging="371"/>
        <w:jc w:val="left"/>
      </w:pPr>
      <w:rPr>
        <w:rFonts w:ascii="Times New Roman" w:eastAsia="Times New Roman" w:hAnsi="Times New Roman" w:cs="Times New Roman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53" w:hanging="3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46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39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33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6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9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3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6" w:hanging="371"/>
      </w:pPr>
      <w:rPr>
        <w:rFonts w:hint="default"/>
      </w:rPr>
    </w:lvl>
  </w:abstractNum>
  <w:abstractNum w:abstractNumId="29">
    <w:nsid w:val="7F13288E"/>
    <w:multiLevelType w:val="hybridMultilevel"/>
    <w:tmpl w:val="00000000"/>
    <w:lvl w:ilvl="0">
      <w:start w:val="1"/>
      <w:numFmt w:val="decimal"/>
      <w:lvlText w:val="%1."/>
      <w:lvlJc w:val="left"/>
      <w:pPr>
        <w:ind w:left="3425" w:hanging="239"/>
        <w:jc w:val="left"/>
      </w:pPr>
      <w:rPr>
        <w:rFonts w:hint="default"/>
        <w:b/>
        <w:bCs/>
        <w:w w:val="76"/>
      </w:rPr>
    </w:lvl>
    <w:lvl w:ilvl="1">
      <w:start w:val="0"/>
      <w:numFmt w:val="bullet"/>
      <w:lvlText w:val="•"/>
      <w:lvlJc w:val="left"/>
      <w:pPr>
        <w:ind w:left="486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0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5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1" w:hanging="239"/>
      </w:pPr>
      <w:rPr>
        <w:rFonts w:hint="default"/>
      </w:rPr>
    </w:lvl>
  </w:abstractNum>
  <w:abstractNum w:abstractNumId="30">
    <w:nsid w:val="7F5602F9"/>
    <w:multiLevelType w:val="hybridMultilevel"/>
    <w:tmpl w:val="00000000"/>
    <w:lvl w:ilvl="0">
      <w:start w:val="1"/>
      <w:numFmt w:val="decimal"/>
      <w:lvlText w:val="%1."/>
      <w:lvlJc w:val="left"/>
      <w:pPr>
        <w:ind w:left="3006" w:hanging="2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3553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1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15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69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3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77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31" w:hanging="206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7"/>
  </w:num>
  <w:num w:numId="9">
    <w:abstractNumId w:val="9"/>
  </w:num>
  <w:num w:numId="10">
    <w:abstractNumId w:val="20"/>
  </w:num>
  <w:num w:numId="11">
    <w:abstractNumId w:val="22"/>
  </w:num>
  <w:num w:numId="12">
    <w:abstractNumId w:val="11"/>
  </w:num>
  <w:num w:numId="13">
    <w:abstractNumId w:val="15"/>
  </w:num>
  <w:num w:numId="14">
    <w:abstractNumId w:val="8"/>
  </w:num>
  <w:num w:numId="15">
    <w:abstractNumId w:val="23"/>
  </w:num>
  <w:num w:numId="16">
    <w:abstractNumId w:val="28"/>
  </w:num>
  <w:num w:numId="17">
    <w:abstractNumId w:val="12"/>
  </w:num>
  <w:num w:numId="18">
    <w:abstractNumId w:val="19"/>
  </w:num>
  <w:num w:numId="19">
    <w:abstractNumId w:val="17"/>
  </w:num>
  <w:num w:numId="20">
    <w:abstractNumId w:val="26"/>
  </w:num>
  <w:num w:numId="21">
    <w:abstractNumId w:val="10"/>
  </w:num>
  <w:num w:numId="22">
    <w:abstractNumId w:val="29"/>
  </w:num>
  <w:num w:numId="23">
    <w:abstractNumId w:val="0"/>
  </w:num>
  <w:num w:numId="24">
    <w:abstractNumId w:val="14"/>
  </w:num>
  <w:num w:numId="25">
    <w:abstractNumId w:val="24"/>
  </w:num>
  <w:num w:numId="26">
    <w:abstractNumId w:val="2"/>
  </w:num>
  <w:num w:numId="27">
    <w:abstractNumId w:val="18"/>
  </w:num>
  <w:num w:numId="28">
    <w:abstractNumId w:val="4"/>
  </w:num>
  <w:num w:numId="29">
    <w:abstractNumId w:val="16"/>
  </w:num>
  <w:num w:numId="30">
    <w:abstractNumId w:val="25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customStyle="1" w:styleId="Heading1">
    <w:name w:val="Heading 1"/>
    <w:basedOn w:val="Normal"/>
    <w:uiPriority w:val="1"/>
    <w:qFormat/>
    <w:pPr>
      <w:spacing w:before="24"/>
      <w:jc w:val="center"/>
      <w:outlineLvl w:val="1"/>
    </w:pPr>
    <w:rPr>
      <w:rFonts w:ascii="黑体" w:eastAsia="黑体" w:hAnsi="黑体" w:cs="黑体"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spacing w:before="45"/>
      <w:ind w:left="6"/>
      <w:jc w:val="center"/>
      <w:outlineLvl w:val="2"/>
    </w:pPr>
    <w:rPr>
      <w:rFonts w:ascii="黑体" w:eastAsia="黑体" w:hAnsi="黑体" w:cs="黑体"/>
      <w:sz w:val="42"/>
      <w:szCs w:val="42"/>
    </w:rPr>
  </w:style>
  <w:style w:type="paragraph" w:customStyle="1" w:styleId="Heading3">
    <w:name w:val="Heading 3"/>
    <w:basedOn w:val="Normal"/>
    <w:uiPriority w:val="1"/>
    <w:qFormat/>
    <w:pPr>
      <w:ind w:left="2553"/>
      <w:outlineLvl w:val="3"/>
    </w:pPr>
    <w:rPr>
      <w:rFonts w:ascii="仿宋" w:eastAsia="仿宋" w:hAnsi="仿宋" w:cs="仿宋"/>
      <w:sz w:val="36"/>
      <w:szCs w:val="36"/>
    </w:rPr>
  </w:style>
  <w:style w:type="paragraph" w:styleId="Title">
    <w:name w:val="Title"/>
    <w:basedOn w:val="Normal"/>
    <w:uiPriority w:val="1"/>
    <w:qFormat/>
    <w:pPr>
      <w:spacing w:before="70"/>
      <w:jc w:val="center"/>
    </w:pPr>
    <w:rPr>
      <w:rFonts w:ascii="黑体" w:eastAsia="黑体" w:hAnsi="黑体" w:cs="黑体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3553" w:hanging="37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72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hyperlink" Target="https://d.book118.com/338105005113006026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2023-07-31T09:09:19Z</dcterms:created>
  <dcterms:modified xsi:type="dcterms:W3CDTF">2023-07-31T09:09:19Z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2023-04-15T00:00:00Z</vt:filetime>
  </property>
  <property fmtid="{D5CDD505-2E9C-101B-9397-08002B2CF9AE}" pid="3" name="LastSaved">
    <vt:filetime>2023-07-31T00:00:00Z</vt:filetime>
  </property>
</Properties>
</file>