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ECA">
      <w:pPr>
        <w:spacing w:line="285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11874500</wp:posOffset>
            </wp:positionH>
            <wp:positionV relativeFrom="topMargin">
              <wp:posOffset>10579100</wp:posOffset>
            </wp:positionV>
            <wp:extent cx="292100" cy="419100"/>
            <wp:effectExtent l="0" t="0" r="12700" b="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常州市教育学会学业水平监测</w:t>
      </w:r>
    </w:p>
    <w:p w:rsidR="00092ECA">
      <w:pPr>
        <w:spacing w:line="285" w:lineRule="auto"/>
        <w:jc w:val="center"/>
      </w:pPr>
      <w:r>
        <w:rPr>
          <w:rFonts w:ascii="宋体" w:hAnsi="宋体"/>
          <w:b/>
          <w:sz w:val="32"/>
        </w:rPr>
        <w:t>高三历史</w:t>
      </w:r>
    </w:p>
    <w:p w:rsidR="00092ECA">
      <w:pPr>
        <w:spacing w:line="285" w:lineRule="auto"/>
        <w:jc w:val="right"/>
      </w:pPr>
      <w:r>
        <w:rPr>
          <w:rFonts w:eastAsia="Times New Roman" w:cs="Times New Roman"/>
          <w:b/>
          <w:sz w:val="24"/>
        </w:rPr>
        <w:t>2024</w:t>
      </w:r>
      <w:r>
        <w:rPr>
          <w:rFonts w:ascii="宋体" w:hAnsi="宋体"/>
          <w:b/>
          <w:sz w:val="24"/>
        </w:rPr>
        <w:t>年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月</w:t>
      </w:r>
    </w:p>
    <w:tbl>
      <w:tblPr>
        <w:tblStyle w:val="TableNormal"/>
        <w:tblW w:w="7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7785"/>
      </w:tblGrid>
      <w:tr>
        <w:tblPrEx>
          <w:tblW w:w="778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bottom w:w="75" w:type="dxa"/>
            </w:tcMar>
            <w:vAlign w:val="center"/>
          </w:tcPr>
          <w:p w:rsidR="00092ECA">
            <w:pPr>
              <w:spacing w:line="285" w:lineRule="auto"/>
              <w:jc w:val="center"/>
            </w:pPr>
            <w:r>
              <w:rPr>
                <w:rFonts w:ascii="宋体" w:hAnsi="宋体"/>
                <w:b/>
                <w:sz w:val="24"/>
              </w:rPr>
              <w:t>注意事项</w:t>
            </w:r>
          </w:p>
          <w:p w:rsidR="00092ECA">
            <w:pPr>
              <w:spacing w:line="285" w:lineRule="auto"/>
              <w:ind w:firstLine="480"/>
              <w:jc w:val="left"/>
            </w:pPr>
            <w:r>
              <w:rPr>
                <w:rFonts w:ascii="宋体" w:hAnsi="宋体"/>
                <w:b/>
                <w:sz w:val="24"/>
              </w:rPr>
              <w:t>考生在答题前请认真阅读本注意事项及各题答题要求</w:t>
            </w:r>
          </w:p>
          <w:p w:rsidR="00092ECA">
            <w:pPr>
              <w:spacing w:line="285" w:lineRule="auto"/>
              <w:jc w:val="left"/>
            </w:pPr>
            <w:r>
              <w:rPr>
                <w:rFonts w:eastAsia="Times New Roman" w:cs="Times New Roman"/>
                <w:b/>
                <w:sz w:val="24"/>
              </w:rPr>
              <w:t>1</w:t>
            </w:r>
            <w:r>
              <w:rPr>
                <w:rFonts w:ascii="宋体" w:hAnsi="宋体"/>
                <w:b/>
                <w:sz w:val="24"/>
              </w:rPr>
              <w:t>．本试卷共</w:t>
            </w:r>
            <w:r>
              <w:rPr>
                <w:rFonts w:eastAsia="Times New Roman" w:cs="Times New Roman"/>
                <w:b/>
                <w:sz w:val="24"/>
              </w:rPr>
              <w:t>8</w:t>
            </w:r>
            <w:r>
              <w:rPr>
                <w:rFonts w:ascii="宋体" w:hAnsi="宋体"/>
                <w:b/>
                <w:sz w:val="24"/>
              </w:rPr>
              <w:t>页，满分为</w:t>
            </w:r>
            <w:r>
              <w:rPr>
                <w:rFonts w:eastAsia="Times New Roman" w:cs="Times New Roman"/>
                <w:b/>
                <w:sz w:val="24"/>
              </w:rPr>
              <w:t>100</w:t>
            </w:r>
            <w:r>
              <w:rPr>
                <w:rFonts w:ascii="宋体" w:hAnsi="宋体"/>
                <w:b/>
                <w:sz w:val="24"/>
              </w:rPr>
              <w:t>分，考试时间为</w:t>
            </w:r>
            <w:r>
              <w:rPr>
                <w:rFonts w:eastAsia="Times New Roman" w:cs="Times New Roman"/>
                <w:b/>
                <w:sz w:val="24"/>
              </w:rPr>
              <w:t>75</w:t>
            </w:r>
            <w:r>
              <w:rPr>
                <w:rFonts w:ascii="宋体" w:hAnsi="宋体"/>
                <w:b/>
                <w:sz w:val="24"/>
              </w:rPr>
              <w:t>分钟。考试结束后，请将本试卷和答题卡一并交回。</w:t>
            </w:r>
          </w:p>
          <w:p w:rsidR="00092ECA">
            <w:pPr>
              <w:spacing w:line="285" w:lineRule="auto"/>
              <w:jc w:val="left"/>
            </w:pPr>
            <w:r>
              <w:rPr>
                <w:rFonts w:eastAsia="Times New Roman" w:cs="Times New Roman"/>
                <w:b/>
                <w:sz w:val="24"/>
              </w:rPr>
              <w:t>2</w:t>
            </w:r>
            <w:r>
              <w:rPr>
                <w:rFonts w:ascii="宋体" w:hAnsi="宋体"/>
                <w:b/>
                <w:sz w:val="24"/>
              </w:rPr>
              <w:t>．答题前，请务必将自己的姓名、准考证号用</w:t>
            </w:r>
            <w:r>
              <w:rPr>
                <w:rFonts w:eastAsia="Times New Roman" w:cs="Times New Roman"/>
                <w:b/>
                <w:sz w:val="24"/>
              </w:rPr>
              <w:t>0.5</w:t>
            </w:r>
            <w:r>
              <w:rPr>
                <w:rFonts w:ascii="宋体" w:hAnsi="宋体"/>
                <w:b/>
                <w:sz w:val="24"/>
              </w:rPr>
              <w:t>毫米黑色墨水的签字笔填写在试卷及答题卡的规定位置。</w:t>
            </w:r>
          </w:p>
          <w:p w:rsidR="00092ECA">
            <w:pPr>
              <w:spacing w:line="285" w:lineRule="auto"/>
              <w:jc w:val="left"/>
            </w:pPr>
            <w:r>
              <w:rPr>
                <w:rFonts w:eastAsia="Times New Roman" w:cs="Times New Roman"/>
                <w:b/>
                <w:sz w:val="24"/>
              </w:rPr>
              <w:t>3</w:t>
            </w:r>
            <w:r>
              <w:rPr>
                <w:rFonts w:ascii="宋体" w:hAnsi="宋体"/>
                <w:b/>
                <w:sz w:val="24"/>
              </w:rPr>
              <w:t>．请认真核对监考员在答题卡上所粘贴的条形码上的姓名、准考证号与本人是否相符。</w:t>
            </w:r>
          </w:p>
          <w:p w:rsidR="00092ECA">
            <w:pPr>
              <w:spacing w:line="285" w:lineRule="auto"/>
              <w:jc w:val="left"/>
            </w:pPr>
            <w:r>
              <w:rPr>
                <w:rFonts w:eastAsia="Times New Roman" w:cs="Times New Roman"/>
                <w:b/>
                <w:sz w:val="24"/>
              </w:rPr>
              <w:t>4</w:t>
            </w:r>
            <w:r>
              <w:rPr>
                <w:rFonts w:ascii="宋体" w:hAnsi="宋体"/>
                <w:b/>
                <w:sz w:val="24"/>
              </w:rPr>
              <w:t>．作答选择题，必须用</w:t>
            </w:r>
            <w:r>
              <w:rPr>
                <w:rFonts w:eastAsia="Times New Roman" w:cs="Times New Roman"/>
                <w:b/>
                <w:sz w:val="24"/>
              </w:rPr>
              <w:t>2B</w:t>
            </w:r>
            <w:r>
              <w:rPr>
                <w:rFonts w:ascii="宋体" w:hAnsi="宋体"/>
                <w:b/>
                <w:sz w:val="24"/>
              </w:rPr>
              <w:t>铅笔将答题卡上对应选项的方框涂满、涂黑；如需改动，请用橡皮擦干净后，再选涂其他答案。作答非选择题，必须用</w:t>
            </w:r>
            <w:r>
              <w:rPr>
                <w:rFonts w:eastAsia="Times New Roman" w:cs="Times New Roman"/>
                <w:b/>
                <w:sz w:val="24"/>
              </w:rPr>
              <w:t>0.5</w:t>
            </w:r>
            <w:r>
              <w:rPr>
                <w:rFonts w:ascii="宋体" w:hAnsi="宋体"/>
                <w:b/>
                <w:sz w:val="24"/>
              </w:rPr>
              <w:t>毫米黑色墨水的签字笔在答题卡上的指定位置作答，在其他位置作答一律无效。</w:t>
            </w:r>
          </w:p>
          <w:p w:rsidR="00092ECA">
            <w:pPr>
              <w:spacing w:line="285" w:lineRule="auto"/>
              <w:jc w:val="left"/>
            </w:pPr>
            <w:r>
              <w:rPr>
                <w:rFonts w:eastAsia="Times New Roman" w:cs="Times New Roman"/>
                <w:b/>
                <w:sz w:val="24"/>
              </w:rPr>
              <w:t>5</w:t>
            </w:r>
            <w:r>
              <w:rPr>
                <w:rFonts w:ascii="宋体" w:hAnsi="宋体"/>
                <w:b/>
                <w:sz w:val="24"/>
              </w:rPr>
              <w:t>．如需作图，必须用</w:t>
            </w:r>
            <w:r>
              <w:rPr>
                <w:rFonts w:eastAsia="Times New Roman" w:cs="Times New Roman"/>
                <w:b/>
                <w:sz w:val="24"/>
              </w:rPr>
              <w:t>2B</w:t>
            </w:r>
            <w:r>
              <w:rPr>
                <w:rFonts w:ascii="宋体" w:hAnsi="宋体"/>
                <w:b/>
                <w:sz w:val="24"/>
              </w:rPr>
              <w:t>铅笔绘、写清楚，线条、符号等须加黑、加粗。</w:t>
            </w:r>
          </w:p>
        </w:tc>
      </w:tr>
    </w:tbl>
    <w:p w:rsidR="00092ECA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一、选择题：本大题共</w:t>
      </w:r>
      <w:r>
        <w:rPr>
          <w:rFonts w:eastAsia="Times New Roman" w:cs="Times New Roman"/>
          <w:b/>
          <w:sz w:val="24"/>
        </w:rPr>
        <w:t>16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分，共计</w:t>
      </w:r>
      <w:r>
        <w:rPr>
          <w:rFonts w:eastAsia="Times New Roman" w:cs="Times New Roman"/>
          <w:b/>
          <w:sz w:val="24"/>
        </w:rPr>
        <w:t>48</w:t>
      </w:r>
      <w:r>
        <w:rPr>
          <w:rFonts w:ascii="宋体" w:hAnsi="宋体"/>
          <w:b/>
          <w:sz w:val="24"/>
        </w:rPr>
        <w:t>分。在每题列出的四个选项中，只有一项最符合题目要求。</w:t>
      </w:r>
    </w:p>
    <w:p w:rsidR="00092ECA">
      <w:pPr>
        <w:spacing w:line="360" w:lineRule="auto"/>
      </w:pPr>
      <w:r>
        <w:t xml:space="preserve">1. </w:t>
      </w:r>
      <w:r>
        <w:rPr>
          <w:rFonts w:ascii="宋体" w:hAnsi="宋体"/>
        </w:rPr>
        <w:t>北京猿人遗址有</w:t>
      </w:r>
      <w:r>
        <w:rPr>
          <w:rFonts w:eastAsia="Times New Roman" w:cs="Times New Roman"/>
        </w:rPr>
        <w:t>4</w:t>
      </w:r>
      <w:r>
        <w:rPr>
          <w:rFonts w:ascii="宋体" w:hAnsi="宋体"/>
        </w:rPr>
        <w:t>层面积较大并且较厚的灰烬层，灰烬层里不仅有木炭，而且有因烧烤而布满龟裂纹的石块和石器，还有烧烤过鹿角、朴树籽、兽骨等。这反映了北京猿人（）</w:t>
      </w:r>
    </w:p>
    <w:p w:rsidR="00092ECA">
      <w:pPr>
        <w:tabs>
          <w:tab w:val="left" w:pos="4873"/>
        </w:tabs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已经掌握取火方法</w:t>
      </w:r>
      <w:r>
        <w:tab/>
        <w:t xml:space="preserve">B. </w:t>
      </w:r>
      <w:r>
        <w:rPr>
          <w:rFonts w:ascii="宋体" w:hAnsi="宋体"/>
        </w:rPr>
        <w:t>尝试驯养家畜家禽</w:t>
      </w:r>
    </w:p>
    <w:p w:rsidR="00092E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/>
        </w:rPr>
        <w:t>尚处于旧石器时期</w:t>
      </w:r>
      <w:r>
        <w:tab/>
        <w:t xml:space="preserve">D. </w:t>
      </w:r>
      <w:r>
        <w:rPr>
          <w:rFonts w:ascii="宋体" w:hAnsi="宋体"/>
        </w:rPr>
        <w:t>开始从事原始农业</w:t>
      </w:r>
    </w:p>
    <w:p w:rsidR="00092E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汉文帝以藩王登基后，同姓诸侯王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出入拟于天子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，甚至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不听天子诏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，文帝乃追思贾谊遗策，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众建诸侯而少其力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，分齐地为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国，分淮南王地为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国。汉文帝此举（）</w:t>
      </w:r>
    </w:p>
    <w:p w:rsidR="00092E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引发吴楚等七国之乱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打击了地方豪强势力</w:t>
      </w:r>
    </w:p>
    <w:p w:rsidR="00092E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使得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推恩令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得以贯彻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提升了中央政府的地位</w:t>
      </w:r>
    </w:p>
    <w:p w:rsidR="00092E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《宋书》说：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江南之为国盛矣</w:t>
      </w:r>
      <w:r>
        <w:rPr>
          <w:rFonts w:ascii="宋体" w:hAnsi="宋体"/>
          <w:color w:val="000000"/>
        </w:rPr>
        <w:t>……</w:t>
      </w:r>
      <w:r>
        <w:rPr>
          <w:rFonts w:ascii="宋体" w:hAnsi="宋体"/>
          <w:color w:val="000000"/>
        </w:rPr>
        <w:t>荆城跨南楚之富，扬部有全吴之沃，鱼盐杞梓之利，充仞八方，丝绵布帛之饶，覆衣天下。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产生这种现象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主要原因是（）</w:t>
      </w:r>
    </w:p>
    <w:p w:rsidR="00092E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北人南迁促进了南方开发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南北朝时南方鲜有战乱</w:t>
      </w:r>
    </w:p>
    <w:p w:rsidR="00092E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绍兴和议后南宋政局稳定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两宋时经济重心已南移</w:t>
      </w:r>
    </w:p>
    <w:p w:rsidR="00092ECA">
      <w:pPr>
        <w:spacing w:line="360" w:lineRule="auto"/>
        <w:jc w:val="left"/>
        <w:textAlignment w:val="center"/>
        <w:rPr>
          <w:color w:val="000000"/>
        </w:rPr>
        <w:sectPr w:rsidSect="00092EC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贞观后期魏征发现唐太宗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渐恶直言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，曾多次提出忠告，皇帝只是口头接受，不再励精图治，生活也逐渐奢侈，并且开始服用此前曾嘲笑秦始皇和汉武帝用过的金石丹药，最后就死在丹药毒性发作上。由此可知（）</w:t>
      </w:r>
    </w:p>
    <w:p w:rsidR="00092E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贞观之治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徒有虚名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唐朝社会由盛转衰</w:t>
      </w:r>
    </w:p>
    <w:p w:rsidR="00092E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专制体制依赖人治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谏官缺乏制度保证</w:t>
      </w:r>
    </w:p>
    <w:p w:rsidR="00092E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鸦片战争后的开埠通商，一方面扩大了原有的城乡差别，诱发农民进城谋生，改变了传</w:t>
      </w:r>
      <w:r>
        <w:rPr>
          <w:rFonts w:ascii="宋体" w:hAnsi="宋体"/>
          <w:color w:val="000000"/>
        </w:rPr>
        <w:t>统农本经济的超稳固状态；另一方面，它又未能助长中国工业化的正常发展，长期来看延缓了城市化进程。造成该现象的主要原因是（）</w:t>
      </w:r>
    </w:p>
    <w:p w:rsidR="00092E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通商口岸仅局限于东南沿海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半殖民地半封建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社会性质</w:t>
      </w:r>
    </w:p>
    <w:p w:rsidR="00092E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封建自然经济未能土崩瓦解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民族资本主义发展先天不足</w:t>
      </w:r>
    </w:p>
    <w:p w:rsidR="00092E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清末，军事工业的经费最初一律由政府拨给，产品直接发给湘淮各军、沿江沿海各省。到</w:t>
      </w:r>
      <w:r>
        <w:rPr>
          <w:rFonts w:eastAsia="Times New Roman" w:cs="Times New Roman"/>
          <w:color w:val="000000"/>
        </w:rPr>
        <w:t>19</w:t>
      </w:r>
      <w:r>
        <w:rPr>
          <w:rFonts w:ascii="宋体" w:hAnsi="宋体"/>
          <w:color w:val="000000"/>
        </w:rPr>
        <w:t>世纪七八十年代后，江南机器制造局的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岁入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中开始列有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各省解还奏调军火价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项目，向福州船政局订造轮船需提前交付一半的定金。据此可知洋务企业（）</w:t>
      </w:r>
    </w:p>
    <w:p w:rsidR="00092E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已初具资本主义的性质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努力抵制外国经济侵略</w:t>
      </w:r>
    </w:p>
    <w:p w:rsidR="00092E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在行业竞争中占有优势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官办模式遭遇现实困境</w:t>
      </w:r>
    </w:p>
    <w:p w:rsidR="00092E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eastAsia="Times New Roman" w:cs="Times New Roman"/>
          <w:color w:val="000000"/>
        </w:rPr>
        <w:t>1919</w:t>
      </w:r>
      <w:r>
        <w:rPr>
          <w:rFonts w:ascii="宋体" w:hAnsi="宋体"/>
          <w:color w:val="000000"/>
        </w:rPr>
        <w:t>年，针对有人主张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中西调和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，胡适批评说，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调和是人类懒病的天然趋势，用不着我们来提倡。我们走了一百里路，大多数人也许勉强走三四十里。我们若先讲调和，只走五十里，他们就一步都不走了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。对此理解最准确的是（）</w:t>
      </w:r>
    </w:p>
    <w:p w:rsidR="00092E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新文化运动鼓励学习西方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知识分子主张融通中西</w:t>
      </w:r>
    </w:p>
    <w:p w:rsidR="00092E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激进派全盘否定传统文化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资产阶级背离中国国情</w:t>
      </w:r>
    </w:p>
    <w:p w:rsidR="00092E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毛泽东在文章中指出：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一年以来，边界政权割据的地区，因为敌人的严密封锁，食盐、布匹、</w:t>
      </w:r>
      <w:r>
        <w:rPr>
          <w:rFonts w:ascii="宋体" w:hAnsi="宋体"/>
          <w:color w:val="000000"/>
        </w:rPr>
        <w:t>药材等日用必需品，无时不在十分缺乏和十分昂贵之中，因此引起工农小资产阶级群众和红军士兵群众的生活的不安，有时真是到了极度。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为此，根据地（）</w:t>
      </w:r>
    </w:p>
    <w:p w:rsidR="00092E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巩固革命统一战线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逐步开展土地革命</w:t>
      </w:r>
    </w:p>
    <w:p w:rsidR="00092E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组建民主联合政府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实行减租减息政策</w:t>
      </w:r>
    </w:p>
    <w:p w:rsidR="00092E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下图是漫画家张乐平先生于</w:t>
      </w:r>
      <w:r>
        <w:rPr>
          <w:rFonts w:eastAsia="Times New Roman" w:cs="Times New Roman"/>
          <w:color w:val="000000"/>
        </w:rPr>
        <w:t>1939</w:t>
      </w:r>
      <w:r>
        <w:rPr>
          <w:rFonts w:ascii="宋体" w:hAnsi="宋体"/>
          <w:color w:val="000000"/>
        </w:rPr>
        <w:t>年创作的作品</w:t>
      </w:r>
      <w:r>
        <w:rPr>
          <w:rFonts w:ascii="宋体" w:hAnsi="宋体"/>
          <w:color w:val="000000"/>
        </w:rPr>
        <w:t>——</w:t>
      </w:r>
      <w:r>
        <w:rPr>
          <w:rFonts w:ascii="宋体" w:hAnsi="宋体"/>
          <w:color w:val="000000"/>
        </w:rPr>
        <w:t>《这一槌的滋味如何》，反映了（）</w:t>
      </w:r>
    </w:p>
    <w:p w:rsidR="00092EC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724275" cy="12668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2E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游击队是抗击日军的主要力量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侵华日军无法进入中国内地</w:t>
      </w:r>
    </w:p>
    <w:p w:rsidR="00092E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正面战场未能组织大规模抵抗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抗日民族统一战线已经形成</w:t>
      </w:r>
    </w:p>
    <w:p w:rsidR="00092E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下表是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1947</w:t>
      </w:r>
      <w:r>
        <w:rPr>
          <w:rFonts w:ascii="宋体" w:hAnsi="宋体"/>
          <w:color w:val="000000"/>
        </w:rPr>
        <w:t>——</w:t>
      </w:r>
      <w:r>
        <w:rPr>
          <w:rFonts w:eastAsia="Times New Roman" w:cs="Times New Roman"/>
          <w:color w:val="000000"/>
        </w:rPr>
        <w:t>1948</w:t>
      </w:r>
      <w:r>
        <w:rPr>
          <w:rFonts w:ascii="宋体" w:hAnsi="宋体"/>
          <w:color w:val="000000"/>
        </w:rPr>
        <w:t>年邯郸市（解放区）经营情况统计（部分）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，表中数据反映了（）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https://d.book118.com/338105142033006033</w:t>
        </w:r>
      </w:hyperlink>
    </w:p>
    <w:p w:rsidR="00092ECA">
      <w:pPr>
        <w:spacing w:line="360" w:lineRule="auto"/>
        <w:jc w:val="left"/>
        <w:textAlignment w:val="center"/>
        <w:rPr>
          <w:color w:val="000000"/>
        </w:rPr>
      </w:pPr>
    </w:p>
    <w:sectPr w:rsidSect="00092ECA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nextPage"/>
      <w:pgSz w:w="11906" w:h="16838"/>
      <w:pgMar w:top="910" w:right="1080" w:bottom="1440" w:left="1080" w:header="152" w:footer="0" w:gutter="0"/>
      <w:pgNumType w:start="2"/>
      <w:cols w:space="720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YaHei UI">
    <w:altName w:val="宋体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ECA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F62" w:rsidRPr="00852F62" w:rsidP="00852F62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ECA"/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ECA"/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F62" w:rsidRPr="00852F62" w:rsidP="00852F62">
    <w:pPr>
      <w:pStyle w:val="Footer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ECA"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ECA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F62" w:rsidRPr="00852F62" w:rsidP="00852F62">
    <w:pPr>
      <w:pStyle w:val="Header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ECA"/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ECA"/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F62" w:rsidRPr="00852F62" w:rsidP="00852F62">
    <w:pPr>
      <w:pStyle w:val="Header"/>
      <w:pBdr>
        <w:bottom w:val="none" w:sz="0" w:space="0" w:color="auto"/>
      </w:pBdr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ECA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07DF2"/>
    <w:rsid w:val="00005EBC"/>
    <w:rsid w:val="00016BFA"/>
    <w:rsid w:val="000460FF"/>
    <w:rsid w:val="00054E7B"/>
    <w:rsid w:val="00092ECA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52F62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8B44E26"/>
  </w:rsids>
  <w:docVars>
    <w:docVar w:name="commondata" w:val="eyJoZGlkIjoiMzlhMDlkYjZmNjIxMWY4NWRjZDcxY2M2YjEzZGQ0OTAifQ=="/>
  </w:docVars>
  <m:mathPr>
    <m:mathFont m:val="Cambria Math"/>
    <m:smallFrac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92ECA"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092EC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Char"/>
    <w:uiPriority w:val="99"/>
    <w:rsid w:val="00092EC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uiPriority w:val="99"/>
    <w:rsid w:val="00092ECA"/>
    <w:rPr>
      <w:color w:val="0000FF"/>
      <w:u w:val="single"/>
    </w:rPr>
  </w:style>
  <w:style w:type="character" w:customStyle="1" w:styleId="Char">
    <w:name w:val="页眉 Char"/>
    <w:basedOn w:val="DefaultParagraphFont"/>
    <w:link w:val="Header"/>
    <w:uiPriority w:val="99"/>
    <w:rsid w:val="00092ECA"/>
    <w:rPr>
      <w:kern w:val="2"/>
      <w:sz w:val="18"/>
      <w:szCs w:val="24"/>
    </w:rPr>
  </w:style>
  <w:style w:type="paragraph" w:styleId="NoSpacing">
    <w:name w:val="No Spacing"/>
    <w:uiPriority w:val="1"/>
    <w:qFormat/>
    <w:rsid w:val="00092ECA"/>
    <w:rPr>
      <w:rFonts w:eastAsia="Microsoft YaHei UI" w:asciiTheme="minorHAnsi" w:hAnsiTheme="minorHAnsi" w:cstheme="minorBidi"/>
      <w:sz w:val="22"/>
      <w:szCs w:val="22"/>
    </w:rPr>
  </w:style>
  <w:style w:type="paragraph" w:styleId="ListParagraph">
    <w:name w:val="List Paragraph"/>
    <w:basedOn w:val="Normal"/>
    <w:uiPriority w:val="99"/>
    <w:qFormat/>
    <w:rsid w:val="00092ECA"/>
    <w:pPr>
      <w:ind w:firstLine="420" w:firstLineChars="200"/>
    </w:pPr>
  </w:style>
  <w:style w:type="paragraph" w:styleId="BalloonText">
    <w:name w:val="Balloon Text"/>
    <w:basedOn w:val="Normal"/>
    <w:link w:val="Char0"/>
    <w:semiHidden/>
    <w:unhideWhenUsed/>
    <w:rsid w:val="00852F62"/>
    <w:rPr>
      <w:sz w:val="18"/>
      <w:szCs w:val="18"/>
    </w:rPr>
  </w:style>
  <w:style w:type="character" w:customStyle="1" w:styleId="Char0">
    <w:name w:val="批注框文本 Char"/>
    <w:basedOn w:val="DefaultParagraphFont"/>
    <w:link w:val="BalloonText"/>
    <w:semiHidden/>
    <w:rsid w:val="00852F62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image" Target="media/image4.png" /><Relationship Id="rId15" Type="http://schemas.openxmlformats.org/officeDocument/2006/relationships/hyperlink" Target="https://d.book118.com/338105142033006033" TargetMode="External" /><Relationship Id="rId16" Type="http://schemas.openxmlformats.org/officeDocument/2006/relationships/header" Target="header4.xml" /><Relationship Id="rId17" Type="http://schemas.openxmlformats.org/officeDocument/2006/relationships/header" Target="header5.xml" /><Relationship Id="rId18" Type="http://schemas.openxmlformats.org/officeDocument/2006/relationships/footer" Target="footer4.xml" /><Relationship Id="rId19" Type="http://schemas.openxmlformats.org/officeDocument/2006/relationships/footer" Target="footer5.xml" /><Relationship Id="rId2" Type="http://schemas.openxmlformats.org/officeDocument/2006/relationships/webSettings" Target="webSettings.xml" /><Relationship Id="rId20" Type="http://schemas.openxmlformats.org/officeDocument/2006/relationships/header" Target="header6.xml" /><Relationship Id="rId21" Type="http://schemas.openxmlformats.org/officeDocument/2006/relationships/footer" Target="footer6.xml" /><Relationship Id="rId22" Type="http://schemas.openxmlformats.org/officeDocument/2006/relationships/theme" Target="theme/theme1.xml" /><Relationship Id="rId23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wmf" /><Relationship Id="rId7" Type="http://schemas.openxmlformats.org/officeDocument/2006/relationships/image" Target="media/image3.wmf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2998</Words>
  <Characters>17091</Characters>
  <Application>Microsoft Office Word</Application>
  <DocSecurity>0</DocSecurity>
  <Lines>142</Lines>
  <Paragraphs>40</Paragraphs>
  <ScaleCrop>false</ScaleCrop>
  <Company/>
  <LinksUpToDate>false</LinksUpToDate>
  <CharactersWithSpaces>20049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2024-02-01T23:43:00Z</dcterms:created>
  <dcterms:modified xsi:type="dcterms:W3CDTF">2024-02-02T00:04:00Z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0EDD1481C83C4FE7B5C9F95CDF857367_12</vt:lpwstr>
  </property>
  <property fmtid="{D5CDD505-2E9C-101B-9397-08002B2CF9AE}" pid="3" name="KSOProductBuildVer">
    <vt:lpwstr>2052-12.1.0.15990</vt:lpwstr>
  </property>
</Properties>
</file>